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2F5E" w:rsidR="009D2F39" w:rsidP="009D2F39" w:rsidRDefault="009D2F39" w14:paraId="1EA2E445" w14:textId="66857769">
      <w:pPr>
        <w:pStyle w:val="Title"/>
        <w:adjustRightInd w:val="0"/>
        <w:snapToGrid w:val="0"/>
        <w:ind w:left="0" w:right="95" w:firstLine="0"/>
      </w:pPr>
      <w:r w:rsidRPr="00E92F5E">
        <w:t>Fitness to Practi</w:t>
      </w:r>
      <w:r>
        <w:t>s</w:t>
      </w:r>
      <w:r w:rsidRPr="00E92F5E">
        <w:t>e Procedures</w:t>
      </w:r>
      <w:r>
        <w:t xml:space="preserve"> for Courses Other than Social Work </w:t>
      </w:r>
    </w:p>
    <w:p w:rsidRPr="009D2F39" w:rsidR="009D2F39" w:rsidP="009D2F39" w:rsidRDefault="009D2F39" w14:paraId="277A6C8B" w14:textId="77777777">
      <w:pPr>
        <w:adjustRightInd w:val="0"/>
        <w:snapToGrid w:val="0"/>
        <w:ind w:right="95"/>
      </w:pPr>
    </w:p>
    <w:p w:rsidR="00DC7EB2" w:rsidP="009D2F39" w:rsidRDefault="00DC7EB2" w14:paraId="242CC118" w14:textId="77777777">
      <w:pPr>
        <w:adjustRightInd w:val="0"/>
        <w:snapToGrid w:val="0"/>
        <w:ind w:right="95"/>
      </w:pPr>
    </w:p>
    <w:p w:rsidR="00DC7EB2" w:rsidP="009D2F39" w:rsidRDefault="00DC7EB2" w14:paraId="63F8696B" w14:textId="77777777">
      <w:pPr>
        <w:pStyle w:val="Subtitle"/>
        <w:adjustRightInd w:val="0"/>
        <w:snapToGrid w:val="0"/>
        <w:ind w:right="95"/>
      </w:pPr>
      <w:r>
        <w:t xml:space="preserve">Contents </w:t>
      </w:r>
    </w:p>
    <w:p w:rsidR="00516E4F" w:rsidP="00516E4F" w:rsidRDefault="00DC7EB2" w14:paraId="189D83FA" w14:textId="7B1879F2">
      <w:pPr>
        <w:pStyle w:val="TOC1"/>
        <w:tabs>
          <w:tab w:val="right" w:leader="dot" w:pos="9016"/>
        </w:tabs>
        <w:ind w:left="567" w:hanging="567"/>
        <w:rPr>
          <w:rFonts w:asciiTheme="minorHAnsi" w:hAnsiTheme="minorHAnsi" w:eastAsiaTheme="minorEastAsia" w:cstheme="minorBidi"/>
          <w:noProof/>
          <w:color w:val="auto"/>
          <w:sz w:val="22"/>
          <w:lang w:eastAsia="zh-CN"/>
        </w:rPr>
      </w:pPr>
      <w:r>
        <w:fldChar w:fldCharType="begin"/>
      </w:r>
      <w:r>
        <w:instrText xml:space="preserve"> TOC \o "1-3" \h \z \u </w:instrText>
      </w:r>
      <w:r>
        <w:fldChar w:fldCharType="separate"/>
      </w:r>
      <w:hyperlink w:history="1" w:anchor="_Toc85539761">
        <w:r w:rsidRPr="005E6150" w:rsidR="00516E4F">
          <w:rPr>
            <w:rStyle w:val="Hyperlink"/>
            <w:bCs/>
            <w:noProof/>
          </w:rPr>
          <w:t>1.</w:t>
        </w:r>
        <w:r w:rsidR="00516E4F">
          <w:rPr>
            <w:rFonts w:asciiTheme="minorHAnsi" w:hAnsiTheme="minorHAnsi" w:eastAsiaTheme="minorEastAsia" w:cstheme="minorBidi"/>
            <w:noProof/>
            <w:color w:val="auto"/>
            <w:sz w:val="22"/>
            <w:lang w:eastAsia="zh-CN"/>
          </w:rPr>
          <w:tab/>
        </w:r>
        <w:r w:rsidRPr="005E6150" w:rsidR="00516E4F">
          <w:rPr>
            <w:rStyle w:val="Hyperlink"/>
            <w:noProof/>
          </w:rPr>
          <w:t>Procedures to End a Student’s Training</w:t>
        </w:r>
        <w:r w:rsidR="00516E4F">
          <w:rPr>
            <w:noProof/>
            <w:webHidden/>
          </w:rPr>
          <w:tab/>
        </w:r>
        <w:r w:rsidR="00516E4F">
          <w:rPr>
            <w:noProof/>
            <w:webHidden/>
          </w:rPr>
          <w:fldChar w:fldCharType="begin"/>
        </w:r>
        <w:r w:rsidR="00516E4F">
          <w:rPr>
            <w:noProof/>
            <w:webHidden/>
          </w:rPr>
          <w:instrText xml:space="preserve"> PAGEREF _Toc85539761 \h </w:instrText>
        </w:r>
        <w:r w:rsidR="00516E4F">
          <w:rPr>
            <w:noProof/>
            <w:webHidden/>
          </w:rPr>
        </w:r>
        <w:r w:rsidR="00516E4F">
          <w:rPr>
            <w:noProof/>
            <w:webHidden/>
          </w:rPr>
          <w:fldChar w:fldCharType="separate"/>
        </w:r>
        <w:r w:rsidR="00475E86">
          <w:rPr>
            <w:noProof/>
            <w:webHidden/>
          </w:rPr>
          <w:t>2</w:t>
        </w:r>
        <w:r w:rsidR="00516E4F">
          <w:rPr>
            <w:noProof/>
            <w:webHidden/>
          </w:rPr>
          <w:fldChar w:fldCharType="end"/>
        </w:r>
      </w:hyperlink>
    </w:p>
    <w:p w:rsidR="00516E4F" w:rsidP="00516E4F" w:rsidRDefault="00000000" w14:paraId="6DDCD00E" w14:textId="2EA83CC9">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5539762">
        <w:r w:rsidRPr="005E6150" w:rsidR="00516E4F">
          <w:rPr>
            <w:rStyle w:val="Hyperlink"/>
            <w:bCs/>
            <w:noProof/>
          </w:rPr>
          <w:t>2.</w:t>
        </w:r>
        <w:r w:rsidR="00516E4F">
          <w:rPr>
            <w:rFonts w:asciiTheme="minorHAnsi" w:hAnsiTheme="minorHAnsi" w:eastAsiaTheme="minorEastAsia" w:cstheme="minorBidi"/>
            <w:noProof/>
            <w:color w:val="auto"/>
            <w:sz w:val="22"/>
            <w:lang w:eastAsia="zh-CN"/>
          </w:rPr>
          <w:tab/>
        </w:r>
        <w:r w:rsidRPr="005E6150" w:rsidR="00516E4F">
          <w:rPr>
            <w:rStyle w:val="Hyperlink"/>
            <w:noProof/>
          </w:rPr>
          <w:t>Grounds for Concern</w:t>
        </w:r>
        <w:r w:rsidR="00516E4F">
          <w:rPr>
            <w:noProof/>
            <w:webHidden/>
          </w:rPr>
          <w:tab/>
        </w:r>
        <w:r w:rsidR="00516E4F">
          <w:rPr>
            <w:noProof/>
            <w:webHidden/>
          </w:rPr>
          <w:fldChar w:fldCharType="begin"/>
        </w:r>
        <w:r w:rsidR="00516E4F">
          <w:rPr>
            <w:noProof/>
            <w:webHidden/>
          </w:rPr>
          <w:instrText xml:space="preserve"> PAGEREF _Toc85539762 \h </w:instrText>
        </w:r>
        <w:r w:rsidR="00516E4F">
          <w:rPr>
            <w:noProof/>
            <w:webHidden/>
          </w:rPr>
        </w:r>
        <w:r w:rsidR="00516E4F">
          <w:rPr>
            <w:noProof/>
            <w:webHidden/>
          </w:rPr>
          <w:fldChar w:fldCharType="separate"/>
        </w:r>
        <w:r w:rsidR="00475E86">
          <w:rPr>
            <w:noProof/>
            <w:webHidden/>
          </w:rPr>
          <w:t>2</w:t>
        </w:r>
        <w:r w:rsidR="00516E4F">
          <w:rPr>
            <w:noProof/>
            <w:webHidden/>
          </w:rPr>
          <w:fldChar w:fldCharType="end"/>
        </w:r>
      </w:hyperlink>
    </w:p>
    <w:p w:rsidR="00516E4F" w:rsidP="00516E4F" w:rsidRDefault="00000000" w14:paraId="4B2698CE" w14:textId="0888CB63">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5539763">
        <w:r w:rsidRPr="005E6150" w:rsidR="00516E4F">
          <w:rPr>
            <w:rStyle w:val="Hyperlink"/>
            <w:bCs/>
            <w:noProof/>
          </w:rPr>
          <w:t>3.</w:t>
        </w:r>
        <w:r w:rsidR="00516E4F">
          <w:rPr>
            <w:rFonts w:asciiTheme="minorHAnsi" w:hAnsiTheme="minorHAnsi" w:eastAsiaTheme="minorEastAsia" w:cstheme="minorBidi"/>
            <w:noProof/>
            <w:color w:val="auto"/>
            <w:sz w:val="22"/>
            <w:lang w:eastAsia="zh-CN"/>
          </w:rPr>
          <w:tab/>
        </w:r>
        <w:r w:rsidRPr="005E6150" w:rsidR="00516E4F">
          <w:rPr>
            <w:rStyle w:val="Hyperlink"/>
            <w:noProof/>
          </w:rPr>
          <w:t>Investigation Stage</w:t>
        </w:r>
        <w:r w:rsidR="00516E4F">
          <w:rPr>
            <w:noProof/>
            <w:webHidden/>
          </w:rPr>
          <w:tab/>
        </w:r>
        <w:r w:rsidR="00516E4F">
          <w:rPr>
            <w:noProof/>
            <w:webHidden/>
          </w:rPr>
          <w:fldChar w:fldCharType="begin"/>
        </w:r>
        <w:r w:rsidR="00516E4F">
          <w:rPr>
            <w:noProof/>
            <w:webHidden/>
          </w:rPr>
          <w:instrText xml:space="preserve"> PAGEREF _Toc85539763 \h </w:instrText>
        </w:r>
        <w:r w:rsidR="00516E4F">
          <w:rPr>
            <w:noProof/>
            <w:webHidden/>
          </w:rPr>
        </w:r>
        <w:r w:rsidR="00516E4F">
          <w:rPr>
            <w:noProof/>
            <w:webHidden/>
          </w:rPr>
          <w:fldChar w:fldCharType="separate"/>
        </w:r>
        <w:r w:rsidR="00475E86">
          <w:rPr>
            <w:noProof/>
            <w:webHidden/>
          </w:rPr>
          <w:t>3</w:t>
        </w:r>
        <w:r w:rsidR="00516E4F">
          <w:rPr>
            <w:noProof/>
            <w:webHidden/>
          </w:rPr>
          <w:fldChar w:fldCharType="end"/>
        </w:r>
      </w:hyperlink>
    </w:p>
    <w:p w:rsidR="00516E4F" w:rsidP="00516E4F" w:rsidRDefault="00000000" w14:paraId="22C0EA15" w14:textId="39B1A38F">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5539764">
        <w:r w:rsidRPr="005E6150" w:rsidR="00516E4F">
          <w:rPr>
            <w:rStyle w:val="Hyperlink"/>
            <w:bCs/>
            <w:noProof/>
          </w:rPr>
          <w:t>4.</w:t>
        </w:r>
        <w:r w:rsidR="00516E4F">
          <w:rPr>
            <w:rFonts w:asciiTheme="minorHAnsi" w:hAnsiTheme="minorHAnsi" w:eastAsiaTheme="minorEastAsia" w:cstheme="minorBidi"/>
            <w:noProof/>
            <w:color w:val="auto"/>
            <w:sz w:val="22"/>
            <w:lang w:eastAsia="zh-CN"/>
          </w:rPr>
          <w:tab/>
        </w:r>
        <w:r w:rsidRPr="005E6150" w:rsidR="00516E4F">
          <w:rPr>
            <w:rStyle w:val="Hyperlink"/>
            <w:noProof/>
          </w:rPr>
          <w:t>Adjudication Stage</w:t>
        </w:r>
        <w:r w:rsidR="00516E4F">
          <w:rPr>
            <w:noProof/>
            <w:webHidden/>
          </w:rPr>
          <w:tab/>
        </w:r>
        <w:r w:rsidR="00516E4F">
          <w:rPr>
            <w:noProof/>
            <w:webHidden/>
          </w:rPr>
          <w:fldChar w:fldCharType="begin"/>
        </w:r>
        <w:r w:rsidR="00516E4F">
          <w:rPr>
            <w:noProof/>
            <w:webHidden/>
          </w:rPr>
          <w:instrText xml:space="preserve"> PAGEREF _Toc85539764 \h </w:instrText>
        </w:r>
        <w:r w:rsidR="00516E4F">
          <w:rPr>
            <w:noProof/>
            <w:webHidden/>
          </w:rPr>
        </w:r>
        <w:r w:rsidR="00516E4F">
          <w:rPr>
            <w:noProof/>
            <w:webHidden/>
          </w:rPr>
          <w:fldChar w:fldCharType="separate"/>
        </w:r>
        <w:r w:rsidR="00475E86">
          <w:rPr>
            <w:noProof/>
            <w:webHidden/>
          </w:rPr>
          <w:t>4</w:t>
        </w:r>
        <w:r w:rsidR="00516E4F">
          <w:rPr>
            <w:noProof/>
            <w:webHidden/>
          </w:rPr>
          <w:fldChar w:fldCharType="end"/>
        </w:r>
      </w:hyperlink>
    </w:p>
    <w:p w:rsidR="00516E4F" w:rsidP="00516E4F" w:rsidRDefault="00000000" w14:paraId="5DE0F9E6" w14:textId="1D465C71">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5539765">
        <w:r w:rsidRPr="005E6150" w:rsidR="00516E4F">
          <w:rPr>
            <w:rStyle w:val="Hyperlink"/>
            <w:bCs/>
            <w:noProof/>
          </w:rPr>
          <w:t>5.</w:t>
        </w:r>
        <w:r w:rsidR="00516E4F">
          <w:rPr>
            <w:rFonts w:asciiTheme="minorHAnsi" w:hAnsiTheme="minorHAnsi" w:eastAsiaTheme="minorEastAsia" w:cstheme="minorBidi"/>
            <w:noProof/>
            <w:color w:val="auto"/>
            <w:sz w:val="22"/>
            <w:lang w:eastAsia="zh-CN"/>
          </w:rPr>
          <w:tab/>
        </w:r>
        <w:r w:rsidRPr="005E6150" w:rsidR="00516E4F">
          <w:rPr>
            <w:rStyle w:val="Hyperlink"/>
            <w:noProof/>
          </w:rPr>
          <w:t>Powers of the Fitness to Practise Panel</w:t>
        </w:r>
        <w:r w:rsidR="00516E4F">
          <w:rPr>
            <w:noProof/>
            <w:webHidden/>
          </w:rPr>
          <w:tab/>
        </w:r>
        <w:r w:rsidR="00516E4F">
          <w:rPr>
            <w:noProof/>
            <w:webHidden/>
          </w:rPr>
          <w:fldChar w:fldCharType="begin"/>
        </w:r>
        <w:r w:rsidR="00516E4F">
          <w:rPr>
            <w:noProof/>
            <w:webHidden/>
          </w:rPr>
          <w:instrText xml:space="preserve"> PAGEREF _Toc85539765 \h </w:instrText>
        </w:r>
        <w:r w:rsidR="00516E4F">
          <w:rPr>
            <w:noProof/>
            <w:webHidden/>
          </w:rPr>
        </w:r>
        <w:r w:rsidR="00516E4F">
          <w:rPr>
            <w:noProof/>
            <w:webHidden/>
          </w:rPr>
          <w:fldChar w:fldCharType="separate"/>
        </w:r>
        <w:r w:rsidR="00475E86">
          <w:rPr>
            <w:noProof/>
            <w:webHidden/>
          </w:rPr>
          <w:t>5</w:t>
        </w:r>
        <w:r w:rsidR="00516E4F">
          <w:rPr>
            <w:noProof/>
            <w:webHidden/>
          </w:rPr>
          <w:fldChar w:fldCharType="end"/>
        </w:r>
      </w:hyperlink>
    </w:p>
    <w:p w:rsidR="00516E4F" w:rsidP="00516E4F" w:rsidRDefault="00000000" w14:paraId="1ADFD755" w14:textId="20585D91">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5539766">
        <w:r w:rsidRPr="005E6150" w:rsidR="00516E4F">
          <w:rPr>
            <w:rStyle w:val="Hyperlink"/>
            <w:bCs/>
            <w:noProof/>
          </w:rPr>
          <w:t>6.</w:t>
        </w:r>
        <w:r w:rsidR="00516E4F">
          <w:rPr>
            <w:rFonts w:asciiTheme="minorHAnsi" w:hAnsiTheme="minorHAnsi" w:eastAsiaTheme="minorEastAsia" w:cstheme="minorBidi"/>
            <w:noProof/>
            <w:color w:val="auto"/>
            <w:sz w:val="22"/>
            <w:lang w:eastAsia="zh-CN"/>
          </w:rPr>
          <w:tab/>
        </w:r>
        <w:r w:rsidRPr="005E6150" w:rsidR="00516E4F">
          <w:rPr>
            <w:rStyle w:val="Hyperlink"/>
            <w:noProof/>
          </w:rPr>
          <w:t>Appeals</w:t>
        </w:r>
        <w:r w:rsidR="00516E4F">
          <w:rPr>
            <w:noProof/>
            <w:webHidden/>
          </w:rPr>
          <w:tab/>
        </w:r>
        <w:r w:rsidR="00516E4F">
          <w:rPr>
            <w:noProof/>
            <w:webHidden/>
          </w:rPr>
          <w:fldChar w:fldCharType="begin"/>
        </w:r>
        <w:r w:rsidR="00516E4F">
          <w:rPr>
            <w:noProof/>
            <w:webHidden/>
          </w:rPr>
          <w:instrText xml:space="preserve"> PAGEREF _Toc85539766 \h </w:instrText>
        </w:r>
        <w:r w:rsidR="00516E4F">
          <w:rPr>
            <w:noProof/>
            <w:webHidden/>
          </w:rPr>
        </w:r>
        <w:r w:rsidR="00516E4F">
          <w:rPr>
            <w:noProof/>
            <w:webHidden/>
          </w:rPr>
          <w:fldChar w:fldCharType="separate"/>
        </w:r>
        <w:r w:rsidR="00475E86">
          <w:rPr>
            <w:noProof/>
            <w:webHidden/>
          </w:rPr>
          <w:t>5</w:t>
        </w:r>
        <w:r w:rsidR="00516E4F">
          <w:rPr>
            <w:noProof/>
            <w:webHidden/>
          </w:rPr>
          <w:fldChar w:fldCharType="end"/>
        </w:r>
      </w:hyperlink>
    </w:p>
    <w:p w:rsidR="00DC7EB2" w:rsidP="00516E4F" w:rsidRDefault="00DC7EB2" w14:paraId="3397D4B3" w14:textId="18548523">
      <w:pPr>
        <w:adjustRightInd w:val="0"/>
        <w:snapToGrid w:val="0"/>
        <w:ind w:left="567" w:right="95" w:hanging="567"/>
      </w:pPr>
      <w:r>
        <w:fldChar w:fldCharType="end"/>
      </w:r>
    </w:p>
    <w:p w:rsidR="00DC7EB2" w:rsidP="009D2F39" w:rsidRDefault="00DC7EB2" w14:paraId="62C7B8F5" w14:textId="77777777">
      <w:pPr>
        <w:adjustRightInd w:val="0"/>
        <w:snapToGrid w:val="0"/>
        <w:ind w:right="95"/>
      </w:pPr>
    </w:p>
    <w:p w:rsidR="00DC7EB2" w:rsidP="009D2F39" w:rsidRDefault="00DC7EB2" w14:paraId="230F785B" w14:textId="5C44AC49">
      <w:pPr>
        <w:adjustRightInd w:val="0"/>
        <w:snapToGrid w:val="0"/>
        <w:ind w:left="0" w:right="95" w:firstLine="0"/>
      </w:pPr>
      <w:r>
        <w:br w:type="page"/>
      </w:r>
    </w:p>
    <w:p w:rsidRPr="0081729D" w:rsidR="00D84B7D" w:rsidP="009D2F39" w:rsidRDefault="00D84B7D" w14:paraId="6966A2C9" w14:textId="77777777">
      <w:pPr>
        <w:pStyle w:val="Heading1"/>
        <w:adjustRightInd w:val="0"/>
        <w:snapToGrid w:val="0"/>
        <w:ind w:right="95"/>
      </w:pPr>
      <w:bookmarkStart w:name="_Toc85539761" w:id="0"/>
      <w:r w:rsidRPr="0081729D">
        <w:t>Procedures to End a Student’s Training</w:t>
      </w:r>
      <w:bookmarkEnd w:id="0"/>
    </w:p>
    <w:p w:rsidRPr="009D2F39" w:rsidR="00D84B7D" w:rsidP="009D2F39" w:rsidRDefault="00D84B7D" w14:paraId="217FF148" w14:textId="77777777">
      <w:pPr>
        <w:pStyle w:val="BodyText"/>
        <w:adjustRightInd w:val="0"/>
        <w:snapToGrid w:val="0"/>
        <w:spacing w:after="120"/>
        <w:ind w:left="567" w:right="95" w:hanging="567"/>
        <w:jc w:val="left"/>
        <w:rPr>
          <w:rFonts w:ascii="Arial" w:hAnsi="Arial" w:cs="Arial"/>
        </w:rPr>
      </w:pPr>
      <w:r w:rsidRPr="009D2F39">
        <w:rPr>
          <w:rFonts w:ascii="Arial" w:hAnsi="Arial" w:cs="Arial"/>
        </w:rPr>
        <w:t>1.1</w:t>
      </w:r>
      <w:r w:rsidRPr="009D2F39">
        <w:rPr>
          <w:rFonts w:ascii="Arial" w:hAnsi="Arial" w:cs="Arial"/>
        </w:rPr>
        <w:tab/>
      </w:r>
      <w:r w:rsidRPr="009D2F39">
        <w:rPr>
          <w:rFonts w:ascii="Arial" w:hAnsi="Arial" w:cs="Arial"/>
        </w:rPr>
        <w:t>All courses shall follow procedures to end a student’s registration if their behaviour:</w:t>
      </w:r>
    </w:p>
    <w:p w:rsidR="009D2AE0" w:rsidP="009D2F39" w:rsidRDefault="00D84B7D" w14:paraId="1F5C83AA" w14:textId="77777777">
      <w:pPr>
        <w:pStyle w:val="BodyText"/>
        <w:numPr>
          <w:ilvl w:val="0"/>
          <w:numId w:val="5"/>
        </w:numPr>
        <w:tabs>
          <w:tab w:val="clear" w:pos="1260"/>
          <w:tab w:val="num" w:pos="993"/>
        </w:tabs>
        <w:adjustRightInd w:val="0"/>
        <w:snapToGrid w:val="0"/>
        <w:spacing w:after="120"/>
        <w:ind w:left="993" w:right="95" w:hanging="426"/>
        <w:jc w:val="left"/>
        <w:rPr>
          <w:rFonts w:ascii="Arial" w:hAnsi="Arial" w:cs="Arial"/>
        </w:rPr>
      </w:pPr>
      <w:r w:rsidRPr="009D2F39">
        <w:rPr>
          <w:rFonts w:ascii="Arial" w:hAnsi="Arial" w:cs="Arial"/>
        </w:rPr>
        <w:t xml:space="preserve">Is confirmed to be damaging or dangerous to other people who use the student’s services, other students or course </w:t>
      </w:r>
      <w:proofErr w:type="gramStart"/>
      <w:r w:rsidRPr="009D2F39">
        <w:rPr>
          <w:rFonts w:ascii="Arial" w:hAnsi="Arial" w:cs="Arial"/>
        </w:rPr>
        <w:t>providers;</w:t>
      </w:r>
      <w:proofErr w:type="gramEnd"/>
      <w:r w:rsidRPr="009D2F39">
        <w:rPr>
          <w:rFonts w:ascii="Arial" w:hAnsi="Arial" w:cs="Arial"/>
        </w:rPr>
        <w:t xml:space="preserve"> </w:t>
      </w:r>
    </w:p>
    <w:p w:rsidRPr="009D2F39" w:rsidR="00D84B7D" w:rsidP="009D2AE0" w:rsidRDefault="00D84B7D" w14:paraId="44581F16" w14:textId="0E7E53AB">
      <w:pPr>
        <w:pStyle w:val="BodyText"/>
        <w:adjustRightInd w:val="0"/>
        <w:snapToGrid w:val="0"/>
        <w:spacing w:after="120"/>
        <w:ind w:left="993" w:right="95"/>
        <w:jc w:val="left"/>
        <w:rPr>
          <w:rFonts w:ascii="Arial" w:hAnsi="Arial" w:cs="Arial"/>
        </w:rPr>
      </w:pPr>
      <w:r w:rsidRPr="009D2F39">
        <w:rPr>
          <w:rFonts w:ascii="Arial" w:hAnsi="Arial" w:cs="Arial"/>
        </w:rPr>
        <w:t>or</w:t>
      </w:r>
    </w:p>
    <w:p w:rsidR="009D2AE0" w:rsidP="009D2F39" w:rsidRDefault="00D84B7D" w14:paraId="79409AA5" w14:textId="77777777">
      <w:pPr>
        <w:pStyle w:val="BodyText"/>
        <w:numPr>
          <w:ilvl w:val="0"/>
          <w:numId w:val="5"/>
        </w:numPr>
        <w:tabs>
          <w:tab w:val="clear" w:pos="1260"/>
          <w:tab w:val="num" w:pos="993"/>
        </w:tabs>
        <w:adjustRightInd w:val="0"/>
        <w:snapToGrid w:val="0"/>
        <w:spacing w:after="120"/>
        <w:ind w:left="993" w:right="95" w:hanging="426"/>
        <w:jc w:val="left"/>
        <w:rPr>
          <w:rFonts w:ascii="Arial" w:hAnsi="Arial" w:cs="Arial"/>
        </w:rPr>
      </w:pPr>
      <w:r w:rsidRPr="009D2F39">
        <w:rPr>
          <w:rFonts w:ascii="Arial" w:hAnsi="Arial" w:cs="Arial"/>
        </w:rPr>
        <w:t xml:space="preserve">Creates unacceptable risk for themselves or </w:t>
      </w:r>
      <w:proofErr w:type="gramStart"/>
      <w:r w:rsidRPr="009D2F39">
        <w:rPr>
          <w:rFonts w:ascii="Arial" w:hAnsi="Arial" w:cs="Arial"/>
        </w:rPr>
        <w:t>others;</w:t>
      </w:r>
      <w:proofErr w:type="gramEnd"/>
      <w:r w:rsidRPr="009D2F39">
        <w:rPr>
          <w:rFonts w:ascii="Arial" w:hAnsi="Arial" w:cs="Arial"/>
        </w:rPr>
        <w:t xml:space="preserve"> </w:t>
      </w:r>
    </w:p>
    <w:p w:rsidRPr="009D2F39" w:rsidR="00D84B7D" w:rsidP="009D2AE0" w:rsidRDefault="00D84B7D" w14:paraId="03AD7739" w14:textId="04061AD9">
      <w:pPr>
        <w:pStyle w:val="BodyText"/>
        <w:adjustRightInd w:val="0"/>
        <w:snapToGrid w:val="0"/>
        <w:spacing w:after="120"/>
        <w:ind w:left="993" w:right="95"/>
        <w:jc w:val="left"/>
        <w:rPr>
          <w:rFonts w:ascii="Arial" w:hAnsi="Arial" w:cs="Arial"/>
        </w:rPr>
      </w:pPr>
      <w:r w:rsidRPr="009D2F39">
        <w:rPr>
          <w:rFonts w:ascii="Arial" w:hAnsi="Arial" w:cs="Arial"/>
        </w:rPr>
        <w:t>or</w:t>
      </w:r>
    </w:p>
    <w:p w:rsidRPr="009D2F39" w:rsidR="00D84B7D" w:rsidP="009D2F39" w:rsidRDefault="00D84B7D" w14:paraId="30C36C39" w14:textId="77777777">
      <w:pPr>
        <w:pStyle w:val="BodyText"/>
        <w:numPr>
          <w:ilvl w:val="0"/>
          <w:numId w:val="5"/>
        </w:numPr>
        <w:tabs>
          <w:tab w:val="clear" w:pos="1260"/>
          <w:tab w:val="num" w:pos="993"/>
        </w:tabs>
        <w:adjustRightInd w:val="0"/>
        <w:snapToGrid w:val="0"/>
        <w:spacing w:after="120"/>
        <w:ind w:left="993" w:right="95" w:hanging="426"/>
        <w:jc w:val="left"/>
        <w:rPr>
          <w:rFonts w:ascii="Arial" w:hAnsi="Arial" w:cs="Arial"/>
        </w:rPr>
      </w:pPr>
      <w:r w:rsidRPr="009D2F39">
        <w:rPr>
          <w:rFonts w:ascii="Arial" w:hAnsi="Arial" w:cs="Arial"/>
        </w:rPr>
        <w:t>Shows a serious failure to follow the relevant body’s Code of Conduct.</w:t>
      </w:r>
    </w:p>
    <w:p w:rsidRPr="009D2F39" w:rsidR="00D84B7D" w:rsidP="009D2F39" w:rsidRDefault="00D84B7D" w14:paraId="541B881E" w14:textId="77777777">
      <w:pPr>
        <w:pStyle w:val="BodyText"/>
        <w:adjustRightInd w:val="0"/>
        <w:snapToGrid w:val="0"/>
        <w:spacing w:after="120"/>
        <w:ind w:left="540" w:right="95"/>
        <w:jc w:val="left"/>
        <w:rPr>
          <w:rFonts w:ascii="Arial" w:hAnsi="Arial" w:cs="Arial"/>
        </w:rPr>
      </w:pPr>
      <w:r w:rsidRPr="009D2F39">
        <w:rPr>
          <w:rFonts w:ascii="Arial" w:hAnsi="Arial" w:cs="Arial"/>
        </w:rPr>
        <w:t>These procedures must give the student the right to challenge evidence against them and the right to be accompanied or represented at any hearing.</w:t>
      </w:r>
    </w:p>
    <w:p w:rsidRPr="009D2F39" w:rsidR="00D84B7D" w:rsidP="009D2F39" w:rsidRDefault="00D84B7D" w14:paraId="3F41D6B1" w14:textId="77777777">
      <w:pPr>
        <w:pStyle w:val="BodyText"/>
        <w:adjustRightInd w:val="0"/>
        <w:snapToGrid w:val="0"/>
        <w:spacing w:after="120"/>
        <w:ind w:left="567" w:right="95" w:hanging="567"/>
        <w:jc w:val="left"/>
        <w:rPr>
          <w:rFonts w:ascii="Arial" w:hAnsi="Arial" w:cs="Arial"/>
        </w:rPr>
      </w:pPr>
      <w:r w:rsidRPr="009D2F39">
        <w:rPr>
          <w:rFonts w:ascii="Arial" w:hAnsi="Arial" w:cs="Arial"/>
        </w:rPr>
        <w:t>1.2</w:t>
      </w:r>
      <w:r w:rsidRPr="009D2F39">
        <w:rPr>
          <w:rFonts w:ascii="Arial" w:hAnsi="Arial" w:cs="Arial"/>
        </w:rPr>
        <w:tab/>
      </w:r>
      <w:r w:rsidRPr="009D2F39">
        <w:rPr>
          <w:rFonts w:ascii="Arial" w:hAnsi="Arial" w:cs="Arial"/>
        </w:rPr>
        <w:t xml:space="preserve">These procedures do not apply to cases of academic failure of clinical practice elements of courses of study. </w:t>
      </w:r>
    </w:p>
    <w:p w:rsidRPr="009D2F39" w:rsidR="00D84B7D" w:rsidP="009D2F39" w:rsidRDefault="00D84B7D" w14:paraId="5BD61E70" w14:textId="77777777">
      <w:pPr>
        <w:tabs>
          <w:tab w:val="left" w:pos="540"/>
        </w:tabs>
        <w:adjustRightInd w:val="0"/>
        <w:snapToGrid w:val="0"/>
        <w:ind w:right="95"/>
        <w:rPr>
          <w:szCs w:val="24"/>
        </w:rPr>
      </w:pPr>
    </w:p>
    <w:p w:rsidRPr="0081729D" w:rsidR="00D84B7D" w:rsidP="009D2F39" w:rsidRDefault="00D84B7D" w14:paraId="405A9C3C" w14:textId="5AEF4456">
      <w:pPr>
        <w:pStyle w:val="Heading1"/>
      </w:pPr>
      <w:bookmarkStart w:name="_Toc85539762" w:id="1"/>
      <w:r w:rsidRPr="0081729D">
        <w:t>Grounds for Concern</w:t>
      </w:r>
      <w:bookmarkEnd w:id="1"/>
    </w:p>
    <w:p w:rsidRPr="009D2F39" w:rsidR="00D84B7D" w:rsidP="009D2F39" w:rsidRDefault="00D84B7D" w14:paraId="6F2872B3" w14:textId="77777777">
      <w:pPr>
        <w:pStyle w:val="BodyTextIndent"/>
        <w:adjustRightInd w:val="0"/>
        <w:snapToGrid w:val="0"/>
        <w:spacing w:after="120"/>
        <w:ind w:right="95"/>
        <w:rPr>
          <w:rFonts w:ascii="Arial" w:hAnsi="Arial" w:cs="Arial"/>
        </w:rPr>
      </w:pPr>
      <w:r w:rsidRPr="009D2F39">
        <w:rPr>
          <w:rFonts w:ascii="Arial" w:hAnsi="Arial" w:cs="Arial"/>
        </w:rPr>
        <w:t>2.1</w:t>
      </w:r>
      <w:r w:rsidRPr="009D2F39">
        <w:rPr>
          <w:rFonts w:ascii="Arial" w:hAnsi="Arial" w:cs="Arial"/>
        </w:rPr>
        <w:tab/>
      </w:r>
      <w:r w:rsidRPr="009D2F39">
        <w:rPr>
          <w:rFonts w:ascii="Arial" w:hAnsi="Arial" w:cs="Arial"/>
        </w:rPr>
        <w:t>The grounds for concern regarding a student’s fitness to practise include the following:</w:t>
      </w:r>
    </w:p>
    <w:p w:rsidRPr="009D2F39" w:rsidR="00D84B7D" w:rsidP="009D2F39" w:rsidRDefault="00D84B7D" w14:paraId="7DC5331C" w14:textId="77777777">
      <w:pPr>
        <w:numPr>
          <w:ilvl w:val="0"/>
          <w:numId w:val="7"/>
        </w:numPr>
        <w:tabs>
          <w:tab w:val="clear" w:pos="1260"/>
          <w:tab w:val="num" w:pos="993"/>
        </w:tabs>
        <w:adjustRightInd w:val="0"/>
        <w:snapToGrid w:val="0"/>
        <w:ind w:left="993" w:right="95" w:hanging="453"/>
        <w:rPr>
          <w:szCs w:val="24"/>
        </w:rPr>
      </w:pPr>
      <w:r w:rsidRPr="009D2F39">
        <w:rPr>
          <w:szCs w:val="24"/>
        </w:rPr>
        <w:t xml:space="preserve">That the student is medically unfit to proceed – the fitness might be physical or psychological; and/or </w:t>
      </w:r>
    </w:p>
    <w:p w:rsidRPr="009D2F39" w:rsidR="00D84B7D" w:rsidP="009D2F39" w:rsidRDefault="00D84B7D" w14:paraId="1146C391" w14:textId="77777777">
      <w:pPr>
        <w:numPr>
          <w:ilvl w:val="0"/>
          <w:numId w:val="7"/>
        </w:numPr>
        <w:tabs>
          <w:tab w:val="clear" w:pos="1260"/>
          <w:tab w:val="num" w:pos="993"/>
        </w:tabs>
        <w:adjustRightInd w:val="0"/>
        <w:snapToGrid w:val="0"/>
        <w:ind w:left="993" w:right="95" w:hanging="453"/>
        <w:rPr>
          <w:szCs w:val="24"/>
        </w:rPr>
      </w:pPr>
      <w:r w:rsidRPr="009D2F39">
        <w:rPr>
          <w:szCs w:val="24"/>
        </w:rPr>
        <w:t xml:space="preserve">Confirmation that:  </w:t>
      </w:r>
    </w:p>
    <w:p w:rsidR="009D2AE0" w:rsidP="009D2F39" w:rsidRDefault="00D84B7D" w14:paraId="52D80208" w14:textId="77777777">
      <w:pPr>
        <w:pStyle w:val="BodyText"/>
        <w:numPr>
          <w:ilvl w:val="1"/>
          <w:numId w:val="7"/>
        </w:numPr>
        <w:tabs>
          <w:tab w:val="clear" w:pos="1620"/>
          <w:tab w:val="num" w:pos="1418"/>
        </w:tabs>
        <w:adjustRightInd w:val="0"/>
        <w:snapToGrid w:val="0"/>
        <w:spacing w:after="120"/>
        <w:ind w:left="1418" w:right="95" w:hanging="425"/>
        <w:jc w:val="left"/>
        <w:rPr>
          <w:rFonts w:ascii="Arial" w:hAnsi="Arial" w:cs="Arial"/>
        </w:rPr>
      </w:pPr>
      <w:r w:rsidRPr="009D2F39">
        <w:rPr>
          <w:rFonts w:ascii="Arial" w:hAnsi="Arial" w:cs="Arial"/>
        </w:rPr>
        <w:t xml:space="preserve">the student’s behaviour is damaging or dangerous to other people who use the student’s services, other students or course </w:t>
      </w:r>
      <w:proofErr w:type="gramStart"/>
      <w:r w:rsidRPr="009D2F39">
        <w:rPr>
          <w:rFonts w:ascii="Arial" w:hAnsi="Arial" w:cs="Arial"/>
        </w:rPr>
        <w:t>providers;</w:t>
      </w:r>
      <w:proofErr w:type="gramEnd"/>
      <w:r w:rsidRPr="009D2F39">
        <w:rPr>
          <w:rFonts w:ascii="Arial" w:hAnsi="Arial" w:cs="Arial"/>
        </w:rPr>
        <w:t xml:space="preserve"> </w:t>
      </w:r>
    </w:p>
    <w:p w:rsidRPr="009D2F39" w:rsidR="00D84B7D" w:rsidP="009D2AE0" w:rsidRDefault="00D84B7D" w14:paraId="62C95808" w14:textId="0141C2BA">
      <w:pPr>
        <w:pStyle w:val="BodyText"/>
        <w:adjustRightInd w:val="0"/>
        <w:snapToGrid w:val="0"/>
        <w:spacing w:after="120"/>
        <w:ind w:left="1418" w:right="95"/>
        <w:jc w:val="left"/>
        <w:rPr>
          <w:rFonts w:ascii="Arial" w:hAnsi="Arial" w:cs="Arial"/>
        </w:rPr>
      </w:pPr>
      <w:r w:rsidRPr="009D2F39">
        <w:rPr>
          <w:rFonts w:ascii="Arial" w:hAnsi="Arial" w:cs="Arial"/>
        </w:rPr>
        <w:t>and/or</w:t>
      </w:r>
    </w:p>
    <w:p w:rsidR="009D2AE0" w:rsidP="009D2F39" w:rsidRDefault="00D84B7D" w14:paraId="67BCE896" w14:textId="77777777">
      <w:pPr>
        <w:numPr>
          <w:ilvl w:val="1"/>
          <w:numId w:val="7"/>
        </w:numPr>
        <w:tabs>
          <w:tab w:val="clear" w:pos="1620"/>
          <w:tab w:val="num" w:pos="1418"/>
        </w:tabs>
        <w:adjustRightInd w:val="0"/>
        <w:snapToGrid w:val="0"/>
        <w:ind w:left="1418" w:right="95" w:hanging="425"/>
        <w:rPr>
          <w:szCs w:val="24"/>
        </w:rPr>
      </w:pPr>
      <w:r w:rsidRPr="009D2F39">
        <w:rPr>
          <w:szCs w:val="24"/>
        </w:rPr>
        <w:t xml:space="preserve">the student’s behaviour creates unacceptable risk for themselves or </w:t>
      </w:r>
      <w:proofErr w:type="gramStart"/>
      <w:r w:rsidRPr="009D2F39">
        <w:rPr>
          <w:szCs w:val="24"/>
        </w:rPr>
        <w:t>others;</w:t>
      </w:r>
      <w:proofErr w:type="gramEnd"/>
      <w:r w:rsidRPr="009D2F39">
        <w:rPr>
          <w:szCs w:val="24"/>
        </w:rPr>
        <w:t xml:space="preserve"> </w:t>
      </w:r>
    </w:p>
    <w:p w:rsidRPr="009D2F39" w:rsidR="00D84B7D" w:rsidP="009D2AE0" w:rsidRDefault="00D84B7D" w14:paraId="61431A3F" w14:textId="779D4715">
      <w:pPr>
        <w:adjustRightInd w:val="0"/>
        <w:snapToGrid w:val="0"/>
        <w:ind w:left="1418" w:right="95" w:firstLine="0"/>
        <w:rPr>
          <w:szCs w:val="24"/>
        </w:rPr>
      </w:pPr>
      <w:r w:rsidRPr="009D2F39">
        <w:rPr>
          <w:szCs w:val="24"/>
        </w:rPr>
        <w:t>and/or</w:t>
      </w:r>
    </w:p>
    <w:p w:rsidRPr="009D2F39" w:rsidR="00D84B7D" w:rsidP="009D2F39" w:rsidRDefault="00D84B7D" w14:paraId="6652DFF1" w14:textId="77777777">
      <w:pPr>
        <w:numPr>
          <w:ilvl w:val="1"/>
          <w:numId w:val="7"/>
        </w:numPr>
        <w:tabs>
          <w:tab w:val="clear" w:pos="1620"/>
          <w:tab w:val="num" w:pos="1418"/>
        </w:tabs>
        <w:adjustRightInd w:val="0"/>
        <w:snapToGrid w:val="0"/>
        <w:ind w:left="1418" w:right="95" w:hanging="425"/>
        <w:rPr>
          <w:szCs w:val="24"/>
        </w:rPr>
      </w:pPr>
      <w:r w:rsidRPr="009D2F39">
        <w:rPr>
          <w:szCs w:val="24"/>
        </w:rPr>
        <w:t>There is substantial evidence that the student is unlikely to demonstrate and promote the positive values, attitudes and behaviour expected in the professional setting (</w:t>
      </w:r>
      <w:proofErr w:type="gramStart"/>
      <w:r w:rsidRPr="009D2F39">
        <w:rPr>
          <w:szCs w:val="24"/>
        </w:rPr>
        <w:t>e.g.</w:t>
      </w:r>
      <w:proofErr w:type="gramEnd"/>
      <w:r w:rsidRPr="009D2F39">
        <w:rPr>
          <w:szCs w:val="24"/>
        </w:rPr>
        <w:t xml:space="preserve"> as per the relevant body’s Code of Conduct or other relevant professional guidelines). </w:t>
      </w:r>
    </w:p>
    <w:p w:rsidRPr="009D2F39" w:rsidR="00D84B7D" w:rsidP="009D2F39" w:rsidRDefault="00D84B7D" w14:paraId="14660076" w14:textId="77777777">
      <w:pPr>
        <w:pStyle w:val="BodyTextIndent2"/>
        <w:adjustRightInd w:val="0"/>
        <w:snapToGrid w:val="0"/>
        <w:spacing w:after="120"/>
        <w:ind w:left="567" w:right="95" w:hanging="567"/>
        <w:jc w:val="left"/>
        <w:rPr>
          <w:rFonts w:ascii="Arial" w:hAnsi="Arial" w:cs="Arial"/>
        </w:rPr>
      </w:pPr>
      <w:r w:rsidRPr="009D2F39">
        <w:rPr>
          <w:rFonts w:ascii="Arial" w:hAnsi="Arial" w:cs="Arial"/>
        </w:rPr>
        <w:t>2.2</w:t>
      </w:r>
      <w:r w:rsidRPr="009D2F39">
        <w:rPr>
          <w:rFonts w:ascii="Arial" w:hAnsi="Arial" w:cs="Arial"/>
        </w:rPr>
        <w:tab/>
      </w:r>
      <w:r w:rsidRPr="009D2F39">
        <w:rPr>
          <w:rFonts w:ascii="Arial" w:hAnsi="Arial" w:cs="Arial"/>
        </w:rPr>
        <w:t xml:space="preserve">The review panel will be known as the ‘Fitness to Practise Health Panel’ if the cause of the alleged unfitness to practise falls under (i) above, or, if the allegations fall under (ii), as the ‘Fitness to Practise Conduct Panel’. The </w:t>
      </w:r>
      <w:r w:rsidRPr="009D2F39">
        <w:rPr>
          <w:rFonts w:ascii="Arial" w:hAnsi="Arial" w:cs="Arial"/>
        </w:rPr>
        <w:t xml:space="preserve">Health Committee shall include a person with experience of dealing with student health issues. </w:t>
      </w:r>
    </w:p>
    <w:p w:rsidRPr="00E92F5E" w:rsidR="00D84B7D" w:rsidP="009D2F39" w:rsidRDefault="00D84B7D" w14:paraId="282C7587" w14:textId="77777777">
      <w:pPr>
        <w:tabs>
          <w:tab w:val="left" w:pos="540"/>
        </w:tabs>
        <w:adjustRightInd w:val="0"/>
        <w:snapToGrid w:val="0"/>
        <w:ind w:right="95"/>
        <w:rPr>
          <w:sz w:val="22"/>
        </w:rPr>
      </w:pPr>
    </w:p>
    <w:p w:rsidRPr="00E92F5E" w:rsidR="00D84B7D" w:rsidP="009D2F39" w:rsidRDefault="00D84B7D" w14:paraId="4CA57A88" w14:textId="206FC17D">
      <w:pPr>
        <w:pStyle w:val="Heading1"/>
        <w:rPr>
          <w:i/>
        </w:rPr>
      </w:pPr>
      <w:bookmarkStart w:name="_Toc85539763" w:id="2"/>
      <w:r w:rsidRPr="00E92F5E">
        <w:t>Investigation Stage</w:t>
      </w:r>
      <w:bookmarkEnd w:id="2"/>
    </w:p>
    <w:p w:rsidRPr="009D2F39" w:rsidR="00D84B7D" w:rsidP="009D2F39" w:rsidRDefault="00D84B7D" w14:paraId="035A9FFB" w14:textId="77777777">
      <w:pPr>
        <w:pStyle w:val="BodyTextIndent"/>
        <w:adjustRightInd w:val="0"/>
        <w:snapToGrid w:val="0"/>
        <w:spacing w:after="120"/>
        <w:ind w:right="95"/>
        <w:rPr>
          <w:rFonts w:ascii="Arial" w:hAnsi="Arial" w:cs="Arial"/>
        </w:rPr>
      </w:pPr>
      <w:r w:rsidRPr="009D2F39">
        <w:rPr>
          <w:rFonts w:ascii="Arial" w:hAnsi="Arial" w:cs="Arial"/>
        </w:rPr>
        <w:t>3.1</w:t>
      </w:r>
      <w:r w:rsidRPr="009D2F39">
        <w:rPr>
          <w:rFonts w:ascii="Arial" w:hAnsi="Arial" w:cs="Arial"/>
        </w:rPr>
        <w:tab/>
      </w:r>
      <w:r w:rsidRPr="009D2F39">
        <w:rPr>
          <w:rFonts w:ascii="Arial" w:hAnsi="Arial" w:cs="Arial"/>
        </w:rPr>
        <w:t>Concerns relating to a student’s fitness to practise, whether from an academic member of staff or from an external agency/institution, should be passed in writing to the Director of Division. The Director of Division</w:t>
      </w:r>
      <w:r w:rsidRPr="009D2F39" w:rsidDel="005E30F7">
        <w:rPr>
          <w:rFonts w:ascii="Arial" w:hAnsi="Arial" w:cs="Arial"/>
        </w:rPr>
        <w:t xml:space="preserve"> </w:t>
      </w:r>
      <w:r w:rsidRPr="009D2F39">
        <w:rPr>
          <w:rFonts w:ascii="Arial" w:hAnsi="Arial" w:cs="Arial"/>
        </w:rPr>
        <w:t>shall authorise an initial investigation as to whether there are grounds for concern regarding a student’s fitness to practise, as specified above. The Director of Division</w:t>
      </w:r>
      <w:r w:rsidRPr="009D2F39" w:rsidDel="005E30F7">
        <w:rPr>
          <w:rFonts w:ascii="Arial" w:hAnsi="Arial" w:cs="Arial"/>
        </w:rPr>
        <w:t xml:space="preserve"> </w:t>
      </w:r>
      <w:r w:rsidRPr="009D2F39">
        <w:rPr>
          <w:rFonts w:ascii="Arial" w:hAnsi="Arial" w:cs="Arial"/>
        </w:rPr>
        <w:t xml:space="preserve">shall within five working days refer the matter to another member of staff for investigation and shall notify the student of </w:t>
      </w:r>
    </w:p>
    <w:p w:rsidRPr="009D2F39" w:rsidR="00D84B7D" w:rsidP="009D2F39" w:rsidRDefault="00D84B7D" w14:paraId="46B81B3A" w14:textId="77777777">
      <w:pPr>
        <w:pStyle w:val="BodyTextIndent"/>
        <w:adjustRightInd w:val="0"/>
        <w:snapToGrid w:val="0"/>
        <w:spacing w:after="120"/>
        <w:ind w:left="993" w:right="95" w:hanging="426"/>
        <w:rPr>
          <w:rFonts w:ascii="Arial" w:hAnsi="Arial" w:cs="Arial"/>
        </w:rPr>
      </w:pPr>
      <w:r w:rsidRPr="009D2F39">
        <w:rPr>
          <w:rFonts w:ascii="Arial" w:hAnsi="Arial" w:cs="Arial"/>
        </w:rPr>
        <w:t xml:space="preserve">a. </w:t>
      </w:r>
      <w:r w:rsidRPr="009D2F39">
        <w:rPr>
          <w:rFonts w:ascii="Arial" w:hAnsi="Arial" w:cs="Arial"/>
        </w:rPr>
        <w:tab/>
      </w:r>
      <w:r w:rsidRPr="009D2F39">
        <w:rPr>
          <w:rFonts w:ascii="Arial" w:hAnsi="Arial" w:cs="Arial"/>
        </w:rPr>
        <w:t xml:space="preserve">the details of the allegations against them; and </w:t>
      </w:r>
    </w:p>
    <w:p w:rsidRPr="009D2F39" w:rsidR="00D84B7D" w:rsidP="009D2F39" w:rsidRDefault="00D84B7D" w14:paraId="1FF95F02" w14:textId="77777777">
      <w:pPr>
        <w:pStyle w:val="BodyTextIndent"/>
        <w:adjustRightInd w:val="0"/>
        <w:snapToGrid w:val="0"/>
        <w:spacing w:after="120"/>
        <w:ind w:left="993" w:right="95" w:hanging="426"/>
        <w:rPr>
          <w:rFonts w:ascii="Arial" w:hAnsi="Arial" w:cs="Arial"/>
        </w:rPr>
      </w:pPr>
      <w:r w:rsidRPr="009D2F39">
        <w:rPr>
          <w:rFonts w:ascii="Arial" w:hAnsi="Arial" w:cs="Arial"/>
        </w:rPr>
        <w:t>b.</w:t>
      </w:r>
      <w:r w:rsidRPr="009D2F39">
        <w:rPr>
          <w:rFonts w:ascii="Arial" w:hAnsi="Arial" w:cs="Arial"/>
        </w:rPr>
        <w:tab/>
      </w:r>
      <w:r w:rsidRPr="009D2F39">
        <w:rPr>
          <w:rFonts w:ascii="Arial" w:hAnsi="Arial" w:cs="Arial"/>
        </w:rPr>
        <w:t>the identity of the investigating officer; and</w:t>
      </w:r>
    </w:p>
    <w:p w:rsidRPr="009D2F39" w:rsidR="00D84B7D" w:rsidP="009D2F39" w:rsidRDefault="00D84B7D" w14:paraId="3CBE8886" w14:textId="77777777">
      <w:pPr>
        <w:pStyle w:val="BodyTextIndent"/>
        <w:tabs>
          <w:tab w:val="clear" w:pos="540"/>
          <w:tab w:val="left" w:pos="1440"/>
        </w:tabs>
        <w:adjustRightInd w:val="0"/>
        <w:snapToGrid w:val="0"/>
        <w:spacing w:after="120"/>
        <w:ind w:left="993" w:right="95" w:hanging="426"/>
        <w:rPr>
          <w:rFonts w:ascii="Arial" w:hAnsi="Arial" w:cs="Arial"/>
        </w:rPr>
      </w:pPr>
      <w:r w:rsidRPr="009D2F39">
        <w:rPr>
          <w:rFonts w:ascii="Arial" w:hAnsi="Arial" w:cs="Arial"/>
        </w:rPr>
        <w:t>c.</w:t>
      </w:r>
      <w:r w:rsidRPr="009D2F39">
        <w:rPr>
          <w:rFonts w:ascii="Arial" w:hAnsi="Arial" w:cs="Arial"/>
        </w:rPr>
        <w:tab/>
      </w:r>
      <w:r w:rsidRPr="009D2F39">
        <w:rPr>
          <w:rFonts w:ascii="Arial" w:hAnsi="Arial" w:cs="Arial"/>
        </w:rPr>
        <w:t>any suspension from their clinical course or limitations or conditions placed upon the continuance of their studies or supervised practice during the period of the investigation.</w:t>
      </w:r>
    </w:p>
    <w:p w:rsidRPr="009D2F39" w:rsidR="00D84B7D" w:rsidP="009D2F39" w:rsidRDefault="00D84B7D" w14:paraId="74884A61" w14:textId="77777777">
      <w:pPr>
        <w:pStyle w:val="BodyTextIndent"/>
        <w:adjustRightInd w:val="0"/>
        <w:snapToGrid w:val="0"/>
        <w:spacing w:after="120"/>
        <w:ind w:left="567" w:right="95" w:hanging="567"/>
        <w:rPr>
          <w:rFonts w:ascii="Arial" w:hAnsi="Arial" w:cs="Arial"/>
        </w:rPr>
      </w:pPr>
      <w:r w:rsidRPr="009D2F39">
        <w:rPr>
          <w:rFonts w:ascii="Arial" w:hAnsi="Arial" w:cs="Arial"/>
        </w:rPr>
        <w:t xml:space="preserve">3.2 </w:t>
      </w:r>
      <w:r w:rsidRPr="009D2F39">
        <w:rPr>
          <w:rFonts w:ascii="Arial" w:hAnsi="Arial" w:cs="Arial"/>
        </w:rPr>
        <w:tab/>
      </w:r>
      <w:r w:rsidRPr="009D2F39">
        <w:rPr>
          <w:rFonts w:ascii="Arial" w:hAnsi="Arial" w:cs="Arial"/>
        </w:rPr>
        <w:t xml:space="preserve">The investigating officer may request the members of staff connected with the case to provide written comments on the student’s conduct and/or health, explaining why there is concern as to the student’s fitness to practise. </w:t>
      </w:r>
      <w:proofErr w:type="gramStart"/>
      <w:r w:rsidRPr="009D2F39">
        <w:rPr>
          <w:rFonts w:ascii="Arial" w:hAnsi="Arial" w:cs="Arial"/>
        </w:rPr>
        <w:t>Factual information</w:t>
      </w:r>
      <w:proofErr w:type="gramEnd"/>
      <w:r w:rsidRPr="009D2F39">
        <w:rPr>
          <w:rFonts w:ascii="Arial" w:hAnsi="Arial" w:cs="Arial"/>
        </w:rPr>
        <w:t xml:space="preserve"> about the student’s professional progress on the course of study and any other relevant documentation should also be provided. </w:t>
      </w:r>
    </w:p>
    <w:p w:rsidRPr="009D2F39" w:rsidR="00D84B7D" w:rsidP="009D2F39" w:rsidRDefault="00D84B7D" w14:paraId="2B9A52F1" w14:textId="77777777">
      <w:pPr>
        <w:pStyle w:val="BodyTextIndent3"/>
        <w:adjustRightInd w:val="0"/>
        <w:snapToGrid w:val="0"/>
        <w:spacing w:after="120"/>
        <w:ind w:left="567" w:right="95" w:hanging="567"/>
        <w:jc w:val="left"/>
        <w:rPr>
          <w:rFonts w:ascii="Arial" w:hAnsi="Arial" w:cs="Arial"/>
        </w:rPr>
      </w:pPr>
      <w:r w:rsidRPr="009D2F39">
        <w:rPr>
          <w:rFonts w:ascii="Arial" w:hAnsi="Arial" w:cs="Arial"/>
        </w:rPr>
        <w:t xml:space="preserve">3.3 </w:t>
      </w:r>
      <w:r w:rsidRPr="009D2F39">
        <w:rPr>
          <w:rFonts w:ascii="Arial" w:hAnsi="Arial" w:cs="Arial"/>
        </w:rPr>
        <w:tab/>
      </w:r>
      <w:r w:rsidRPr="009D2F39">
        <w:rPr>
          <w:rFonts w:ascii="Arial" w:hAnsi="Arial" w:cs="Arial"/>
        </w:rPr>
        <w:t>The investigating officer shall interview relevant individuals including the student in question. At such interviews the investigating officer shall be accompanied by a secretary who shall prepare a written note of the interview.</w:t>
      </w:r>
    </w:p>
    <w:p w:rsidRPr="009D2F39" w:rsidR="00D84B7D" w:rsidP="009D2F39" w:rsidRDefault="00D84B7D" w14:paraId="5A6CAA03" w14:textId="77777777">
      <w:pPr>
        <w:pStyle w:val="BodyTextIndent"/>
        <w:adjustRightInd w:val="0"/>
        <w:snapToGrid w:val="0"/>
        <w:spacing w:after="120"/>
        <w:ind w:left="567" w:right="95" w:hanging="567"/>
        <w:rPr>
          <w:rFonts w:ascii="Arial" w:hAnsi="Arial" w:cs="Arial"/>
        </w:rPr>
      </w:pPr>
      <w:r w:rsidRPr="009D2F39">
        <w:rPr>
          <w:rFonts w:ascii="Arial" w:hAnsi="Arial" w:cs="Arial"/>
        </w:rPr>
        <w:t>3.4</w:t>
      </w:r>
      <w:r w:rsidRPr="009D2F39">
        <w:rPr>
          <w:rFonts w:ascii="Arial" w:hAnsi="Arial" w:cs="Arial"/>
        </w:rPr>
        <w:tab/>
      </w:r>
      <w:r w:rsidRPr="009D2F39">
        <w:rPr>
          <w:rFonts w:ascii="Arial" w:hAnsi="Arial" w:cs="Arial"/>
        </w:rPr>
        <w:t xml:space="preserve">The student, in order that a report can be made on their fitness to practise on medical grounds, may be required to be assessed by a suitably qualified Health Practitioner as appointed by the University for this purpose. </w:t>
      </w:r>
    </w:p>
    <w:p w:rsidRPr="009D2F39" w:rsidR="00D84B7D" w:rsidP="009D2F39" w:rsidRDefault="00D84B7D" w14:paraId="15C3135A" w14:textId="77777777">
      <w:pPr>
        <w:pStyle w:val="BodyTextIndent"/>
        <w:adjustRightInd w:val="0"/>
        <w:snapToGrid w:val="0"/>
        <w:spacing w:after="120"/>
        <w:ind w:left="567" w:right="95" w:hanging="567"/>
        <w:rPr>
          <w:rFonts w:ascii="Arial" w:hAnsi="Arial" w:cs="Arial"/>
        </w:rPr>
      </w:pPr>
      <w:r w:rsidRPr="009D2F39">
        <w:rPr>
          <w:rFonts w:ascii="Arial" w:hAnsi="Arial" w:cs="Arial"/>
        </w:rPr>
        <w:t>3.5</w:t>
      </w:r>
      <w:r w:rsidRPr="009D2F39">
        <w:rPr>
          <w:rFonts w:ascii="Arial" w:hAnsi="Arial" w:cs="Arial"/>
        </w:rPr>
        <w:tab/>
      </w:r>
      <w:r w:rsidRPr="009D2F39">
        <w:rPr>
          <w:rFonts w:ascii="Arial" w:hAnsi="Arial" w:cs="Arial"/>
        </w:rPr>
        <w:t>On receipt of the report from the investigating officer, and within five working days, the Director of Division shall notify the student in writing of:</w:t>
      </w:r>
    </w:p>
    <w:p w:rsidRPr="009D2F39" w:rsidR="00D84B7D" w:rsidP="009D2F39" w:rsidRDefault="00D84B7D" w14:paraId="77CA2A80" w14:textId="77777777">
      <w:pPr>
        <w:pStyle w:val="BodyTextIndent"/>
        <w:tabs>
          <w:tab w:val="clear" w:pos="540"/>
          <w:tab w:val="left" w:pos="993"/>
        </w:tabs>
        <w:adjustRightInd w:val="0"/>
        <w:snapToGrid w:val="0"/>
        <w:spacing w:after="120"/>
        <w:ind w:left="993" w:right="95" w:hanging="426"/>
        <w:rPr>
          <w:rFonts w:ascii="Arial" w:hAnsi="Arial" w:cs="Arial"/>
        </w:rPr>
      </w:pPr>
      <w:r w:rsidRPr="009D2F39">
        <w:rPr>
          <w:rFonts w:ascii="Arial" w:hAnsi="Arial" w:cs="Arial"/>
        </w:rPr>
        <w:t>a.</w:t>
      </w:r>
      <w:r w:rsidRPr="009D2F39">
        <w:rPr>
          <w:rFonts w:ascii="Arial" w:hAnsi="Arial" w:cs="Arial"/>
        </w:rPr>
        <w:tab/>
      </w:r>
      <w:r w:rsidRPr="009D2F39">
        <w:rPr>
          <w:rFonts w:ascii="Arial" w:hAnsi="Arial" w:cs="Arial"/>
        </w:rPr>
        <w:t xml:space="preserve">the outcome of the </w:t>
      </w:r>
      <w:proofErr w:type="gramStart"/>
      <w:r w:rsidRPr="009D2F39">
        <w:rPr>
          <w:rFonts w:ascii="Arial" w:hAnsi="Arial" w:cs="Arial"/>
        </w:rPr>
        <w:t>investigation;</w:t>
      </w:r>
      <w:proofErr w:type="gramEnd"/>
    </w:p>
    <w:p w:rsidRPr="009D2F39" w:rsidR="00D84B7D" w:rsidP="009D2F39" w:rsidRDefault="00D84B7D" w14:paraId="21CD634B" w14:textId="77777777">
      <w:pPr>
        <w:pStyle w:val="BodyTextIndent"/>
        <w:tabs>
          <w:tab w:val="clear" w:pos="540"/>
          <w:tab w:val="left" w:pos="993"/>
        </w:tabs>
        <w:adjustRightInd w:val="0"/>
        <w:snapToGrid w:val="0"/>
        <w:spacing w:after="120"/>
        <w:ind w:left="993" w:right="95" w:hanging="426"/>
        <w:rPr>
          <w:rFonts w:ascii="Arial" w:hAnsi="Arial" w:cs="Arial"/>
        </w:rPr>
      </w:pPr>
      <w:r w:rsidRPr="009D2F39">
        <w:rPr>
          <w:rFonts w:ascii="Arial" w:hAnsi="Arial" w:cs="Arial"/>
        </w:rPr>
        <w:t>b.</w:t>
      </w:r>
      <w:r w:rsidRPr="009D2F39">
        <w:rPr>
          <w:rFonts w:ascii="Arial" w:hAnsi="Arial" w:cs="Arial"/>
        </w:rPr>
        <w:tab/>
      </w:r>
      <w:r w:rsidRPr="009D2F39">
        <w:rPr>
          <w:rFonts w:ascii="Arial" w:hAnsi="Arial" w:cs="Arial"/>
        </w:rPr>
        <w:t xml:space="preserve">whether the matter is to be referred to the Fitness to Practise [Health/Conduct] Panel together with full details of the procedures to be </w:t>
      </w:r>
      <w:proofErr w:type="gramStart"/>
      <w:r w:rsidRPr="009D2F39">
        <w:rPr>
          <w:rFonts w:ascii="Arial" w:hAnsi="Arial" w:cs="Arial"/>
        </w:rPr>
        <w:t>adopted;</w:t>
      </w:r>
      <w:proofErr w:type="gramEnd"/>
      <w:r w:rsidRPr="009D2F39">
        <w:rPr>
          <w:rFonts w:ascii="Arial" w:hAnsi="Arial" w:cs="Arial"/>
        </w:rPr>
        <w:t xml:space="preserve"> </w:t>
      </w:r>
    </w:p>
    <w:p w:rsidRPr="009D2F39" w:rsidR="00D84B7D" w:rsidP="009D2F39" w:rsidRDefault="00D84B7D" w14:paraId="5F66F236" w14:textId="77777777">
      <w:pPr>
        <w:pStyle w:val="BodyTextIndent"/>
        <w:tabs>
          <w:tab w:val="clear" w:pos="540"/>
          <w:tab w:val="left" w:pos="993"/>
        </w:tabs>
        <w:adjustRightInd w:val="0"/>
        <w:snapToGrid w:val="0"/>
        <w:spacing w:after="120"/>
        <w:ind w:left="993" w:right="95" w:hanging="426"/>
        <w:rPr>
          <w:rFonts w:ascii="Arial" w:hAnsi="Arial" w:cs="Arial"/>
        </w:rPr>
      </w:pPr>
      <w:r w:rsidRPr="009D2F39">
        <w:rPr>
          <w:rFonts w:ascii="Arial" w:hAnsi="Arial" w:cs="Arial"/>
        </w:rPr>
        <w:t>c.</w:t>
      </w:r>
      <w:r w:rsidRPr="009D2F39">
        <w:rPr>
          <w:rFonts w:ascii="Arial" w:hAnsi="Arial" w:cs="Arial"/>
        </w:rPr>
        <w:tab/>
      </w:r>
      <w:r w:rsidRPr="009D2F39">
        <w:rPr>
          <w:rFonts w:ascii="Arial" w:hAnsi="Arial" w:cs="Arial"/>
        </w:rPr>
        <w:t xml:space="preserve">the imposition, cessation, continuance or alteration (as the case may be) of any suspension or conditions/limitations placed on the student’s </w:t>
      </w:r>
      <w:proofErr w:type="gramStart"/>
      <w:r w:rsidRPr="009D2F39">
        <w:rPr>
          <w:rFonts w:ascii="Arial" w:hAnsi="Arial" w:cs="Arial"/>
        </w:rPr>
        <w:t>studies;</w:t>
      </w:r>
      <w:proofErr w:type="gramEnd"/>
    </w:p>
    <w:p w:rsidRPr="009D2F39" w:rsidR="00D84B7D" w:rsidP="009D2F39" w:rsidRDefault="00D84B7D" w14:paraId="0B66E3C7" w14:textId="455F8C5E">
      <w:pPr>
        <w:pStyle w:val="BodyTextIndent"/>
        <w:tabs>
          <w:tab w:val="clear" w:pos="540"/>
          <w:tab w:val="left" w:pos="993"/>
        </w:tabs>
        <w:adjustRightInd w:val="0"/>
        <w:snapToGrid w:val="0"/>
        <w:spacing w:after="120"/>
        <w:ind w:left="993" w:right="95" w:hanging="426"/>
        <w:rPr>
          <w:rFonts w:ascii="Arial" w:hAnsi="Arial" w:cs="Arial"/>
        </w:rPr>
      </w:pPr>
      <w:r w:rsidRPr="009D2F39">
        <w:rPr>
          <w:rFonts w:ascii="Arial" w:hAnsi="Arial" w:cs="Arial"/>
        </w:rPr>
        <w:t>d.</w:t>
      </w:r>
      <w:r w:rsidRPr="009D2F39">
        <w:rPr>
          <w:rFonts w:ascii="Arial" w:hAnsi="Arial" w:cs="Arial"/>
        </w:rPr>
        <w:tab/>
      </w:r>
      <w:r w:rsidRPr="009D2F39">
        <w:rPr>
          <w:rFonts w:ascii="Arial" w:hAnsi="Arial" w:cs="Arial"/>
        </w:rPr>
        <w:t>the options available to the Panel, including the recommendation to terminate a student’s registration at the University, where appropriate.</w:t>
      </w:r>
    </w:p>
    <w:p w:rsidRPr="009D2F39" w:rsidR="00D84B7D" w:rsidP="009D2F39" w:rsidRDefault="00D84B7D" w14:paraId="053CFAD3" w14:textId="77777777">
      <w:pPr>
        <w:pStyle w:val="BodyTextIndent"/>
        <w:adjustRightInd w:val="0"/>
        <w:snapToGrid w:val="0"/>
        <w:spacing w:after="120"/>
        <w:ind w:left="2160" w:right="95" w:hanging="1593"/>
        <w:rPr>
          <w:rFonts w:ascii="Arial" w:hAnsi="Arial" w:cs="Arial"/>
        </w:rPr>
      </w:pPr>
      <w:r w:rsidRPr="009D2F39">
        <w:rPr>
          <w:rFonts w:ascii="Arial" w:hAnsi="Arial" w:cs="Arial"/>
        </w:rPr>
        <w:t>The letter will include a copy of the investigative report. </w:t>
      </w:r>
    </w:p>
    <w:p w:rsidRPr="009D2F39" w:rsidR="00D84B7D" w:rsidP="009D2F39" w:rsidRDefault="00D84B7D" w14:paraId="0F6F269B" w14:textId="77777777">
      <w:pPr>
        <w:pStyle w:val="BodyTextIndent3"/>
        <w:adjustRightInd w:val="0"/>
        <w:snapToGrid w:val="0"/>
        <w:spacing w:after="120"/>
        <w:ind w:left="567" w:right="95" w:hanging="567"/>
        <w:jc w:val="left"/>
        <w:rPr>
          <w:rFonts w:ascii="Arial" w:hAnsi="Arial" w:cs="Arial"/>
        </w:rPr>
      </w:pPr>
      <w:r w:rsidRPr="009D2F39">
        <w:rPr>
          <w:rFonts w:ascii="Arial" w:hAnsi="Arial" w:cs="Arial"/>
        </w:rPr>
        <w:t>3.6</w:t>
      </w:r>
      <w:r w:rsidRPr="009D2F39">
        <w:rPr>
          <w:rFonts w:ascii="Arial" w:hAnsi="Arial" w:cs="Arial"/>
        </w:rPr>
        <w:tab/>
      </w:r>
      <w:r w:rsidRPr="009D2F39">
        <w:rPr>
          <w:rFonts w:ascii="Arial" w:hAnsi="Arial" w:cs="Arial"/>
        </w:rPr>
        <w:t xml:space="preserve">Should the investigation indicate evidence of grounds for concern, the case should be referred, together with the investigating officer’s report, to the Fitness to Practise Panel for adjudication. </w:t>
      </w:r>
    </w:p>
    <w:p w:rsidRPr="00E92F5E" w:rsidR="00D84B7D" w:rsidP="009D2F39" w:rsidRDefault="00D84B7D" w14:paraId="3628B365" w14:textId="77777777">
      <w:pPr>
        <w:adjustRightInd w:val="0"/>
        <w:snapToGrid w:val="0"/>
        <w:ind w:right="95"/>
        <w:rPr>
          <w:sz w:val="22"/>
        </w:rPr>
      </w:pPr>
    </w:p>
    <w:p w:rsidRPr="00E92F5E" w:rsidR="00D84B7D" w:rsidP="009D2F39" w:rsidRDefault="00D84B7D" w14:paraId="5276EE2D" w14:textId="62DDE1ED">
      <w:pPr>
        <w:pStyle w:val="Heading1"/>
        <w:rPr>
          <w:i/>
        </w:rPr>
      </w:pPr>
      <w:bookmarkStart w:name="_Toc85539764" w:id="3"/>
      <w:r w:rsidRPr="00E92F5E">
        <w:t>Adjudication Stage</w:t>
      </w:r>
      <w:bookmarkEnd w:id="3"/>
    </w:p>
    <w:p w:rsidRPr="00D22A27" w:rsidR="00D84B7D" w:rsidP="009D2F39" w:rsidRDefault="00D84B7D" w14:paraId="379C0EF0" w14:textId="77777777">
      <w:pPr>
        <w:pStyle w:val="BodyText2"/>
        <w:adjustRightInd w:val="0"/>
        <w:snapToGrid w:val="0"/>
        <w:spacing w:after="120"/>
        <w:ind w:left="567" w:right="95" w:hanging="567"/>
        <w:jc w:val="left"/>
        <w:rPr>
          <w:rFonts w:ascii="Arial" w:hAnsi="Arial" w:cs="Arial"/>
        </w:rPr>
      </w:pPr>
      <w:r w:rsidRPr="00D22A27">
        <w:rPr>
          <w:rFonts w:ascii="Arial" w:hAnsi="Arial" w:cs="Arial"/>
        </w:rPr>
        <w:t>4.1</w:t>
      </w:r>
      <w:r w:rsidRPr="00D22A27">
        <w:rPr>
          <w:rFonts w:ascii="Arial" w:hAnsi="Arial" w:cs="Arial"/>
        </w:rPr>
        <w:tab/>
      </w:r>
      <w:r w:rsidRPr="00D22A27">
        <w:rPr>
          <w:rFonts w:ascii="Arial" w:hAnsi="Arial" w:cs="Arial"/>
        </w:rPr>
        <w:t>The Fitness to Practise Panel will include the following membership (none of whom should have previous involvement with the case):</w:t>
      </w:r>
    </w:p>
    <w:p w:rsidRPr="00D22A27" w:rsidR="00D84B7D" w:rsidP="009D2F39" w:rsidRDefault="00D84B7D" w14:paraId="78F5D7D0" w14:textId="3258A5BE">
      <w:pPr>
        <w:numPr>
          <w:ilvl w:val="0"/>
          <w:numId w:val="6"/>
        </w:numPr>
        <w:tabs>
          <w:tab w:val="clear" w:pos="720"/>
          <w:tab w:val="num" w:pos="993"/>
        </w:tabs>
        <w:adjustRightInd w:val="0"/>
        <w:snapToGrid w:val="0"/>
        <w:ind w:left="993" w:right="95" w:hanging="453"/>
        <w:rPr>
          <w:szCs w:val="24"/>
        </w:rPr>
      </w:pPr>
      <w:r w:rsidRPr="00D22A27">
        <w:rPr>
          <w:szCs w:val="24"/>
        </w:rPr>
        <w:t>Chair (normally the Director of Division or their nominee)</w:t>
      </w:r>
      <w:r w:rsidR="00D22A27">
        <w:rPr>
          <w:szCs w:val="24"/>
        </w:rPr>
        <w:t>.</w:t>
      </w:r>
    </w:p>
    <w:p w:rsidRPr="00D22A27" w:rsidR="00D84B7D" w:rsidP="009D2F39" w:rsidRDefault="00D84B7D" w14:paraId="0A654379" w14:textId="2D82A115">
      <w:pPr>
        <w:numPr>
          <w:ilvl w:val="0"/>
          <w:numId w:val="6"/>
        </w:numPr>
        <w:tabs>
          <w:tab w:val="clear" w:pos="720"/>
          <w:tab w:val="num" w:pos="993"/>
        </w:tabs>
        <w:adjustRightInd w:val="0"/>
        <w:snapToGrid w:val="0"/>
        <w:ind w:left="993" w:right="95" w:hanging="453"/>
        <w:rPr>
          <w:szCs w:val="24"/>
        </w:rPr>
      </w:pPr>
      <w:r w:rsidRPr="00D22A27">
        <w:rPr>
          <w:szCs w:val="24"/>
        </w:rPr>
        <w:t>At least one external member who is a senior Professional Practitioner or one external and one internal member where it is considered appropriate (for example where a wider breadth of professional knowledge is required)</w:t>
      </w:r>
      <w:r w:rsidR="00D22A27">
        <w:rPr>
          <w:szCs w:val="24"/>
        </w:rPr>
        <w:t>.</w:t>
      </w:r>
    </w:p>
    <w:p w:rsidRPr="00D22A27" w:rsidR="00D84B7D" w:rsidP="009D2F39" w:rsidRDefault="00D84B7D" w14:paraId="69DA24A3" w14:textId="1969EDF6">
      <w:pPr>
        <w:numPr>
          <w:ilvl w:val="0"/>
          <w:numId w:val="6"/>
        </w:numPr>
        <w:tabs>
          <w:tab w:val="clear" w:pos="720"/>
          <w:tab w:val="num" w:pos="993"/>
        </w:tabs>
        <w:adjustRightInd w:val="0"/>
        <w:snapToGrid w:val="0"/>
        <w:ind w:left="993" w:right="95" w:hanging="453"/>
        <w:rPr>
          <w:szCs w:val="24"/>
        </w:rPr>
      </w:pPr>
      <w:r w:rsidRPr="00D22A27">
        <w:rPr>
          <w:szCs w:val="24"/>
        </w:rPr>
        <w:t>Two members of the Education and Student Experience Board/Graduate and Researcher College Board, as appropriate</w:t>
      </w:r>
      <w:r w:rsidR="00D22A27">
        <w:rPr>
          <w:szCs w:val="24"/>
        </w:rPr>
        <w:t>.</w:t>
      </w:r>
    </w:p>
    <w:p w:rsidRPr="00D22A27" w:rsidR="00D84B7D" w:rsidP="009D2F39" w:rsidRDefault="00D84B7D" w14:paraId="70BC7D71" w14:textId="53B54980">
      <w:pPr>
        <w:numPr>
          <w:ilvl w:val="0"/>
          <w:numId w:val="6"/>
        </w:numPr>
        <w:tabs>
          <w:tab w:val="clear" w:pos="720"/>
          <w:tab w:val="num" w:pos="993"/>
        </w:tabs>
        <w:adjustRightInd w:val="0"/>
        <w:snapToGrid w:val="0"/>
        <w:ind w:left="993" w:right="95" w:hanging="453"/>
        <w:rPr>
          <w:szCs w:val="24"/>
        </w:rPr>
      </w:pPr>
      <w:r w:rsidRPr="00D22A27">
        <w:rPr>
          <w:szCs w:val="24"/>
        </w:rPr>
        <w:t>A member of the Students’ Union</w:t>
      </w:r>
      <w:r w:rsidR="00D22A27">
        <w:rPr>
          <w:szCs w:val="24"/>
        </w:rPr>
        <w:t>.</w:t>
      </w:r>
    </w:p>
    <w:p w:rsidRPr="00D22A27" w:rsidR="00D84B7D" w:rsidP="009D2F39" w:rsidRDefault="00D84B7D" w14:paraId="0A255E67" w14:textId="5C4F174B">
      <w:pPr>
        <w:numPr>
          <w:ilvl w:val="0"/>
          <w:numId w:val="6"/>
        </w:numPr>
        <w:tabs>
          <w:tab w:val="clear" w:pos="720"/>
          <w:tab w:val="num" w:pos="993"/>
        </w:tabs>
        <w:adjustRightInd w:val="0"/>
        <w:snapToGrid w:val="0"/>
        <w:ind w:left="993" w:right="95" w:hanging="453"/>
        <w:rPr>
          <w:szCs w:val="24"/>
        </w:rPr>
      </w:pPr>
      <w:r w:rsidRPr="00D22A27">
        <w:rPr>
          <w:szCs w:val="24"/>
        </w:rPr>
        <w:t>A member of University staff with experience of student health issues (Health Panel only)</w:t>
      </w:r>
      <w:r w:rsidR="00D22A27">
        <w:rPr>
          <w:szCs w:val="24"/>
        </w:rPr>
        <w:t>.</w:t>
      </w:r>
    </w:p>
    <w:p w:rsidRPr="00D22A27" w:rsidR="00D84B7D" w:rsidP="009D2F39" w:rsidRDefault="00D84B7D" w14:paraId="56A33CC1" w14:textId="212AB586">
      <w:pPr>
        <w:numPr>
          <w:ilvl w:val="0"/>
          <w:numId w:val="6"/>
        </w:numPr>
        <w:tabs>
          <w:tab w:val="clear" w:pos="720"/>
          <w:tab w:val="num" w:pos="993"/>
        </w:tabs>
        <w:adjustRightInd w:val="0"/>
        <w:snapToGrid w:val="0"/>
        <w:ind w:left="993" w:right="95" w:hanging="453"/>
        <w:rPr>
          <w:szCs w:val="24"/>
        </w:rPr>
      </w:pPr>
      <w:r w:rsidRPr="00D22A27">
        <w:rPr>
          <w:szCs w:val="24"/>
        </w:rPr>
        <w:t>A Secretary</w:t>
      </w:r>
      <w:r w:rsidR="00D22A27">
        <w:rPr>
          <w:szCs w:val="24"/>
        </w:rPr>
        <w:t xml:space="preserve">, provided by the Division. </w:t>
      </w:r>
    </w:p>
    <w:p w:rsidRPr="00D22A27" w:rsidR="00D84B7D" w:rsidP="009D2F39" w:rsidRDefault="00D84B7D" w14:paraId="4F5E9FD0" w14:textId="77777777">
      <w:pPr>
        <w:adjustRightInd w:val="0"/>
        <w:snapToGrid w:val="0"/>
        <w:ind w:left="567" w:right="95" w:hanging="567"/>
        <w:rPr>
          <w:szCs w:val="24"/>
        </w:rPr>
      </w:pPr>
      <w:r w:rsidRPr="00D22A27">
        <w:rPr>
          <w:szCs w:val="24"/>
        </w:rPr>
        <w:t>4.2</w:t>
      </w:r>
      <w:r w:rsidRPr="00D22A27">
        <w:rPr>
          <w:szCs w:val="24"/>
        </w:rPr>
        <w:tab/>
      </w:r>
      <w:r w:rsidRPr="00D22A27">
        <w:rPr>
          <w:szCs w:val="24"/>
        </w:rPr>
        <w:t>As outlined in 3.5 above, the student will be officially informed of the outcome of the Investigative Stage in writing.</w:t>
      </w:r>
    </w:p>
    <w:p w:rsidRPr="00D22A27" w:rsidR="00D84B7D" w:rsidP="009D2F39" w:rsidRDefault="00D84B7D" w14:paraId="7C25D762" w14:textId="77777777">
      <w:pPr>
        <w:adjustRightInd w:val="0"/>
        <w:snapToGrid w:val="0"/>
        <w:ind w:left="567" w:right="95" w:hanging="567"/>
        <w:rPr>
          <w:szCs w:val="24"/>
        </w:rPr>
      </w:pPr>
      <w:r w:rsidRPr="00D22A27">
        <w:rPr>
          <w:szCs w:val="24"/>
        </w:rPr>
        <w:t>4.3</w:t>
      </w:r>
      <w:r w:rsidRPr="00D22A27">
        <w:rPr>
          <w:szCs w:val="24"/>
        </w:rPr>
        <w:tab/>
      </w:r>
      <w:r w:rsidRPr="00D22A27">
        <w:rPr>
          <w:szCs w:val="24"/>
        </w:rPr>
        <w:t>Both the Investigative Officer and the student will be called before the Fitness to Practise Panel to give their account of the case and answer any questions the Panel may have.</w:t>
      </w:r>
    </w:p>
    <w:p w:rsidRPr="00D22A27" w:rsidR="00D84B7D" w:rsidP="009D2F39" w:rsidRDefault="00D84B7D" w14:paraId="52C4CF39" w14:textId="77777777">
      <w:pPr>
        <w:adjustRightInd w:val="0"/>
        <w:snapToGrid w:val="0"/>
        <w:ind w:left="567" w:right="95" w:hanging="567"/>
        <w:rPr>
          <w:szCs w:val="24"/>
        </w:rPr>
      </w:pPr>
      <w:r w:rsidRPr="00D22A27">
        <w:rPr>
          <w:szCs w:val="24"/>
        </w:rPr>
        <w:t>4.4</w:t>
      </w:r>
      <w:r w:rsidRPr="00D22A27">
        <w:rPr>
          <w:szCs w:val="24"/>
        </w:rPr>
        <w:tab/>
      </w:r>
      <w:r w:rsidRPr="00D22A27">
        <w:rPr>
          <w:szCs w:val="24"/>
        </w:rPr>
        <w:t xml:space="preserve">The student will have the right to be accompanied by a member of staff or a student </w:t>
      </w:r>
      <w:proofErr w:type="gramStart"/>
      <w:r w:rsidRPr="00D22A27">
        <w:rPr>
          <w:szCs w:val="24"/>
        </w:rPr>
        <w:t>of</w:t>
      </w:r>
      <w:proofErr w:type="gramEnd"/>
      <w:r w:rsidRPr="00D22A27">
        <w:rPr>
          <w:szCs w:val="24"/>
        </w:rPr>
        <w:t xml:space="preserve"> the University or a member of staff of the Students’ Union (not a legal representative). The student will be given the right to respond to and challenge any evidence against them.</w:t>
      </w:r>
    </w:p>
    <w:p w:rsidRPr="00D22A27" w:rsidR="00D84B7D" w:rsidP="009D2F39" w:rsidRDefault="00D84B7D" w14:paraId="634EAB07" w14:textId="77777777">
      <w:pPr>
        <w:adjustRightInd w:val="0"/>
        <w:snapToGrid w:val="0"/>
        <w:ind w:left="567" w:right="95" w:hanging="567"/>
        <w:rPr>
          <w:szCs w:val="24"/>
        </w:rPr>
      </w:pPr>
      <w:r w:rsidRPr="00D22A27">
        <w:rPr>
          <w:szCs w:val="24"/>
        </w:rPr>
        <w:t>4.5</w:t>
      </w:r>
      <w:r w:rsidRPr="00D22A27">
        <w:rPr>
          <w:szCs w:val="24"/>
        </w:rPr>
        <w:tab/>
      </w:r>
      <w:r w:rsidRPr="00D22A27">
        <w:rPr>
          <w:szCs w:val="24"/>
        </w:rPr>
        <w:t>The Panel may, having previously considered the evidence from the Investigation Stage, call further parties to the Panel hearing as they see fit to answer any questions.</w:t>
      </w:r>
    </w:p>
    <w:p w:rsidRPr="00E92F5E" w:rsidR="00D84B7D" w:rsidP="009D2F39" w:rsidRDefault="00D84B7D" w14:paraId="5C0405E8" w14:textId="77777777">
      <w:pPr>
        <w:pStyle w:val="BodyText"/>
        <w:adjustRightInd w:val="0"/>
        <w:snapToGrid w:val="0"/>
        <w:spacing w:after="120"/>
        <w:ind w:right="95"/>
        <w:jc w:val="left"/>
        <w:rPr>
          <w:rFonts w:ascii="Arial" w:hAnsi="Arial" w:cs="Arial"/>
          <w:sz w:val="22"/>
          <w:szCs w:val="22"/>
        </w:rPr>
      </w:pPr>
    </w:p>
    <w:p w:rsidRPr="00E92F5E" w:rsidR="00D84B7D" w:rsidP="00D22A27" w:rsidRDefault="00D84B7D" w14:paraId="2163715F" w14:textId="102AB87B">
      <w:pPr>
        <w:pStyle w:val="Heading1"/>
      </w:pPr>
      <w:bookmarkStart w:name="_Toc85539765" w:id="4"/>
      <w:r w:rsidRPr="00E92F5E">
        <w:t>Powers of the Fitness to Practi</w:t>
      </w:r>
      <w:r>
        <w:t>s</w:t>
      </w:r>
      <w:r w:rsidRPr="00E92F5E">
        <w:t xml:space="preserve">e </w:t>
      </w:r>
      <w:r>
        <w:t>Panel</w:t>
      </w:r>
      <w:bookmarkEnd w:id="4"/>
      <w:r>
        <w:t xml:space="preserve"> </w:t>
      </w:r>
    </w:p>
    <w:p w:rsidRPr="00D22A27" w:rsidR="00D84B7D" w:rsidP="009D2F39" w:rsidRDefault="00D84B7D" w14:paraId="7F01060D" w14:textId="77777777">
      <w:pPr>
        <w:pStyle w:val="BodyTextIndent"/>
        <w:adjustRightInd w:val="0"/>
        <w:snapToGrid w:val="0"/>
        <w:spacing w:after="120"/>
        <w:ind w:left="720" w:right="95" w:hanging="720"/>
        <w:rPr>
          <w:rFonts w:ascii="Arial" w:hAnsi="Arial" w:cs="Arial"/>
        </w:rPr>
      </w:pPr>
      <w:r w:rsidRPr="00D22A27">
        <w:rPr>
          <w:rFonts w:ascii="Arial" w:hAnsi="Arial" w:cs="Arial"/>
        </w:rPr>
        <w:tab/>
      </w:r>
      <w:r w:rsidRPr="00D22A27">
        <w:rPr>
          <w:rFonts w:ascii="Arial" w:hAnsi="Arial" w:cs="Arial"/>
        </w:rPr>
        <w:t xml:space="preserve">The Panel may, following consideration of the case: </w:t>
      </w:r>
    </w:p>
    <w:p w:rsidRPr="00D22A27" w:rsidR="00D84B7D" w:rsidP="009D2F39" w:rsidRDefault="00D84B7D" w14:paraId="655217EE" w14:textId="77777777">
      <w:pPr>
        <w:numPr>
          <w:ilvl w:val="0"/>
          <w:numId w:val="8"/>
        </w:numPr>
        <w:tabs>
          <w:tab w:val="clear" w:pos="720"/>
          <w:tab w:val="num" w:pos="993"/>
        </w:tabs>
        <w:adjustRightInd w:val="0"/>
        <w:snapToGrid w:val="0"/>
        <w:ind w:left="993" w:right="95" w:hanging="426"/>
        <w:rPr>
          <w:szCs w:val="24"/>
        </w:rPr>
      </w:pPr>
      <w:r w:rsidRPr="00D22A27">
        <w:rPr>
          <w:szCs w:val="24"/>
        </w:rPr>
        <w:t xml:space="preserve">permit the student to continue with the course of </w:t>
      </w:r>
      <w:proofErr w:type="gramStart"/>
      <w:r w:rsidRPr="00D22A27">
        <w:rPr>
          <w:szCs w:val="24"/>
        </w:rPr>
        <w:t>study;</w:t>
      </w:r>
      <w:proofErr w:type="gramEnd"/>
      <w:r w:rsidRPr="00D22A27">
        <w:rPr>
          <w:szCs w:val="24"/>
        </w:rPr>
        <w:t xml:space="preserve"> </w:t>
      </w:r>
    </w:p>
    <w:p w:rsidRPr="00D22A27" w:rsidR="00D84B7D" w:rsidP="009D2F39" w:rsidRDefault="00D84B7D" w14:paraId="196D055E" w14:textId="77777777">
      <w:pPr>
        <w:numPr>
          <w:ilvl w:val="0"/>
          <w:numId w:val="8"/>
        </w:numPr>
        <w:tabs>
          <w:tab w:val="clear" w:pos="720"/>
          <w:tab w:val="num" w:pos="993"/>
        </w:tabs>
        <w:adjustRightInd w:val="0"/>
        <w:snapToGrid w:val="0"/>
        <w:ind w:left="993" w:right="95" w:hanging="426"/>
        <w:rPr>
          <w:szCs w:val="24"/>
        </w:rPr>
      </w:pPr>
      <w:r w:rsidRPr="00D22A27">
        <w:rPr>
          <w:szCs w:val="24"/>
        </w:rPr>
        <w:t xml:space="preserve">permit the student to continue with the course of study under close </w:t>
      </w:r>
      <w:proofErr w:type="gramStart"/>
      <w:r w:rsidRPr="00D22A27">
        <w:rPr>
          <w:szCs w:val="24"/>
        </w:rPr>
        <w:t>supervision;</w:t>
      </w:r>
      <w:proofErr w:type="gramEnd"/>
      <w:r w:rsidRPr="00D22A27">
        <w:rPr>
          <w:szCs w:val="24"/>
        </w:rPr>
        <w:t xml:space="preserve"> </w:t>
      </w:r>
    </w:p>
    <w:p w:rsidRPr="00D22A27" w:rsidR="00D84B7D" w:rsidP="009D2F39" w:rsidRDefault="00D84B7D" w14:paraId="06739CF3" w14:textId="77777777">
      <w:pPr>
        <w:numPr>
          <w:ilvl w:val="0"/>
          <w:numId w:val="8"/>
        </w:numPr>
        <w:tabs>
          <w:tab w:val="clear" w:pos="720"/>
          <w:tab w:val="num" w:pos="993"/>
        </w:tabs>
        <w:adjustRightInd w:val="0"/>
        <w:snapToGrid w:val="0"/>
        <w:ind w:left="993" w:right="95" w:hanging="426"/>
        <w:rPr>
          <w:szCs w:val="24"/>
        </w:rPr>
      </w:pPr>
      <w:r w:rsidRPr="00D22A27">
        <w:rPr>
          <w:szCs w:val="24"/>
        </w:rPr>
        <w:t xml:space="preserve">suspend the studies of the student for a specified </w:t>
      </w:r>
      <w:proofErr w:type="gramStart"/>
      <w:r w:rsidRPr="00D22A27">
        <w:rPr>
          <w:szCs w:val="24"/>
        </w:rPr>
        <w:t>time;</w:t>
      </w:r>
      <w:proofErr w:type="gramEnd"/>
      <w:r w:rsidRPr="00D22A27">
        <w:rPr>
          <w:szCs w:val="24"/>
        </w:rPr>
        <w:t xml:space="preserve"> </w:t>
      </w:r>
    </w:p>
    <w:p w:rsidRPr="00D22A27" w:rsidR="00D84B7D" w:rsidP="009D2F39" w:rsidRDefault="00D84B7D" w14:paraId="1C58D9CA" w14:textId="77777777">
      <w:pPr>
        <w:numPr>
          <w:ilvl w:val="0"/>
          <w:numId w:val="8"/>
        </w:numPr>
        <w:tabs>
          <w:tab w:val="clear" w:pos="720"/>
          <w:tab w:val="num" w:pos="993"/>
        </w:tabs>
        <w:adjustRightInd w:val="0"/>
        <w:snapToGrid w:val="0"/>
        <w:ind w:left="993" w:right="95" w:hanging="426"/>
        <w:rPr>
          <w:szCs w:val="24"/>
        </w:rPr>
      </w:pPr>
      <w:r w:rsidRPr="00D22A27">
        <w:rPr>
          <w:szCs w:val="24"/>
        </w:rPr>
        <w:t xml:space="preserve">require the student to re-sit a specified part or parts of the </w:t>
      </w:r>
      <w:proofErr w:type="gramStart"/>
      <w:r w:rsidRPr="00D22A27">
        <w:rPr>
          <w:szCs w:val="24"/>
        </w:rPr>
        <w:t>course;</w:t>
      </w:r>
      <w:proofErr w:type="gramEnd"/>
      <w:r w:rsidRPr="00D22A27">
        <w:rPr>
          <w:szCs w:val="24"/>
        </w:rPr>
        <w:t xml:space="preserve"> </w:t>
      </w:r>
    </w:p>
    <w:p w:rsidRPr="00D22A27" w:rsidR="00D84B7D" w:rsidP="009D2F39" w:rsidRDefault="00D84B7D" w14:paraId="17A7E71D" w14:textId="77777777">
      <w:pPr>
        <w:numPr>
          <w:ilvl w:val="0"/>
          <w:numId w:val="8"/>
        </w:numPr>
        <w:tabs>
          <w:tab w:val="clear" w:pos="720"/>
          <w:tab w:val="num" w:pos="993"/>
        </w:tabs>
        <w:adjustRightInd w:val="0"/>
        <w:snapToGrid w:val="0"/>
        <w:ind w:left="993" w:right="95" w:hanging="426"/>
        <w:rPr>
          <w:szCs w:val="24"/>
        </w:rPr>
      </w:pPr>
      <w:r w:rsidRPr="00D22A27">
        <w:rPr>
          <w:szCs w:val="24"/>
        </w:rPr>
        <w:t xml:space="preserve">require any other action considered appropriate by the Panel to enable the student's successful completion of the remainder of the </w:t>
      </w:r>
      <w:proofErr w:type="gramStart"/>
      <w:r w:rsidRPr="00D22A27">
        <w:rPr>
          <w:szCs w:val="24"/>
        </w:rPr>
        <w:t>course;</w:t>
      </w:r>
      <w:proofErr w:type="gramEnd"/>
      <w:r w:rsidRPr="00D22A27">
        <w:rPr>
          <w:szCs w:val="24"/>
        </w:rPr>
        <w:t xml:space="preserve"> </w:t>
      </w:r>
    </w:p>
    <w:p w:rsidRPr="00D22A27" w:rsidR="00D84B7D" w:rsidP="009D2F39" w:rsidRDefault="00D84B7D" w14:paraId="1F59F703" w14:textId="77777777">
      <w:pPr>
        <w:numPr>
          <w:ilvl w:val="0"/>
          <w:numId w:val="8"/>
        </w:numPr>
        <w:tabs>
          <w:tab w:val="clear" w:pos="720"/>
          <w:tab w:val="num" w:pos="993"/>
        </w:tabs>
        <w:adjustRightInd w:val="0"/>
        <w:snapToGrid w:val="0"/>
        <w:ind w:left="993" w:right="95" w:hanging="426"/>
        <w:rPr>
          <w:szCs w:val="24"/>
        </w:rPr>
      </w:pPr>
      <w:r w:rsidRPr="00D22A27">
        <w:rPr>
          <w:szCs w:val="24"/>
        </w:rPr>
        <w:t>determine that the student's studies on a course</w:t>
      </w:r>
      <w:r w:rsidRPr="00D22A27" w:rsidDel="00B53864">
        <w:rPr>
          <w:szCs w:val="24"/>
        </w:rPr>
        <w:t xml:space="preserve"> </w:t>
      </w:r>
      <w:r w:rsidRPr="00D22A27">
        <w:rPr>
          <w:szCs w:val="24"/>
        </w:rPr>
        <w:t xml:space="preserve">of study leading to a professional qualification be terminated, but permit registration for an alternative academic </w:t>
      </w:r>
      <w:proofErr w:type="gramStart"/>
      <w:r w:rsidRPr="00D22A27">
        <w:rPr>
          <w:szCs w:val="24"/>
        </w:rPr>
        <w:t>qualification;</w:t>
      </w:r>
      <w:proofErr w:type="gramEnd"/>
      <w:r w:rsidRPr="00D22A27">
        <w:rPr>
          <w:szCs w:val="24"/>
        </w:rPr>
        <w:t xml:space="preserve">  </w:t>
      </w:r>
    </w:p>
    <w:p w:rsidRPr="00D22A27" w:rsidR="00D84B7D" w:rsidP="009D2F39" w:rsidRDefault="00D84B7D" w14:paraId="5965FFC3" w14:textId="77777777">
      <w:pPr>
        <w:numPr>
          <w:ilvl w:val="0"/>
          <w:numId w:val="8"/>
        </w:numPr>
        <w:tabs>
          <w:tab w:val="clear" w:pos="720"/>
          <w:tab w:val="num" w:pos="993"/>
        </w:tabs>
        <w:adjustRightInd w:val="0"/>
        <w:snapToGrid w:val="0"/>
        <w:ind w:left="993" w:right="95" w:hanging="426"/>
        <w:rPr>
          <w:szCs w:val="24"/>
        </w:rPr>
      </w:pPr>
      <w:r w:rsidRPr="00D22A27">
        <w:rPr>
          <w:szCs w:val="24"/>
        </w:rPr>
        <w:t xml:space="preserve">determine that the student's registration be </w:t>
      </w:r>
      <w:proofErr w:type="gramStart"/>
      <w:r w:rsidRPr="00D22A27">
        <w:rPr>
          <w:szCs w:val="24"/>
        </w:rPr>
        <w:t>terminated</w:t>
      </w:r>
      <w:proofErr w:type="gramEnd"/>
      <w:r w:rsidRPr="00D22A27">
        <w:rPr>
          <w:szCs w:val="24"/>
        </w:rPr>
        <w:t xml:space="preserve"> and that the student be required to withdraw from the University.</w:t>
      </w:r>
    </w:p>
    <w:p w:rsidRPr="00D22A27" w:rsidR="00D84B7D" w:rsidP="009D2F39" w:rsidRDefault="00D84B7D" w14:paraId="3911B53B" w14:textId="77777777">
      <w:pPr>
        <w:pStyle w:val="BodyText"/>
        <w:tabs>
          <w:tab w:val="left" w:pos="540"/>
        </w:tabs>
        <w:adjustRightInd w:val="0"/>
        <w:snapToGrid w:val="0"/>
        <w:spacing w:after="120"/>
        <w:ind w:right="95"/>
        <w:jc w:val="left"/>
        <w:rPr>
          <w:rFonts w:ascii="Arial" w:hAnsi="Arial" w:cs="Arial"/>
        </w:rPr>
      </w:pPr>
    </w:p>
    <w:p w:rsidRPr="00D22A27" w:rsidR="00D84B7D" w:rsidP="00D22A27" w:rsidRDefault="00D84B7D" w14:paraId="776266A8" w14:textId="26A8F15C">
      <w:pPr>
        <w:pStyle w:val="Heading1"/>
      </w:pPr>
      <w:bookmarkStart w:name="_Toc85539766" w:id="5"/>
      <w:r w:rsidRPr="00D22A27">
        <w:t>Appeals</w:t>
      </w:r>
      <w:bookmarkEnd w:id="5"/>
    </w:p>
    <w:p w:rsidRPr="00D22A27" w:rsidR="00D84B7D" w:rsidP="009D2F39" w:rsidRDefault="00D84B7D" w14:paraId="15092D26" w14:textId="0B237CE5">
      <w:pPr>
        <w:pStyle w:val="BodyText"/>
        <w:adjustRightInd w:val="0"/>
        <w:snapToGrid w:val="0"/>
        <w:spacing w:after="120"/>
        <w:ind w:left="540" w:right="95"/>
        <w:jc w:val="left"/>
        <w:rPr>
          <w:rFonts w:ascii="Arial" w:hAnsi="Arial" w:cs="Arial"/>
        </w:rPr>
      </w:pPr>
      <w:r w:rsidRPr="00D22A27">
        <w:rPr>
          <w:rFonts w:ascii="Arial" w:hAnsi="Arial" w:cs="Arial"/>
        </w:rPr>
        <w:t xml:space="preserve">If a student wishes to appeal against the judgement of the Fitness to Practise Panel they may do so through, and in accordance with, the </w:t>
      </w:r>
      <w:hyperlink w:history="1" r:id="rId11">
        <w:r w:rsidRPr="00D22A27">
          <w:rPr>
            <w:rStyle w:val="Hyperlink"/>
            <w:rFonts w:ascii="Arial" w:hAnsi="Arial" w:cs="Arial"/>
          </w:rPr>
          <w:t>Un</w:t>
        </w:r>
        <w:r w:rsidRPr="00D22A27">
          <w:rPr>
            <w:rStyle w:val="Hyperlink"/>
            <w:rFonts w:ascii="Arial" w:hAnsi="Arial" w:cs="Arial"/>
          </w:rPr>
          <w:t>i</w:t>
        </w:r>
        <w:r w:rsidRPr="00D22A27">
          <w:rPr>
            <w:rStyle w:val="Hyperlink"/>
            <w:rFonts w:ascii="Arial" w:hAnsi="Arial" w:cs="Arial"/>
          </w:rPr>
          <w:t>versity Regulations on Student Discipline in Relation to Non-Academic Matters</w:t>
        </w:r>
      </w:hyperlink>
      <w:r w:rsidRPr="00D22A27">
        <w:rPr>
          <w:rFonts w:ascii="Arial" w:hAnsi="Arial" w:cs="Arial"/>
        </w:rPr>
        <w:t>.</w:t>
      </w:r>
    </w:p>
    <w:p w:rsidRPr="00D22A27" w:rsidR="00D84B7D" w:rsidP="009D2F39" w:rsidRDefault="00D84B7D" w14:paraId="1C15D6DC" w14:textId="77777777">
      <w:pPr>
        <w:tabs>
          <w:tab w:val="left" w:pos="540"/>
        </w:tabs>
        <w:adjustRightInd w:val="0"/>
        <w:snapToGrid w:val="0"/>
        <w:ind w:right="95"/>
        <w:rPr>
          <w:szCs w:val="24"/>
        </w:rPr>
      </w:pPr>
    </w:p>
    <w:p w:rsidRPr="00A33598" w:rsidR="00D84B7D" w:rsidP="00D22A27" w:rsidRDefault="00D84B7D" w14:paraId="7952F319" w14:textId="77777777">
      <w:pPr>
        <w:adjustRightInd w:val="0"/>
        <w:snapToGrid w:val="0"/>
        <w:ind w:left="0" w:right="95" w:firstLine="0"/>
      </w:pPr>
    </w:p>
    <w:sectPr w:rsidRPr="00A33598" w:rsidR="00D84B7D" w:rsidSect="002750C2">
      <w:headerReference w:type="default" r:id="rId12"/>
      <w:footerReference w:type="default" r:id="rId13"/>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172" w:rsidP="002750C2" w:rsidRDefault="001E4172" w14:paraId="2B47E51B" w14:textId="77777777">
      <w:pPr>
        <w:spacing w:after="0"/>
      </w:pPr>
      <w:r>
        <w:separator/>
      </w:r>
    </w:p>
  </w:endnote>
  <w:endnote w:type="continuationSeparator" w:id="0">
    <w:p w:rsidR="001E4172" w:rsidP="002750C2" w:rsidRDefault="001E4172" w14:paraId="57A34B5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07B0524" w14:textId="3F5CF141">
    <w:pPr>
      <w:pStyle w:val="Header"/>
      <w:rPr>
        <w:noProof/>
        <w:sz w:val="20"/>
      </w:rPr>
    </w:pPr>
  </w:p>
  <w:p w:rsidR="002750C2" w:rsidP="002F7E36" w:rsidRDefault="002750C2" w14:paraId="4A810940" w14:textId="77777777">
    <w:pPr>
      <w:pStyle w:val="Header"/>
      <w:rPr>
        <w:rStyle w:val="eop"/>
        <w:sz w:val="20"/>
        <w:szCs w:val="20"/>
      </w:rPr>
    </w:pPr>
    <w:r>
      <w:rPr>
        <w:rStyle w:val="normaltextrun"/>
        <w:sz w:val="20"/>
        <w:szCs w:val="20"/>
      </w:rPr>
      <w:t>Author: QACO</w:t>
    </w:r>
    <w:r>
      <w:rPr>
        <w:rStyle w:val="eop"/>
        <w:sz w:val="20"/>
        <w:szCs w:val="20"/>
      </w:rPr>
      <w:t> </w:t>
    </w:r>
  </w:p>
  <w:p w:rsidR="00794405" w:rsidP="002F7E36" w:rsidRDefault="00794405" w14:paraId="71AFA2AC" w14:textId="1CFCC39A">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475E86">
      <w:rPr>
        <w:rStyle w:val="eop"/>
        <w:sz w:val="20"/>
        <w:szCs w:val="20"/>
      </w:rPr>
      <w:t>2</w:t>
    </w:r>
    <w:r>
      <w:rPr>
        <w:rStyle w:val="eop"/>
        <w:sz w:val="20"/>
        <w:szCs w:val="20"/>
      </w:rPr>
      <w:t>/2</w:t>
    </w:r>
    <w:r w:rsidR="00475E86">
      <w:rPr>
        <w:rStyle w:val="eop"/>
        <w:sz w:val="20"/>
        <w:szCs w:val="20"/>
      </w:rPr>
      <w:t>3</w:t>
    </w:r>
  </w:p>
  <w:p w:rsidR="002F7E36" w:rsidP="002F7E36" w:rsidRDefault="002750C2" w14:paraId="534CA78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4B50967F" w:rsidRDefault="002750C2" w14:paraId="3EC4BB1E" w14:textId="6E16AE0A">
    <w:pPr>
      <w:pStyle w:val="paragraph"/>
      <w:spacing w:before="0" w:beforeAutospacing="off" w:after="0" w:afterAutospacing="off"/>
      <w:textAlignment w:val="baseline"/>
      <w:rPr>
        <w:rStyle w:val="normaltextrun"/>
        <w:rFonts w:ascii="Arial" w:hAnsi="Arial" w:cs="Arial"/>
        <w:sz w:val="20"/>
        <w:szCs w:val="20"/>
      </w:rPr>
    </w:pPr>
    <w:r w:rsidRPr="4B50967F" w:rsidR="4B50967F">
      <w:rPr>
        <w:rStyle w:val="normaltextrun"/>
        <w:rFonts w:ascii="Arial" w:hAnsi="Arial" w:cs="Arial"/>
        <w:sz w:val="20"/>
        <w:szCs w:val="20"/>
      </w:rPr>
      <w:t xml:space="preserve">Last Revised: </w:t>
    </w:r>
    <w:r w:rsidRPr="4B50967F" w:rsidR="4B50967F">
      <w:rPr>
        <w:rStyle w:val="normaltextrun"/>
        <w:rFonts w:ascii="Arial" w:hAnsi="Arial" w:cs="Arial"/>
        <w:sz w:val="20"/>
        <w:szCs w:val="20"/>
      </w:rPr>
      <w:t>November 2023</w:t>
    </w:r>
  </w:p>
  <w:p w:rsidR="002750C2" w:rsidP="4B50967F" w:rsidRDefault="002750C2" w14:paraId="1C4B4125" w14:textId="30C022CD">
    <w:pPr>
      <w:pStyle w:val="paragraph"/>
      <w:spacing w:before="0" w:beforeAutospacing="off" w:after="0" w:afterAutospacing="off"/>
      <w:textAlignment w:val="baseline"/>
      <w:rPr>
        <w:rStyle w:val="normaltextrun"/>
        <w:rFonts w:ascii="Arial" w:hAnsi="Arial" w:cs="Arial"/>
        <w:sz w:val="20"/>
        <w:szCs w:val="20"/>
        <w:lang w:val="en-US"/>
      </w:rPr>
    </w:pPr>
    <w:r w:rsidRPr="4B50967F" w:rsidR="4B50967F">
      <w:rPr>
        <w:rStyle w:val="normaltextrun"/>
        <w:rFonts w:ascii="Arial" w:hAnsi="Arial" w:cs="Arial"/>
        <w:sz w:val="20"/>
        <w:szCs w:val="20"/>
      </w:rPr>
      <w:t>Next review: September 202</w:t>
    </w:r>
    <w:r w:rsidRPr="4B50967F" w:rsidR="4B50967F">
      <w:rPr>
        <w:rStyle w:val="normaltextrun"/>
        <w:rFonts w:ascii="Arial" w:hAnsi="Arial" w:cs="Arial"/>
        <w:sz w:val="20"/>
        <w:szCs w:val="20"/>
      </w:rPr>
      <w:t>4</w:t>
    </w:r>
  </w:p>
  <w:p w:rsidR="005F4147" w:rsidP="003A0781" w:rsidRDefault="002750C2" w14:paraId="0E0EFAB7" w14:textId="621EB0D2">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9D2AE0">
      <w:rPr>
        <w:rStyle w:val="PageNumber"/>
        <w:noProof/>
        <w:sz w:val="20"/>
      </w:rPr>
      <w:t>5</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9D2AE0">
      <w:rPr>
        <w:rStyle w:val="PageNumber"/>
        <w:noProof/>
        <w:sz w:val="20"/>
      </w:rPr>
      <w:t>5</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172" w:rsidP="002750C2" w:rsidRDefault="001E4172" w14:paraId="6E900996" w14:textId="77777777">
      <w:pPr>
        <w:spacing w:after="0"/>
      </w:pPr>
      <w:r>
        <w:separator/>
      </w:r>
    </w:p>
  </w:footnote>
  <w:footnote w:type="continuationSeparator" w:id="0">
    <w:p w:rsidR="001E4172" w:rsidP="002750C2" w:rsidRDefault="001E4172" w14:paraId="15A11B7C"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5F4147" w:rsidP="009D2F39" w:rsidRDefault="00475E86" w14:paraId="3C2000A0" w14:textId="76EDA73C">
    <w:pPr>
      <w:pStyle w:val="Header"/>
      <w:jc w:val="right"/>
    </w:pPr>
    <w:r>
      <w:rPr>
        <w:noProof/>
      </w:rPr>
      <w:drawing>
        <wp:anchor distT="0" distB="0" distL="114300" distR="114300" simplePos="0" relativeHeight="251658240" behindDoc="0" locked="0" layoutInCell="1" allowOverlap="1" wp14:anchorId="163599DE" wp14:editId="2D04EF3C">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32427"/>
    <w:multiLevelType w:val="multilevel"/>
    <w:tmpl w:val="F558F252"/>
    <w:lvl w:ilvl="0">
      <w:start w:val="1"/>
      <w:numFmt w:val="decimal"/>
      <w:lvlText w:val="%1."/>
      <w:lvlJc w:val="left"/>
      <w:pPr>
        <w:tabs>
          <w:tab w:val="num" w:pos="1080"/>
        </w:tabs>
        <w:ind w:left="1080" w:hanging="720"/>
      </w:pPr>
      <w:rPr>
        <w:rFonts w:hint="default"/>
        <w:u w:val="none"/>
      </w:rPr>
    </w:lvl>
    <w:lvl w:ilvl="1">
      <w:start w:val="3"/>
      <w:numFmt w:val="decimal"/>
      <w:isLgl/>
      <w:lvlText w:val="%1.%2"/>
      <w:lvlJc w:val="left"/>
      <w:pPr>
        <w:tabs>
          <w:tab w:val="num" w:pos="1440"/>
        </w:tabs>
        <w:ind w:left="1440" w:hanging="900"/>
      </w:pPr>
      <w:rPr>
        <w:rFonts w:hint="default"/>
      </w:rPr>
    </w:lvl>
    <w:lvl w:ilvl="2">
      <w:start w:val="1"/>
      <w:numFmt w:val="decimal"/>
      <w:isLgl/>
      <w:lvlText w:val="%1.%2.%3"/>
      <w:lvlJc w:val="left"/>
      <w:pPr>
        <w:tabs>
          <w:tab w:val="num" w:pos="1620"/>
        </w:tabs>
        <w:ind w:left="1620" w:hanging="900"/>
      </w:pPr>
      <w:rPr>
        <w:rFonts w:hint="default"/>
      </w:rPr>
    </w:lvl>
    <w:lvl w:ilvl="3">
      <w:start w:val="1"/>
      <w:numFmt w:val="decimal"/>
      <w:isLgl/>
      <w:lvlText w:val="%1.%2.%3.%4"/>
      <w:lvlJc w:val="left"/>
      <w:pPr>
        <w:tabs>
          <w:tab w:val="num" w:pos="1800"/>
        </w:tabs>
        <w:ind w:left="1800" w:hanging="90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537049CF"/>
    <w:multiLevelType w:val="multilevel"/>
    <w:tmpl w:val="5AB412AA"/>
    <w:lvl w:ilvl="0">
      <w:start w:val="1"/>
      <w:numFmt w:val="bullet"/>
      <w:lvlText w:val=""/>
      <w:lvlJc w:val="left"/>
      <w:pPr>
        <w:tabs>
          <w:tab w:val="num" w:pos="720"/>
        </w:tabs>
        <w:ind w:left="720" w:hanging="360"/>
      </w:pPr>
      <w:rPr>
        <w:rFonts w:hint="default" w:ascii="Symbol" w:hAnsi="Symbol"/>
        <w:sz w:val="22"/>
        <w:szCs w:val="22"/>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D8F7263"/>
    <w:multiLevelType w:val="hybridMultilevel"/>
    <w:tmpl w:val="3D0A296C"/>
    <w:lvl w:ilvl="0" w:tplc="04090001">
      <w:start w:val="1"/>
      <w:numFmt w:val="bullet"/>
      <w:lvlText w:val=""/>
      <w:lvlJc w:val="left"/>
      <w:pPr>
        <w:tabs>
          <w:tab w:val="num" w:pos="1260"/>
        </w:tabs>
        <w:ind w:left="1260" w:hanging="360"/>
      </w:pPr>
      <w:rPr>
        <w:rFonts w:hint="default" w:ascii="Symbol" w:hAnsi="Symbol"/>
      </w:rPr>
    </w:lvl>
    <w:lvl w:ilvl="1" w:tplc="04090003">
      <w:start w:val="1"/>
      <w:numFmt w:val="bullet"/>
      <w:lvlText w:val="o"/>
      <w:lvlJc w:val="left"/>
      <w:pPr>
        <w:tabs>
          <w:tab w:val="num" w:pos="1980"/>
        </w:tabs>
        <w:ind w:left="1980" w:hanging="360"/>
      </w:pPr>
      <w:rPr>
        <w:rFonts w:hint="default" w:ascii="Courier New" w:hAnsi="Courier New"/>
      </w:rPr>
    </w:lvl>
    <w:lvl w:ilvl="2" w:tplc="04090005" w:tentative="1">
      <w:start w:val="1"/>
      <w:numFmt w:val="bullet"/>
      <w:lvlText w:val=""/>
      <w:lvlJc w:val="left"/>
      <w:pPr>
        <w:tabs>
          <w:tab w:val="num" w:pos="2700"/>
        </w:tabs>
        <w:ind w:left="2700" w:hanging="360"/>
      </w:pPr>
      <w:rPr>
        <w:rFonts w:hint="default" w:ascii="Wingdings" w:hAnsi="Wingdings"/>
      </w:rPr>
    </w:lvl>
    <w:lvl w:ilvl="3" w:tplc="04090001" w:tentative="1">
      <w:start w:val="1"/>
      <w:numFmt w:val="bullet"/>
      <w:lvlText w:val=""/>
      <w:lvlJc w:val="left"/>
      <w:pPr>
        <w:tabs>
          <w:tab w:val="num" w:pos="3420"/>
        </w:tabs>
        <w:ind w:left="3420" w:hanging="360"/>
      </w:pPr>
      <w:rPr>
        <w:rFonts w:hint="default" w:ascii="Symbol" w:hAnsi="Symbol"/>
      </w:rPr>
    </w:lvl>
    <w:lvl w:ilvl="4" w:tplc="04090003" w:tentative="1">
      <w:start w:val="1"/>
      <w:numFmt w:val="bullet"/>
      <w:lvlText w:val="o"/>
      <w:lvlJc w:val="left"/>
      <w:pPr>
        <w:tabs>
          <w:tab w:val="num" w:pos="4140"/>
        </w:tabs>
        <w:ind w:left="4140" w:hanging="360"/>
      </w:pPr>
      <w:rPr>
        <w:rFonts w:hint="default" w:ascii="Courier New" w:hAnsi="Courier New"/>
      </w:rPr>
    </w:lvl>
    <w:lvl w:ilvl="5" w:tplc="04090005" w:tentative="1">
      <w:start w:val="1"/>
      <w:numFmt w:val="bullet"/>
      <w:lvlText w:val=""/>
      <w:lvlJc w:val="left"/>
      <w:pPr>
        <w:tabs>
          <w:tab w:val="num" w:pos="4860"/>
        </w:tabs>
        <w:ind w:left="4860" w:hanging="360"/>
      </w:pPr>
      <w:rPr>
        <w:rFonts w:hint="default" w:ascii="Wingdings" w:hAnsi="Wingdings"/>
      </w:rPr>
    </w:lvl>
    <w:lvl w:ilvl="6" w:tplc="04090001" w:tentative="1">
      <w:start w:val="1"/>
      <w:numFmt w:val="bullet"/>
      <w:lvlText w:val=""/>
      <w:lvlJc w:val="left"/>
      <w:pPr>
        <w:tabs>
          <w:tab w:val="num" w:pos="5580"/>
        </w:tabs>
        <w:ind w:left="5580" w:hanging="360"/>
      </w:pPr>
      <w:rPr>
        <w:rFonts w:hint="default" w:ascii="Symbol" w:hAnsi="Symbol"/>
      </w:rPr>
    </w:lvl>
    <w:lvl w:ilvl="7" w:tplc="04090003" w:tentative="1">
      <w:start w:val="1"/>
      <w:numFmt w:val="bullet"/>
      <w:lvlText w:val="o"/>
      <w:lvlJc w:val="left"/>
      <w:pPr>
        <w:tabs>
          <w:tab w:val="num" w:pos="6300"/>
        </w:tabs>
        <w:ind w:left="6300" w:hanging="360"/>
      </w:pPr>
      <w:rPr>
        <w:rFonts w:hint="default" w:ascii="Courier New" w:hAnsi="Courier New"/>
      </w:rPr>
    </w:lvl>
    <w:lvl w:ilvl="8" w:tplc="04090005" w:tentative="1">
      <w:start w:val="1"/>
      <w:numFmt w:val="bullet"/>
      <w:lvlText w:val=""/>
      <w:lvlJc w:val="left"/>
      <w:pPr>
        <w:tabs>
          <w:tab w:val="num" w:pos="7020"/>
        </w:tabs>
        <w:ind w:left="7020" w:hanging="360"/>
      </w:pPr>
      <w:rPr>
        <w:rFonts w:hint="default" w:ascii="Wingdings" w:hAnsi="Wingdings"/>
      </w:rPr>
    </w:lvl>
  </w:abstractNum>
  <w:abstractNum w:abstractNumId="6" w15:restartNumberingAfterBreak="0">
    <w:nsid w:val="686F25CE"/>
    <w:multiLevelType w:val="hybridMultilevel"/>
    <w:tmpl w:val="20B8A94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EE21084"/>
    <w:multiLevelType w:val="hybridMultilevel"/>
    <w:tmpl w:val="237469CE"/>
    <w:lvl w:ilvl="0" w:tplc="889C37F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hint="default" w:ascii="Symbol" w:hAnsi="Symbol"/>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843816558">
    <w:abstractNumId w:val="3"/>
  </w:num>
  <w:num w:numId="2" w16cid:durableId="1993367542">
    <w:abstractNumId w:val="2"/>
  </w:num>
  <w:num w:numId="3" w16cid:durableId="1944334290">
    <w:abstractNumId w:val="0"/>
  </w:num>
  <w:num w:numId="4" w16cid:durableId="1361126260">
    <w:abstractNumId w:val="1"/>
  </w:num>
  <w:num w:numId="5" w16cid:durableId="1849365717">
    <w:abstractNumId w:val="5"/>
  </w:num>
  <w:num w:numId="6" w16cid:durableId="1682270033">
    <w:abstractNumId w:val="6"/>
  </w:num>
  <w:num w:numId="7" w16cid:durableId="497691932">
    <w:abstractNumId w:val="7"/>
  </w:num>
  <w:num w:numId="8" w16cid:durableId="1980568987">
    <w:abstractNumId w:val="4"/>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0000"/>
    <w:rsid w:val="0003627F"/>
    <w:rsid w:val="000D64FC"/>
    <w:rsid w:val="00146B68"/>
    <w:rsid w:val="001E4172"/>
    <w:rsid w:val="002750C2"/>
    <w:rsid w:val="002E2660"/>
    <w:rsid w:val="002F7E36"/>
    <w:rsid w:val="003A0781"/>
    <w:rsid w:val="003A70DC"/>
    <w:rsid w:val="00475E86"/>
    <w:rsid w:val="00516BB0"/>
    <w:rsid w:val="00516E4F"/>
    <w:rsid w:val="00577A60"/>
    <w:rsid w:val="005F4147"/>
    <w:rsid w:val="006F60A4"/>
    <w:rsid w:val="00746ED1"/>
    <w:rsid w:val="00794405"/>
    <w:rsid w:val="00922C93"/>
    <w:rsid w:val="009D2AE0"/>
    <w:rsid w:val="009D2F39"/>
    <w:rsid w:val="00A33598"/>
    <w:rsid w:val="00B1150F"/>
    <w:rsid w:val="00CE4E2F"/>
    <w:rsid w:val="00D22A27"/>
    <w:rsid w:val="00D84B7D"/>
    <w:rsid w:val="00DC7EB2"/>
    <w:rsid w:val="00ED0751"/>
    <w:rsid w:val="00EE7692"/>
    <w:rsid w:val="4B5096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paragraph" w:styleId="Heading4">
    <w:name w:val="heading 4"/>
    <w:basedOn w:val="Normal"/>
    <w:next w:val="Normal"/>
    <w:link w:val="Heading4Char"/>
    <w:uiPriority w:val="9"/>
    <w:semiHidden/>
    <w:unhideWhenUsed/>
    <w:qFormat/>
    <w:rsid w:val="00D84B7D"/>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D84B7D"/>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7A60"/>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Heading4Char" w:customStyle="1">
    <w:name w:val="Heading 4 Char"/>
    <w:basedOn w:val="DefaultParagraphFont"/>
    <w:link w:val="Heading4"/>
    <w:uiPriority w:val="9"/>
    <w:semiHidden/>
    <w:rsid w:val="00D84B7D"/>
    <w:rPr>
      <w:rFonts w:asciiTheme="majorHAnsi" w:hAnsiTheme="majorHAnsi" w:eastAsiaTheme="majorEastAsia" w:cstheme="majorBidi"/>
      <w:i/>
      <w:iCs/>
      <w:color w:val="2E74B5" w:themeColor="accent1" w:themeShade="BF"/>
      <w:sz w:val="24"/>
      <w:lang w:eastAsia="en-GB"/>
    </w:rPr>
  </w:style>
  <w:style w:type="character" w:styleId="Heading5Char" w:customStyle="1">
    <w:name w:val="Heading 5 Char"/>
    <w:basedOn w:val="DefaultParagraphFont"/>
    <w:link w:val="Heading5"/>
    <w:uiPriority w:val="9"/>
    <w:semiHidden/>
    <w:rsid w:val="00D84B7D"/>
    <w:rPr>
      <w:rFonts w:asciiTheme="majorHAnsi" w:hAnsiTheme="majorHAnsi" w:eastAsiaTheme="majorEastAsia" w:cstheme="majorBidi"/>
      <w:color w:val="2E74B5" w:themeColor="accent1" w:themeShade="BF"/>
      <w:sz w:val="24"/>
      <w:lang w:eastAsia="en-GB"/>
    </w:rPr>
  </w:style>
  <w:style w:type="paragraph" w:styleId="BodyText">
    <w:name w:val="Body Text"/>
    <w:basedOn w:val="Normal"/>
    <w:link w:val="BodyTextChar"/>
    <w:semiHidden/>
    <w:rsid w:val="00D84B7D"/>
    <w:pPr>
      <w:spacing w:after="0"/>
      <w:ind w:left="0" w:firstLine="0"/>
      <w:jc w:val="both"/>
    </w:pPr>
    <w:rPr>
      <w:rFonts w:ascii="Times New Roman" w:hAnsi="Times New Roman" w:eastAsia="Times New Roman" w:cs="Times New Roman"/>
      <w:color w:val="auto"/>
      <w:szCs w:val="24"/>
      <w:lang w:eastAsia="en-US"/>
    </w:rPr>
  </w:style>
  <w:style w:type="character" w:styleId="BodyTextChar" w:customStyle="1">
    <w:name w:val="Body Text Char"/>
    <w:basedOn w:val="DefaultParagraphFont"/>
    <w:link w:val="BodyText"/>
    <w:semiHidden/>
    <w:rsid w:val="00D84B7D"/>
    <w:rPr>
      <w:rFonts w:ascii="Times New Roman" w:hAnsi="Times New Roman" w:eastAsia="Times New Roman" w:cs="Times New Roman"/>
      <w:sz w:val="24"/>
      <w:szCs w:val="24"/>
    </w:rPr>
  </w:style>
  <w:style w:type="paragraph" w:styleId="BodyTextIndent">
    <w:name w:val="Body Text Indent"/>
    <w:basedOn w:val="Normal"/>
    <w:link w:val="BodyTextIndentChar"/>
    <w:semiHidden/>
    <w:rsid w:val="00D84B7D"/>
    <w:pPr>
      <w:tabs>
        <w:tab w:val="left" w:pos="540"/>
      </w:tabs>
      <w:spacing w:after="0"/>
      <w:ind w:left="540" w:hanging="540"/>
    </w:pPr>
    <w:rPr>
      <w:rFonts w:ascii="Times New Roman" w:hAnsi="Times New Roman" w:eastAsia="Times New Roman" w:cs="Times New Roman"/>
      <w:color w:val="auto"/>
      <w:szCs w:val="24"/>
      <w:lang w:eastAsia="en-US"/>
    </w:rPr>
  </w:style>
  <w:style w:type="character" w:styleId="BodyTextIndentChar" w:customStyle="1">
    <w:name w:val="Body Text Indent Char"/>
    <w:basedOn w:val="DefaultParagraphFont"/>
    <w:link w:val="BodyTextIndent"/>
    <w:semiHidden/>
    <w:rsid w:val="00D84B7D"/>
    <w:rPr>
      <w:rFonts w:ascii="Times New Roman" w:hAnsi="Times New Roman" w:eastAsia="Times New Roman" w:cs="Times New Roman"/>
      <w:sz w:val="24"/>
      <w:szCs w:val="24"/>
    </w:rPr>
  </w:style>
  <w:style w:type="paragraph" w:styleId="BodyText2">
    <w:name w:val="Body Text 2"/>
    <w:basedOn w:val="Normal"/>
    <w:link w:val="BodyText2Char"/>
    <w:semiHidden/>
    <w:rsid w:val="00D84B7D"/>
    <w:pPr>
      <w:spacing w:after="0"/>
      <w:ind w:left="0" w:firstLine="0"/>
      <w:jc w:val="both"/>
    </w:pPr>
    <w:rPr>
      <w:rFonts w:ascii="Times New Roman" w:hAnsi="Times New Roman" w:eastAsia="Times New Roman" w:cs="Times New Roman"/>
      <w:color w:val="auto"/>
      <w:szCs w:val="24"/>
      <w:lang w:eastAsia="en-US"/>
    </w:rPr>
  </w:style>
  <w:style w:type="character" w:styleId="BodyText2Char" w:customStyle="1">
    <w:name w:val="Body Text 2 Char"/>
    <w:basedOn w:val="DefaultParagraphFont"/>
    <w:link w:val="BodyText2"/>
    <w:semiHidden/>
    <w:rsid w:val="00D84B7D"/>
    <w:rPr>
      <w:rFonts w:ascii="Times New Roman" w:hAnsi="Times New Roman" w:eastAsia="Times New Roman" w:cs="Times New Roman"/>
      <w:sz w:val="24"/>
      <w:szCs w:val="24"/>
    </w:rPr>
  </w:style>
  <w:style w:type="paragraph" w:styleId="BodyTextIndent2">
    <w:name w:val="Body Text Indent 2"/>
    <w:basedOn w:val="Normal"/>
    <w:link w:val="BodyTextIndent2Char"/>
    <w:semiHidden/>
    <w:rsid w:val="00D84B7D"/>
    <w:pPr>
      <w:spacing w:after="0"/>
      <w:ind w:left="540" w:firstLine="0"/>
      <w:jc w:val="both"/>
    </w:pPr>
    <w:rPr>
      <w:rFonts w:ascii="Times New Roman" w:hAnsi="Times New Roman" w:eastAsia="Times New Roman" w:cs="Times New Roman"/>
      <w:color w:val="auto"/>
      <w:szCs w:val="24"/>
      <w:lang w:eastAsia="en-US"/>
    </w:rPr>
  </w:style>
  <w:style w:type="character" w:styleId="BodyTextIndent2Char" w:customStyle="1">
    <w:name w:val="Body Text Indent 2 Char"/>
    <w:basedOn w:val="DefaultParagraphFont"/>
    <w:link w:val="BodyTextIndent2"/>
    <w:semiHidden/>
    <w:rsid w:val="00D84B7D"/>
    <w:rPr>
      <w:rFonts w:ascii="Times New Roman" w:hAnsi="Times New Roman" w:eastAsia="Times New Roman" w:cs="Times New Roman"/>
      <w:sz w:val="24"/>
      <w:szCs w:val="24"/>
    </w:rPr>
  </w:style>
  <w:style w:type="paragraph" w:styleId="BodyTextIndent3">
    <w:name w:val="Body Text Indent 3"/>
    <w:basedOn w:val="Normal"/>
    <w:link w:val="BodyTextIndent3Char"/>
    <w:semiHidden/>
    <w:rsid w:val="00D84B7D"/>
    <w:pPr>
      <w:tabs>
        <w:tab w:val="left" w:pos="540"/>
      </w:tabs>
      <w:spacing w:after="0"/>
      <w:ind w:left="540" w:hanging="540"/>
      <w:jc w:val="both"/>
    </w:pPr>
    <w:rPr>
      <w:rFonts w:ascii="Times New Roman" w:hAnsi="Times New Roman" w:eastAsia="Times New Roman" w:cs="Times New Roman"/>
      <w:color w:val="auto"/>
      <w:szCs w:val="24"/>
      <w:lang w:eastAsia="en-US"/>
    </w:rPr>
  </w:style>
  <w:style w:type="character" w:styleId="BodyTextIndent3Char" w:customStyle="1">
    <w:name w:val="Body Text Indent 3 Char"/>
    <w:basedOn w:val="DefaultParagraphFont"/>
    <w:link w:val="BodyTextIndent3"/>
    <w:semiHidden/>
    <w:rsid w:val="00D84B7D"/>
    <w:rPr>
      <w:rFonts w:ascii="Times New Roman" w:hAnsi="Times New Roman" w:eastAsia="Times New Roman" w:cs="Times New Roman"/>
      <w:sz w:val="24"/>
      <w:szCs w:val="24"/>
    </w:rPr>
  </w:style>
  <w:style w:type="character" w:styleId="UnresolvedMention1" w:customStyle="1">
    <w:name w:val="Unresolved Mention1"/>
    <w:basedOn w:val="DefaultParagraphFont"/>
    <w:uiPriority w:val="99"/>
    <w:semiHidden/>
    <w:unhideWhenUsed/>
    <w:rsid w:val="00D22A27"/>
    <w:rPr>
      <w:color w:val="605E5C"/>
      <w:shd w:val="clear" w:color="auto" w:fill="E1DFDD"/>
    </w:rPr>
  </w:style>
  <w:style w:type="character" w:styleId="UnresolvedMention">
    <w:name w:val="Unresolved Mention"/>
    <w:basedOn w:val="DefaultParagraphFont"/>
    <w:uiPriority w:val="99"/>
    <w:semiHidden/>
    <w:unhideWhenUsed/>
    <w:rsid w:val="00475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guides/student-conduct"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1269E-46A8-45BF-B303-8C216861AD48}">
  <ds:schemaRefs>
    <ds:schemaRef ds:uri="http://schemas.microsoft.com/sharepoint/v3/contenttype/forms"/>
  </ds:schemaRefs>
</ds:datastoreItem>
</file>

<file path=customXml/itemProps2.xml><?xml version="1.0" encoding="utf-8"?>
<ds:datastoreItem xmlns:ds="http://schemas.openxmlformats.org/officeDocument/2006/customXml" ds:itemID="{4ADE88ED-362C-48F7-8825-C28F245568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9987DE-FC03-4EA2-94C5-F8F07B9509BB}"/>
</file>

<file path=customXml/itemProps4.xml><?xml version="1.0" encoding="utf-8"?>
<ds:datastoreItem xmlns:ds="http://schemas.openxmlformats.org/officeDocument/2006/customXml" ds:itemID="{2385EDF7-3D5F-2644-BC69-69F805055C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9</cp:revision>
  <dcterms:created xsi:type="dcterms:W3CDTF">2021-10-19T11:35:00Z</dcterms:created>
  <dcterms:modified xsi:type="dcterms:W3CDTF">2023-11-10T14:44:23Z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