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46B1" w:rsidR="00B2107E" w:rsidP="009246B1" w:rsidRDefault="00B2107E" w14:paraId="34D36F2F" w14:textId="55D25469">
      <w:pPr>
        <w:pStyle w:val="Title"/>
        <w:spacing w:after="120"/>
        <w:ind w:left="0" w:firstLine="0"/>
        <w:contextualSpacing w:val="0"/>
        <w:rPr>
          <w:rFonts w:ascii="Arial" w:hAnsi="Arial" w:cs="Arial"/>
          <w:b/>
          <w:sz w:val="32"/>
          <w:szCs w:val="32"/>
        </w:rPr>
      </w:pPr>
      <w:r w:rsidRPr="009246B1">
        <w:rPr>
          <w:rFonts w:ascii="Arial" w:hAnsi="Arial" w:cs="Arial"/>
          <w:b/>
          <w:sz w:val="32"/>
          <w:szCs w:val="32"/>
        </w:rPr>
        <w:t xml:space="preserve">Annex H: Divisional Directors of Education and UG Student Experience, Education and UG Student Experience Committees, </w:t>
      </w:r>
      <w:bookmarkStart w:name="_Hlk50301965" w:id="0"/>
      <w:r w:rsidRPr="009246B1">
        <w:rPr>
          <w:rFonts w:ascii="Arial" w:hAnsi="Arial" w:cs="Arial"/>
          <w:b/>
          <w:sz w:val="32"/>
          <w:szCs w:val="32"/>
        </w:rPr>
        <w:t>Directors of Studies and Boards of Studies</w:t>
      </w:r>
    </w:p>
    <w:p w:rsidRPr="004533FD" w:rsidR="004533FD" w:rsidP="004533FD" w:rsidRDefault="004533FD" w14:paraId="41159639" w14:textId="77777777"/>
    <w:sdt>
      <w:sdtPr>
        <w:rPr>
          <w:rFonts w:ascii="Arial" w:hAnsi="Arial" w:eastAsia="Arial" w:cs="Arial"/>
          <w:b w:val="0"/>
          <w:color w:val="000000"/>
          <w:sz w:val="22"/>
          <w:szCs w:val="22"/>
          <w:lang w:val="en-GB" w:eastAsia="en-GB"/>
        </w:rPr>
        <w:id w:val="-2058466426"/>
        <w:docPartObj>
          <w:docPartGallery w:val="Table of Contents"/>
          <w:docPartUnique/>
        </w:docPartObj>
      </w:sdtPr>
      <w:sdtEndPr>
        <w:rPr>
          <w:bCs/>
          <w:noProof/>
          <w:sz w:val="24"/>
          <w:szCs w:val="24"/>
        </w:rPr>
      </w:sdtEndPr>
      <w:sdtContent>
        <w:p w:rsidRPr="00B34B4A" w:rsidR="00007881" w:rsidP="006415D1" w:rsidRDefault="00007881" w14:paraId="0D9A6D98" w14:textId="733B3D30">
          <w:pPr>
            <w:pStyle w:val="TOCHeading"/>
            <w:rPr>
              <w:rFonts w:ascii="Arial" w:hAnsi="Arial" w:cs="Arial"/>
              <w:color w:val="auto"/>
              <w:sz w:val="28"/>
              <w:szCs w:val="28"/>
            </w:rPr>
          </w:pPr>
          <w:r w:rsidRPr="00B34B4A">
            <w:rPr>
              <w:rFonts w:ascii="Arial" w:hAnsi="Arial" w:cs="Arial"/>
              <w:color w:val="auto"/>
              <w:sz w:val="28"/>
              <w:szCs w:val="28"/>
            </w:rPr>
            <w:t>Table of Contents</w:t>
          </w:r>
        </w:p>
        <w:p w:rsidR="00D67357" w:rsidRDefault="00007881" w14:paraId="25C6AEA0" w14:textId="72B0402A">
          <w:pPr>
            <w:pStyle w:val="TOC1"/>
            <w:rPr>
              <w:rFonts w:asciiTheme="minorHAnsi" w:hAnsiTheme="minorHAnsi" w:eastAsiaTheme="minorEastAsia" w:cstheme="minorBidi"/>
              <w:noProof/>
              <w:color w:val="auto"/>
              <w:sz w:val="22"/>
              <w:lang w:eastAsia="zh-CN"/>
            </w:rPr>
          </w:pPr>
          <w:r w:rsidRPr="00A01AEE">
            <w:rPr>
              <w:szCs w:val="24"/>
            </w:rPr>
            <w:fldChar w:fldCharType="begin"/>
          </w:r>
          <w:r w:rsidRPr="00A01AEE">
            <w:rPr>
              <w:szCs w:val="24"/>
            </w:rPr>
            <w:instrText xml:space="preserve"> TOC \o "1-3" \h \z \u </w:instrText>
          </w:r>
          <w:r w:rsidRPr="00A01AEE">
            <w:rPr>
              <w:szCs w:val="24"/>
            </w:rPr>
            <w:fldChar w:fldCharType="separate"/>
          </w:r>
          <w:hyperlink w:history="1" w:anchor="_Toc114559004">
            <w:r w:rsidRPr="004372CF" w:rsidR="00D67357">
              <w:rPr>
                <w:rStyle w:val="Hyperlink"/>
                <w:noProof/>
              </w:rPr>
              <w:t>Acronyms Used in this Document</w:t>
            </w:r>
            <w:r w:rsidR="00D67357">
              <w:rPr>
                <w:noProof/>
                <w:webHidden/>
              </w:rPr>
              <w:tab/>
            </w:r>
            <w:r w:rsidR="00D67357">
              <w:rPr>
                <w:noProof/>
                <w:webHidden/>
              </w:rPr>
              <w:fldChar w:fldCharType="begin"/>
            </w:r>
            <w:r w:rsidR="00D67357">
              <w:rPr>
                <w:noProof/>
                <w:webHidden/>
              </w:rPr>
              <w:instrText xml:space="preserve"> PAGEREF _Toc114559004 \h </w:instrText>
            </w:r>
            <w:r w:rsidR="00D67357">
              <w:rPr>
                <w:noProof/>
                <w:webHidden/>
              </w:rPr>
            </w:r>
            <w:r w:rsidR="00D67357">
              <w:rPr>
                <w:noProof/>
                <w:webHidden/>
              </w:rPr>
              <w:fldChar w:fldCharType="separate"/>
            </w:r>
            <w:r w:rsidR="001D2939">
              <w:rPr>
                <w:noProof/>
                <w:webHidden/>
              </w:rPr>
              <w:t>2</w:t>
            </w:r>
            <w:r w:rsidR="00D67357">
              <w:rPr>
                <w:noProof/>
                <w:webHidden/>
              </w:rPr>
              <w:fldChar w:fldCharType="end"/>
            </w:r>
          </w:hyperlink>
        </w:p>
        <w:p w:rsidR="00D67357" w:rsidRDefault="00736F61" w14:paraId="5225EB18" w14:textId="01651065">
          <w:pPr>
            <w:pStyle w:val="TOC1"/>
            <w:rPr>
              <w:rFonts w:asciiTheme="minorHAnsi" w:hAnsiTheme="minorHAnsi" w:eastAsiaTheme="minorEastAsia" w:cstheme="minorBidi"/>
              <w:noProof/>
              <w:color w:val="auto"/>
              <w:sz w:val="22"/>
              <w:lang w:eastAsia="zh-CN"/>
            </w:rPr>
          </w:pPr>
          <w:hyperlink w:history="1" w:anchor="_Toc114559005">
            <w:r w:rsidRPr="004372CF" w:rsidR="00D67357">
              <w:rPr>
                <w:rStyle w:val="Hyperlink"/>
                <w:noProof/>
              </w:rPr>
              <w:t>1.</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Directors of Education and UG Student Experience (DDESE)</w:t>
            </w:r>
            <w:r w:rsidR="00D67357">
              <w:rPr>
                <w:noProof/>
                <w:webHidden/>
              </w:rPr>
              <w:tab/>
            </w:r>
            <w:r w:rsidR="00D67357">
              <w:rPr>
                <w:noProof/>
                <w:webHidden/>
              </w:rPr>
              <w:fldChar w:fldCharType="begin"/>
            </w:r>
            <w:r w:rsidR="00D67357">
              <w:rPr>
                <w:noProof/>
                <w:webHidden/>
              </w:rPr>
              <w:instrText xml:space="preserve"> PAGEREF _Toc114559005 \h </w:instrText>
            </w:r>
            <w:r w:rsidR="00D67357">
              <w:rPr>
                <w:noProof/>
                <w:webHidden/>
              </w:rPr>
            </w:r>
            <w:r w:rsidR="00D67357">
              <w:rPr>
                <w:noProof/>
                <w:webHidden/>
              </w:rPr>
              <w:fldChar w:fldCharType="separate"/>
            </w:r>
            <w:r w:rsidR="001D2939">
              <w:rPr>
                <w:noProof/>
                <w:webHidden/>
              </w:rPr>
              <w:t>2</w:t>
            </w:r>
            <w:r w:rsidR="00D67357">
              <w:rPr>
                <w:noProof/>
                <w:webHidden/>
              </w:rPr>
              <w:fldChar w:fldCharType="end"/>
            </w:r>
          </w:hyperlink>
        </w:p>
        <w:p w:rsidR="00D67357" w:rsidRDefault="00736F61" w14:paraId="13B8CFB0" w14:textId="46F9EBCA">
          <w:pPr>
            <w:pStyle w:val="TOC2"/>
            <w:rPr>
              <w:rFonts w:asciiTheme="minorHAnsi" w:hAnsiTheme="minorHAnsi" w:eastAsiaTheme="minorEastAsia" w:cstheme="minorBidi"/>
              <w:noProof/>
              <w:color w:val="auto"/>
              <w:sz w:val="22"/>
              <w:lang w:eastAsia="zh-CN"/>
            </w:rPr>
          </w:pPr>
          <w:hyperlink w:history="1" w:anchor="_Toc114559006">
            <w:r w:rsidRPr="004372CF" w:rsidR="00D67357">
              <w:rPr>
                <w:rStyle w:val="Hyperlink"/>
                <w:noProof/>
              </w:rPr>
              <w:t>1.4</w:t>
            </w:r>
            <w:r w:rsidR="00D67357">
              <w:rPr>
                <w:rFonts w:asciiTheme="minorHAnsi" w:hAnsiTheme="minorHAnsi" w:eastAsiaTheme="minorEastAsia" w:cstheme="minorBidi"/>
                <w:noProof/>
                <w:color w:val="auto"/>
                <w:sz w:val="22"/>
                <w:lang w:eastAsia="zh-CN"/>
              </w:rPr>
              <w:tab/>
            </w:r>
            <w:r w:rsidRPr="004372CF" w:rsidR="00D67357">
              <w:rPr>
                <w:rStyle w:val="Hyperlink"/>
                <w:noProof/>
              </w:rPr>
              <w:t>Appointing a DDESE</w:t>
            </w:r>
            <w:r w:rsidR="00D67357">
              <w:rPr>
                <w:noProof/>
                <w:webHidden/>
              </w:rPr>
              <w:tab/>
            </w:r>
            <w:r w:rsidR="00D67357">
              <w:rPr>
                <w:noProof/>
                <w:webHidden/>
              </w:rPr>
              <w:fldChar w:fldCharType="begin"/>
            </w:r>
            <w:r w:rsidR="00D67357">
              <w:rPr>
                <w:noProof/>
                <w:webHidden/>
              </w:rPr>
              <w:instrText xml:space="preserve"> PAGEREF _Toc114559006 \h </w:instrText>
            </w:r>
            <w:r w:rsidR="00D67357">
              <w:rPr>
                <w:noProof/>
                <w:webHidden/>
              </w:rPr>
            </w:r>
            <w:r w:rsidR="00D67357">
              <w:rPr>
                <w:noProof/>
                <w:webHidden/>
              </w:rPr>
              <w:fldChar w:fldCharType="separate"/>
            </w:r>
            <w:r w:rsidR="001D2939">
              <w:rPr>
                <w:noProof/>
                <w:webHidden/>
              </w:rPr>
              <w:t>3</w:t>
            </w:r>
            <w:r w:rsidR="00D67357">
              <w:rPr>
                <w:noProof/>
                <w:webHidden/>
              </w:rPr>
              <w:fldChar w:fldCharType="end"/>
            </w:r>
          </w:hyperlink>
        </w:p>
        <w:p w:rsidR="00D67357" w:rsidRDefault="00736F61" w14:paraId="34044FDB" w14:textId="3143890E">
          <w:pPr>
            <w:pStyle w:val="TOC2"/>
            <w:rPr>
              <w:rFonts w:asciiTheme="minorHAnsi" w:hAnsiTheme="minorHAnsi" w:eastAsiaTheme="minorEastAsia" w:cstheme="minorBidi"/>
              <w:noProof/>
              <w:color w:val="auto"/>
              <w:sz w:val="22"/>
              <w:lang w:eastAsia="zh-CN"/>
            </w:rPr>
          </w:pPr>
          <w:hyperlink w:history="1" w:anchor="_Toc114559007">
            <w:r w:rsidRPr="004372CF" w:rsidR="00D67357">
              <w:rPr>
                <w:rStyle w:val="Hyperlink"/>
                <w:noProof/>
              </w:rPr>
              <w:t>1.5</w:t>
            </w:r>
            <w:r w:rsidR="00D67357">
              <w:rPr>
                <w:rFonts w:asciiTheme="minorHAnsi" w:hAnsiTheme="minorHAnsi" w:eastAsiaTheme="minorEastAsia" w:cstheme="minorBidi"/>
                <w:noProof/>
                <w:color w:val="auto"/>
                <w:sz w:val="22"/>
                <w:lang w:eastAsia="zh-CN"/>
              </w:rPr>
              <w:tab/>
            </w:r>
            <w:r w:rsidRPr="004372CF" w:rsidR="00D67357">
              <w:rPr>
                <w:rStyle w:val="Hyperlink"/>
                <w:noProof/>
              </w:rPr>
              <w:t>Serving Period of a DDESE</w:t>
            </w:r>
            <w:r w:rsidR="00D67357">
              <w:rPr>
                <w:noProof/>
                <w:webHidden/>
              </w:rPr>
              <w:tab/>
            </w:r>
            <w:r w:rsidR="00D67357">
              <w:rPr>
                <w:noProof/>
                <w:webHidden/>
              </w:rPr>
              <w:fldChar w:fldCharType="begin"/>
            </w:r>
            <w:r w:rsidR="00D67357">
              <w:rPr>
                <w:noProof/>
                <w:webHidden/>
              </w:rPr>
              <w:instrText xml:space="preserve"> PAGEREF _Toc114559007 \h </w:instrText>
            </w:r>
            <w:r w:rsidR="00D67357">
              <w:rPr>
                <w:noProof/>
                <w:webHidden/>
              </w:rPr>
            </w:r>
            <w:r w:rsidR="00D67357">
              <w:rPr>
                <w:noProof/>
                <w:webHidden/>
              </w:rPr>
              <w:fldChar w:fldCharType="separate"/>
            </w:r>
            <w:r w:rsidR="001D2939">
              <w:rPr>
                <w:noProof/>
                <w:webHidden/>
              </w:rPr>
              <w:t>3</w:t>
            </w:r>
            <w:r w:rsidR="00D67357">
              <w:rPr>
                <w:noProof/>
                <w:webHidden/>
              </w:rPr>
              <w:fldChar w:fldCharType="end"/>
            </w:r>
          </w:hyperlink>
        </w:p>
        <w:p w:rsidR="00D67357" w:rsidRDefault="00736F61" w14:paraId="247851E3" w14:textId="618DAB06">
          <w:pPr>
            <w:pStyle w:val="TOC2"/>
            <w:rPr>
              <w:rFonts w:asciiTheme="minorHAnsi" w:hAnsiTheme="minorHAnsi" w:eastAsiaTheme="minorEastAsia" w:cstheme="minorBidi"/>
              <w:noProof/>
              <w:color w:val="auto"/>
              <w:sz w:val="22"/>
              <w:lang w:eastAsia="zh-CN"/>
            </w:rPr>
          </w:pPr>
          <w:hyperlink w:history="1" w:anchor="_Toc114559008">
            <w:r w:rsidRPr="004372CF" w:rsidR="00D67357">
              <w:rPr>
                <w:rStyle w:val="Hyperlink"/>
                <w:noProof/>
              </w:rPr>
              <w:t>1.6</w:t>
            </w:r>
            <w:r w:rsidR="00D67357">
              <w:rPr>
                <w:rFonts w:asciiTheme="minorHAnsi" w:hAnsiTheme="minorHAnsi" w:eastAsiaTheme="minorEastAsia" w:cstheme="minorBidi"/>
                <w:noProof/>
                <w:color w:val="auto"/>
                <w:sz w:val="22"/>
                <w:lang w:eastAsia="zh-CN"/>
              </w:rPr>
              <w:tab/>
            </w:r>
            <w:r w:rsidRPr="004372CF" w:rsidR="00D67357">
              <w:rPr>
                <w:rStyle w:val="Hyperlink"/>
                <w:noProof/>
              </w:rPr>
              <w:t>Responsibilities of the DDESE</w:t>
            </w:r>
            <w:r w:rsidR="00D67357">
              <w:rPr>
                <w:noProof/>
                <w:webHidden/>
              </w:rPr>
              <w:tab/>
            </w:r>
            <w:r w:rsidR="00D67357">
              <w:rPr>
                <w:noProof/>
                <w:webHidden/>
              </w:rPr>
              <w:fldChar w:fldCharType="begin"/>
            </w:r>
            <w:r w:rsidR="00D67357">
              <w:rPr>
                <w:noProof/>
                <w:webHidden/>
              </w:rPr>
              <w:instrText xml:space="preserve"> PAGEREF _Toc114559008 \h </w:instrText>
            </w:r>
            <w:r w:rsidR="00D67357">
              <w:rPr>
                <w:noProof/>
                <w:webHidden/>
              </w:rPr>
            </w:r>
            <w:r w:rsidR="00D67357">
              <w:rPr>
                <w:noProof/>
                <w:webHidden/>
              </w:rPr>
              <w:fldChar w:fldCharType="separate"/>
            </w:r>
            <w:r w:rsidR="001D2939">
              <w:rPr>
                <w:noProof/>
                <w:webHidden/>
              </w:rPr>
              <w:t>3</w:t>
            </w:r>
            <w:r w:rsidR="00D67357">
              <w:rPr>
                <w:noProof/>
                <w:webHidden/>
              </w:rPr>
              <w:fldChar w:fldCharType="end"/>
            </w:r>
          </w:hyperlink>
        </w:p>
        <w:p w:rsidR="00D67357" w:rsidRDefault="00736F61" w14:paraId="36EA3653" w14:textId="67A2B9EC">
          <w:pPr>
            <w:pStyle w:val="TOC1"/>
            <w:rPr>
              <w:rFonts w:asciiTheme="minorHAnsi" w:hAnsiTheme="minorHAnsi" w:eastAsiaTheme="minorEastAsia" w:cstheme="minorBidi"/>
              <w:noProof/>
              <w:color w:val="auto"/>
              <w:sz w:val="22"/>
              <w:lang w:eastAsia="zh-CN"/>
            </w:rPr>
          </w:pPr>
          <w:hyperlink w:history="1" w:anchor="_Toc114559009">
            <w:r w:rsidRPr="004372CF" w:rsidR="00D67357">
              <w:rPr>
                <w:rStyle w:val="Hyperlink"/>
                <w:noProof/>
              </w:rPr>
              <w:t>2.</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Education and UG Student Experience Committees (DESEC)</w:t>
            </w:r>
            <w:r w:rsidR="00D67357">
              <w:rPr>
                <w:noProof/>
                <w:webHidden/>
              </w:rPr>
              <w:tab/>
            </w:r>
            <w:r w:rsidR="00D67357">
              <w:rPr>
                <w:noProof/>
                <w:webHidden/>
              </w:rPr>
              <w:fldChar w:fldCharType="begin"/>
            </w:r>
            <w:r w:rsidR="00D67357">
              <w:rPr>
                <w:noProof/>
                <w:webHidden/>
              </w:rPr>
              <w:instrText xml:space="preserve"> PAGEREF _Toc114559009 \h </w:instrText>
            </w:r>
            <w:r w:rsidR="00D67357">
              <w:rPr>
                <w:noProof/>
                <w:webHidden/>
              </w:rPr>
            </w:r>
            <w:r w:rsidR="00D67357">
              <w:rPr>
                <w:noProof/>
                <w:webHidden/>
              </w:rPr>
              <w:fldChar w:fldCharType="separate"/>
            </w:r>
            <w:r w:rsidR="001D2939">
              <w:rPr>
                <w:noProof/>
                <w:webHidden/>
              </w:rPr>
              <w:t>5</w:t>
            </w:r>
            <w:r w:rsidR="00D67357">
              <w:rPr>
                <w:noProof/>
                <w:webHidden/>
              </w:rPr>
              <w:fldChar w:fldCharType="end"/>
            </w:r>
          </w:hyperlink>
        </w:p>
        <w:p w:rsidR="00D67357" w:rsidRDefault="00736F61" w14:paraId="5232E538" w14:textId="4036EE7E">
          <w:pPr>
            <w:pStyle w:val="TOC2"/>
            <w:rPr>
              <w:rFonts w:asciiTheme="minorHAnsi" w:hAnsiTheme="minorHAnsi" w:eastAsiaTheme="minorEastAsia" w:cstheme="minorBidi"/>
              <w:noProof/>
              <w:color w:val="auto"/>
              <w:sz w:val="22"/>
              <w:lang w:eastAsia="zh-CN"/>
            </w:rPr>
          </w:pPr>
          <w:hyperlink w:history="1" w:anchor="_Toc114559010">
            <w:r w:rsidRPr="004372CF" w:rsidR="00D67357">
              <w:rPr>
                <w:rStyle w:val="Hyperlink"/>
                <w:noProof/>
              </w:rPr>
              <w:t>2.1</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Requirement to have a DESEC</w:t>
            </w:r>
            <w:r w:rsidR="00D67357">
              <w:rPr>
                <w:noProof/>
                <w:webHidden/>
              </w:rPr>
              <w:tab/>
            </w:r>
            <w:r w:rsidR="00D67357">
              <w:rPr>
                <w:noProof/>
                <w:webHidden/>
              </w:rPr>
              <w:fldChar w:fldCharType="begin"/>
            </w:r>
            <w:r w:rsidR="00D67357">
              <w:rPr>
                <w:noProof/>
                <w:webHidden/>
              </w:rPr>
              <w:instrText xml:space="preserve"> PAGEREF _Toc114559010 \h </w:instrText>
            </w:r>
            <w:r w:rsidR="00D67357">
              <w:rPr>
                <w:noProof/>
                <w:webHidden/>
              </w:rPr>
            </w:r>
            <w:r w:rsidR="00D67357">
              <w:rPr>
                <w:noProof/>
                <w:webHidden/>
              </w:rPr>
              <w:fldChar w:fldCharType="separate"/>
            </w:r>
            <w:r w:rsidR="001D2939">
              <w:rPr>
                <w:noProof/>
                <w:webHidden/>
              </w:rPr>
              <w:t>5</w:t>
            </w:r>
            <w:r w:rsidR="00D67357">
              <w:rPr>
                <w:noProof/>
                <w:webHidden/>
              </w:rPr>
              <w:fldChar w:fldCharType="end"/>
            </w:r>
          </w:hyperlink>
        </w:p>
        <w:p w:rsidR="00D67357" w:rsidRDefault="00736F61" w14:paraId="059071BC" w14:textId="5F1963B4">
          <w:pPr>
            <w:pStyle w:val="TOC2"/>
            <w:rPr>
              <w:rFonts w:asciiTheme="minorHAnsi" w:hAnsiTheme="minorHAnsi" w:eastAsiaTheme="minorEastAsia" w:cstheme="minorBidi"/>
              <w:noProof/>
              <w:color w:val="auto"/>
              <w:sz w:val="22"/>
              <w:lang w:eastAsia="zh-CN"/>
            </w:rPr>
          </w:pPr>
          <w:hyperlink w:history="1" w:anchor="_Toc114559011">
            <w:r w:rsidRPr="004372CF" w:rsidR="00D67357">
              <w:rPr>
                <w:rStyle w:val="Hyperlink"/>
                <w:noProof/>
              </w:rPr>
              <w:t>2.2</w:t>
            </w:r>
            <w:r w:rsidR="00D67357">
              <w:rPr>
                <w:rFonts w:asciiTheme="minorHAnsi" w:hAnsiTheme="minorHAnsi" w:eastAsiaTheme="minorEastAsia" w:cstheme="minorBidi"/>
                <w:noProof/>
                <w:color w:val="auto"/>
                <w:sz w:val="22"/>
                <w:lang w:eastAsia="zh-CN"/>
              </w:rPr>
              <w:tab/>
            </w:r>
            <w:r w:rsidRPr="004372CF" w:rsidR="00D67357">
              <w:rPr>
                <w:rStyle w:val="Hyperlink"/>
                <w:noProof/>
              </w:rPr>
              <w:t>Membership of the DESEC</w:t>
            </w:r>
            <w:r w:rsidR="00D67357">
              <w:rPr>
                <w:noProof/>
                <w:webHidden/>
              </w:rPr>
              <w:tab/>
            </w:r>
            <w:r w:rsidR="00D67357">
              <w:rPr>
                <w:noProof/>
                <w:webHidden/>
              </w:rPr>
              <w:fldChar w:fldCharType="begin"/>
            </w:r>
            <w:r w:rsidR="00D67357">
              <w:rPr>
                <w:noProof/>
                <w:webHidden/>
              </w:rPr>
              <w:instrText xml:space="preserve"> PAGEREF _Toc114559011 \h </w:instrText>
            </w:r>
            <w:r w:rsidR="00D67357">
              <w:rPr>
                <w:noProof/>
                <w:webHidden/>
              </w:rPr>
            </w:r>
            <w:r w:rsidR="00D67357">
              <w:rPr>
                <w:noProof/>
                <w:webHidden/>
              </w:rPr>
              <w:fldChar w:fldCharType="separate"/>
            </w:r>
            <w:r w:rsidR="001D2939">
              <w:rPr>
                <w:noProof/>
                <w:webHidden/>
              </w:rPr>
              <w:t>5</w:t>
            </w:r>
            <w:r w:rsidR="00D67357">
              <w:rPr>
                <w:noProof/>
                <w:webHidden/>
              </w:rPr>
              <w:fldChar w:fldCharType="end"/>
            </w:r>
          </w:hyperlink>
        </w:p>
        <w:p w:rsidR="00D67357" w:rsidRDefault="00736F61" w14:paraId="1167EB5A" w14:textId="5E6B033F">
          <w:pPr>
            <w:pStyle w:val="TOC2"/>
            <w:rPr>
              <w:rFonts w:asciiTheme="minorHAnsi" w:hAnsiTheme="minorHAnsi" w:eastAsiaTheme="minorEastAsia" w:cstheme="minorBidi"/>
              <w:noProof/>
              <w:color w:val="auto"/>
              <w:sz w:val="22"/>
              <w:lang w:eastAsia="zh-CN"/>
            </w:rPr>
          </w:pPr>
          <w:hyperlink w:history="1" w:anchor="_Toc114559012">
            <w:r w:rsidRPr="004372CF" w:rsidR="00D67357">
              <w:rPr>
                <w:rStyle w:val="Hyperlink"/>
                <w:noProof/>
              </w:rPr>
              <w:t>2.3</w:t>
            </w:r>
            <w:r w:rsidR="00D67357">
              <w:rPr>
                <w:rFonts w:asciiTheme="minorHAnsi" w:hAnsiTheme="minorHAnsi" w:eastAsiaTheme="minorEastAsia" w:cstheme="minorBidi"/>
                <w:noProof/>
                <w:color w:val="auto"/>
                <w:sz w:val="22"/>
                <w:lang w:eastAsia="zh-CN"/>
              </w:rPr>
              <w:tab/>
            </w:r>
            <w:r w:rsidRPr="004372CF" w:rsidR="00D67357">
              <w:rPr>
                <w:rStyle w:val="Hyperlink"/>
                <w:noProof/>
              </w:rPr>
              <w:t>Chair of the DESEC</w:t>
            </w:r>
            <w:r w:rsidR="00D67357">
              <w:rPr>
                <w:noProof/>
                <w:webHidden/>
              </w:rPr>
              <w:tab/>
            </w:r>
            <w:r w:rsidR="00D67357">
              <w:rPr>
                <w:noProof/>
                <w:webHidden/>
              </w:rPr>
              <w:fldChar w:fldCharType="begin"/>
            </w:r>
            <w:r w:rsidR="00D67357">
              <w:rPr>
                <w:noProof/>
                <w:webHidden/>
              </w:rPr>
              <w:instrText xml:space="preserve"> PAGEREF _Toc114559012 \h </w:instrText>
            </w:r>
            <w:r w:rsidR="00D67357">
              <w:rPr>
                <w:noProof/>
                <w:webHidden/>
              </w:rPr>
            </w:r>
            <w:r w:rsidR="00D67357">
              <w:rPr>
                <w:noProof/>
                <w:webHidden/>
              </w:rPr>
              <w:fldChar w:fldCharType="separate"/>
            </w:r>
            <w:r w:rsidR="001D2939">
              <w:rPr>
                <w:noProof/>
                <w:webHidden/>
              </w:rPr>
              <w:t>6</w:t>
            </w:r>
            <w:r w:rsidR="00D67357">
              <w:rPr>
                <w:noProof/>
                <w:webHidden/>
              </w:rPr>
              <w:fldChar w:fldCharType="end"/>
            </w:r>
          </w:hyperlink>
        </w:p>
        <w:p w:rsidR="00D67357" w:rsidRDefault="00736F61" w14:paraId="5ABC9C0F" w14:textId="7434B049">
          <w:pPr>
            <w:pStyle w:val="TOC2"/>
            <w:rPr>
              <w:rFonts w:asciiTheme="minorHAnsi" w:hAnsiTheme="minorHAnsi" w:eastAsiaTheme="minorEastAsia" w:cstheme="minorBidi"/>
              <w:noProof/>
              <w:color w:val="auto"/>
              <w:sz w:val="22"/>
              <w:lang w:eastAsia="zh-CN"/>
            </w:rPr>
          </w:pPr>
          <w:hyperlink w:history="1" w:anchor="_Toc114559013">
            <w:r w:rsidRPr="004372CF" w:rsidR="00D67357">
              <w:rPr>
                <w:rStyle w:val="Hyperlink"/>
                <w:noProof/>
              </w:rPr>
              <w:t>2.4</w:t>
            </w:r>
            <w:r w:rsidR="00D67357">
              <w:rPr>
                <w:rFonts w:asciiTheme="minorHAnsi" w:hAnsiTheme="minorHAnsi" w:eastAsiaTheme="minorEastAsia" w:cstheme="minorBidi"/>
                <w:noProof/>
                <w:color w:val="auto"/>
                <w:sz w:val="22"/>
                <w:lang w:eastAsia="zh-CN"/>
              </w:rPr>
              <w:tab/>
            </w:r>
            <w:r w:rsidRPr="004372CF" w:rsidR="00D67357">
              <w:rPr>
                <w:rStyle w:val="Hyperlink"/>
                <w:noProof/>
              </w:rPr>
              <w:t>Minimum Meeting Requirements for the DESEC</w:t>
            </w:r>
            <w:r w:rsidR="00D67357">
              <w:rPr>
                <w:noProof/>
                <w:webHidden/>
              </w:rPr>
              <w:tab/>
            </w:r>
            <w:r w:rsidR="00D67357">
              <w:rPr>
                <w:noProof/>
                <w:webHidden/>
              </w:rPr>
              <w:fldChar w:fldCharType="begin"/>
            </w:r>
            <w:r w:rsidR="00D67357">
              <w:rPr>
                <w:noProof/>
                <w:webHidden/>
              </w:rPr>
              <w:instrText xml:space="preserve"> PAGEREF _Toc114559013 \h </w:instrText>
            </w:r>
            <w:r w:rsidR="00D67357">
              <w:rPr>
                <w:noProof/>
                <w:webHidden/>
              </w:rPr>
            </w:r>
            <w:r w:rsidR="00D67357">
              <w:rPr>
                <w:noProof/>
                <w:webHidden/>
              </w:rPr>
              <w:fldChar w:fldCharType="separate"/>
            </w:r>
            <w:r w:rsidR="001D2939">
              <w:rPr>
                <w:noProof/>
                <w:webHidden/>
              </w:rPr>
              <w:t>6</w:t>
            </w:r>
            <w:r w:rsidR="00D67357">
              <w:rPr>
                <w:noProof/>
                <w:webHidden/>
              </w:rPr>
              <w:fldChar w:fldCharType="end"/>
            </w:r>
          </w:hyperlink>
        </w:p>
        <w:p w:rsidR="00D67357" w:rsidRDefault="00736F61" w14:paraId="10BBC66A" w14:textId="64544D32">
          <w:pPr>
            <w:pStyle w:val="TOC2"/>
            <w:rPr>
              <w:rFonts w:asciiTheme="minorHAnsi" w:hAnsiTheme="minorHAnsi" w:eastAsiaTheme="minorEastAsia" w:cstheme="minorBidi"/>
              <w:noProof/>
              <w:color w:val="auto"/>
              <w:sz w:val="22"/>
              <w:lang w:eastAsia="zh-CN"/>
            </w:rPr>
          </w:pPr>
          <w:hyperlink w:history="1" w:anchor="_Toc114559014">
            <w:r w:rsidRPr="004372CF" w:rsidR="00D67357">
              <w:rPr>
                <w:rStyle w:val="Hyperlink"/>
                <w:noProof/>
              </w:rPr>
              <w:t>2.5</w:t>
            </w:r>
            <w:r w:rsidR="00D67357">
              <w:rPr>
                <w:rFonts w:asciiTheme="minorHAnsi" w:hAnsiTheme="minorHAnsi" w:eastAsiaTheme="minorEastAsia" w:cstheme="minorBidi"/>
                <w:noProof/>
                <w:color w:val="auto"/>
                <w:sz w:val="22"/>
                <w:lang w:eastAsia="zh-CN"/>
              </w:rPr>
              <w:tab/>
            </w:r>
            <w:r w:rsidRPr="004372CF" w:rsidR="00D67357">
              <w:rPr>
                <w:rStyle w:val="Hyperlink"/>
                <w:noProof/>
              </w:rPr>
              <w:t>Responsibilities of the DESEC</w:t>
            </w:r>
            <w:r w:rsidR="00D67357">
              <w:rPr>
                <w:noProof/>
                <w:webHidden/>
              </w:rPr>
              <w:tab/>
            </w:r>
            <w:r w:rsidR="00D67357">
              <w:rPr>
                <w:noProof/>
                <w:webHidden/>
              </w:rPr>
              <w:fldChar w:fldCharType="begin"/>
            </w:r>
            <w:r w:rsidR="00D67357">
              <w:rPr>
                <w:noProof/>
                <w:webHidden/>
              </w:rPr>
              <w:instrText xml:space="preserve"> PAGEREF _Toc114559014 \h </w:instrText>
            </w:r>
            <w:r w:rsidR="00D67357">
              <w:rPr>
                <w:noProof/>
                <w:webHidden/>
              </w:rPr>
            </w:r>
            <w:r w:rsidR="00D67357">
              <w:rPr>
                <w:noProof/>
                <w:webHidden/>
              </w:rPr>
              <w:fldChar w:fldCharType="separate"/>
            </w:r>
            <w:r w:rsidR="001D2939">
              <w:rPr>
                <w:noProof/>
                <w:webHidden/>
              </w:rPr>
              <w:t>6</w:t>
            </w:r>
            <w:r w:rsidR="00D67357">
              <w:rPr>
                <w:noProof/>
                <w:webHidden/>
              </w:rPr>
              <w:fldChar w:fldCharType="end"/>
            </w:r>
          </w:hyperlink>
        </w:p>
        <w:p w:rsidR="00D67357" w:rsidRDefault="00736F61" w14:paraId="0EB7979E" w14:textId="586FA003">
          <w:pPr>
            <w:pStyle w:val="TOC2"/>
            <w:rPr>
              <w:rFonts w:asciiTheme="minorHAnsi" w:hAnsiTheme="minorHAnsi" w:eastAsiaTheme="minorEastAsia" w:cstheme="minorBidi"/>
              <w:noProof/>
              <w:color w:val="auto"/>
              <w:sz w:val="22"/>
              <w:lang w:eastAsia="zh-CN"/>
            </w:rPr>
          </w:pPr>
          <w:hyperlink w:history="1" w:anchor="_Toc114559015">
            <w:r w:rsidRPr="004372CF" w:rsidR="00D67357">
              <w:rPr>
                <w:rStyle w:val="Hyperlink"/>
                <w:noProof/>
              </w:rPr>
              <w:t>2.6</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Quality and Standards Sub-Committee (DQSSC)</w:t>
            </w:r>
            <w:r w:rsidR="00D67357">
              <w:rPr>
                <w:noProof/>
                <w:webHidden/>
              </w:rPr>
              <w:tab/>
            </w:r>
            <w:r w:rsidR="00D67357">
              <w:rPr>
                <w:noProof/>
                <w:webHidden/>
              </w:rPr>
              <w:fldChar w:fldCharType="begin"/>
            </w:r>
            <w:r w:rsidR="00D67357">
              <w:rPr>
                <w:noProof/>
                <w:webHidden/>
              </w:rPr>
              <w:instrText xml:space="preserve"> PAGEREF _Toc114559015 \h </w:instrText>
            </w:r>
            <w:r w:rsidR="00D67357">
              <w:rPr>
                <w:noProof/>
                <w:webHidden/>
              </w:rPr>
            </w:r>
            <w:r w:rsidR="00D67357">
              <w:rPr>
                <w:noProof/>
                <w:webHidden/>
              </w:rPr>
              <w:fldChar w:fldCharType="separate"/>
            </w:r>
            <w:r w:rsidR="001D2939">
              <w:rPr>
                <w:noProof/>
                <w:webHidden/>
              </w:rPr>
              <w:t>8</w:t>
            </w:r>
            <w:r w:rsidR="00D67357">
              <w:rPr>
                <w:noProof/>
                <w:webHidden/>
              </w:rPr>
              <w:fldChar w:fldCharType="end"/>
            </w:r>
          </w:hyperlink>
        </w:p>
        <w:p w:rsidR="00D67357" w:rsidP="00D67357" w:rsidRDefault="00736F61" w14:paraId="34404A56" w14:textId="61A44358">
          <w:pPr>
            <w:pStyle w:val="TOC3"/>
            <w:rPr>
              <w:rFonts w:asciiTheme="minorHAnsi" w:hAnsiTheme="minorHAnsi" w:eastAsiaTheme="minorEastAsia" w:cstheme="minorBidi"/>
              <w:noProof/>
              <w:color w:val="auto"/>
              <w:sz w:val="22"/>
              <w:lang w:eastAsia="zh-CN"/>
            </w:rPr>
          </w:pPr>
          <w:hyperlink w:history="1" w:anchor="_Toc114559016">
            <w:r w:rsidRPr="004372CF" w:rsidR="00D67357">
              <w:rPr>
                <w:rStyle w:val="Hyperlink"/>
                <w:noProof/>
              </w:rPr>
              <w:t>2.6.1</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Quality and Standards Sub-committee</w:t>
            </w:r>
            <w:r w:rsidR="00D67357">
              <w:rPr>
                <w:noProof/>
                <w:webHidden/>
              </w:rPr>
              <w:tab/>
            </w:r>
            <w:r w:rsidR="00D67357">
              <w:rPr>
                <w:noProof/>
                <w:webHidden/>
              </w:rPr>
              <w:fldChar w:fldCharType="begin"/>
            </w:r>
            <w:r w:rsidR="00D67357">
              <w:rPr>
                <w:noProof/>
                <w:webHidden/>
              </w:rPr>
              <w:instrText xml:space="preserve"> PAGEREF _Toc114559016 \h </w:instrText>
            </w:r>
            <w:r w:rsidR="00D67357">
              <w:rPr>
                <w:noProof/>
                <w:webHidden/>
              </w:rPr>
            </w:r>
            <w:r w:rsidR="00D67357">
              <w:rPr>
                <w:noProof/>
                <w:webHidden/>
              </w:rPr>
              <w:fldChar w:fldCharType="separate"/>
            </w:r>
            <w:r w:rsidR="001D2939">
              <w:rPr>
                <w:noProof/>
                <w:webHidden/>
              </w:rPr>
              <w:t>9</w:t>
            </w:r>
            <w:r w:rsidR="00D67357">
              <w:rPr>
                <w:noProof/>
                <w:webHidden/>
              </w:rPr>
              <w:fldChar w:fldCharType="end"/>
            </w:r>
          </w:hyperlink>
        </w:p>
        <w:p w:rsidR="00D67357" w:rsidRDefault="00736F61" w14:paraId="21709917" w14:textId="7220131B">
          <w:pPr>
            <w:pStyle w:val="TOC1"/>
            <w:rPr>
              <w:rFonts w:asciiTheme="minorHAnsi" w:hAnsiTheme="minorHAnsi" w:eastAsiaTheme="minorEastAsia" w:cstheme="minorBidi"/>
              <w:noProof/>
              <w:color w:val="auto"/>
              <w:sz w:val="22"/>
              <w:lang w:eastAsia="zh-CN"/>
            </w:rPr>
          </w:pPr>
          <w:hyperlink w:history="1" w:anchor="_Toc114559017">
            <w:r w:rsidRPr="004372CF" w:rsidR="00D67357">
              <w:rPr>
                <w:rStyle w:val="Hyperlink"/>
                <w:noProof/>
              </w:rPr>
              <w:t>3.</w:t>
            </w:r>
            <w:r w:rsidR="00D67357">
              <w:rPr>
                <w:rFonts w:asciiTheme="minorHAnsi" w:hAnsiTheme="minorHAnsi" w:eastAsiaTheme="minorEastAsia" w:cstheme="minorBidi"/>
                <w:noProof/>
                <w:color w:val="auto"/>
                <w:sz w:val="22"/>
                <w:lang w:eastAsia="zh-CN"/>
              </w:rPr>
              <w:tab/>
            </w:r>
            <w:r w:rsidRPr="004372CF" w:rsidR="00D67357">
              <w:rPr>
                <w:rStyle w:val="Hyperlink"/>
                <w:noProof/>
              </w:rPr>
              <w:t>Directors of Studies and Boards of Studies</w:t>
            </w:r>
            <w:r w:rsidR="00D67357">
              <w:rPr>
                <w:noProof/>
                <w:webHidden/>
              </w:rPr>
              <w:tab/>
            </w:r>
            <w:r w:rsidR="00D67357">
              <w:rPr>
                <w:noProof/>
                <w:webHidden/>
              </w:rPr>
              <w:fldChar w:fldCharType="begin"/>
            </w:r>
            <w:r w:rsidR="00D67357">
              <w:rPr>
                <w:noProof/>
                <w:webHidden/>
              </w:rPr>
              <w:instrText xml:space="preserve"> PAGEREF _Toc114559017 \h </w:instrText>
            </w:r>
            <w:r w:rsidR="00D67357">
              <w:rPr>
                <w:noProof/>
                <w:webHidden/>
              </w:rPr>
            </w:r>
            <w:r w:rsidR="00D67357">
              <w:rPr>
                <w:noProof/>
                <w:webHidden/>
              </w:rPr>
              <w:fldChar w:fldCharType="separate"/>
            </w:r>
            <w:r w:rsidR="001D2939">
              <w:rPr>
                <w:noProof/>
                <w:webHidden/>
              </w:rPr>
              <w:t>9</w:t>
            </w:r>
            <w:r w:rsidR="00D67357">
              <w:rPr>
                <w:noProof/>
                <w:webHidden/>
              </w:rPr>
              <w:fldChar w:fldCharType="end"/>
            </w:r>
          </w:hyperlink>
        </w:p>
        <w:p w:rsidR="00D67357" w:rsidRDefault="00736F61" w14:paraId="77ADC4A5" w14:textId="3746E6CD">
          <w:pPr>
            <w:pStyle w:val="TOC2"/>
            <w:rPr>
              <w:rFonts w:asciiTheme="minorHAnsi" w:hAnsiTheme="minorHAnsi" w:eastAsiaTheme="minorEastAsia" w:cstheme="minorBidi"/>
              <w:noProof/>
              <w:color w:val="auto"/>
              <w:sz w:val="22"/>
              <w:lang w:eastAsia="zh-CN"/>
            </w:rPr>
          </w:pPr>
          <w:hyperlink w:history="1" w:anchor="_Toc114559018">
            <w:r w:rsidRPr="004372CF" w:rsidR="00D67357">
              <w:rPr>
                <w:rStyle w:val="Hyperlink"/>
                <w:noProof/>
              </w:rPr>
              <w:t>3.1</w:t>
            </w:r>
            <w:r w:rsidR="00D67357">
              <w:rPr>
                <w:rFonts w:asciiTheme="minorHAnsi" w:hAnsiTheme="minorHAnsi" w:eastAsiaTheme="minorEastAsia" w:cstheme="minorBidi"/>
                <w:noProof/>
                <w:color w:val="auto"/>
                <w:sz w:val="22"/>
                <w:lang w:eastAsia="zh-CN"/>
              </w:rPr>
              <w:tab/>
            </w:r>
            <w:r w:rsidRPr="004372CF" w:rsidR="00D67357">
              <w:rPr>
                <w:rStyle w:val="Hyperlink"/>
                <w:noProof/>
              </w:rPr>
              <w:t>Divisional Responsibilities in Determining Appropriate Number of Directors Of Studies/Board of Studies are Appointed</w:t>
            </w:r>
            <w:r w:rsidR="00D67357">
              <w:rPr>
                <w:noProof/>
                <w:webHidden/>
              </w:rPr>
              <w:tab/>
            </w:r>
            <w:r w:rsidR="00D67357">
              <w:rPr>
                <w:noProof/>
                <w:webHidden/>
              </w:rPr>
              <w:fldChar w:fldCharType="begin"/>
            </w:r>
            <w:r w:rsidR="00D67357">
              <w:rPr>
                <w:noProof/>
                <w:webHidden/>
              </w:rPr>
              <w:instrText xml:space="preserve"> PAGEREF _Toc114559018 \h </w:instrText>
            </w:r>
            <w:r w:rsidR="00D67357">
              <w:rPr>
                <w:noProof/>
                <w:webHidden/>
              </w:rPr>
            </w:r>
            <w:r w:rsidR="00D67357">
              <w:rPr>
                <w:noProof/>
                <w:webHidden/>
              </w:rPr>
              <w:fldChar w:fldCharType="separate"/>
            </w:r>
            <w:r w:rsidR="001D2939">
              <w:rPr>
                <w:noProof/>
                <w:webHidden/>
              </w:rPr>
              <w:t>9</w:t>
            </w:r>
            <w:r w:rsidR="00D67357">
              <w:rPr>
                <w:noProof/>
                <w:webHidden/>
              </w:rPr>
              <w:fldChar w:fldCharType="end"/>
            </w:r>
          </w:hyperlink>
        </w:p>
        <w:p w:rsidR="00D67357" w:rsidRDefault="00736F61" w14:paraId="605DDE1B" w14:textId="207884DA">
          <w:pPr>
            <w:pStyle w:val="TOC2"/>
            <w:rPr>
              <w:rFonts w:asciiTheme="minorHAnsi" w:hAnsiTheme="minorHAnsi" w:eastAsiaTheme="minorEastAsia" w:cstheme="minorBidi"/>
              <w:noProof/>
              <w:color w:val="auto"/>
              <w:sz w:val="22"/>
              <w:lang w:eastAsia="zh-CN"/>
            </w:rPr>
          </w:pPr>
          <w:hyperlink w:history="1" w:anchor="_Toc114559019">
            <w:r w:rsidRPr="004372CF" w:rsidR="00D67357">
              <w:rPr>
                <w:rStyle w:val="Hyperlink"/>
                <w:noProof/>
              </w:rPr>
              <w:t>3.2</w:t>
            </w:r>
            <w:r w:rsidR="00D67357">
              <w:rPr>
                <w:rFonts w:asciiTheme="minorHAnsi" w:hAnsiTheme="minorHAnsi" w:eastAsiaTheme="minorEastAsia" w:cstheme="minorBidi"/>
                <w:noProof/>
                <w:color w:val="auto"/>
                <w:sz w:val="22"/>
                <w:lang w:eastAsia="zh-CN"/>
              </w:rPr>
              <w:tab/>
            </w:r>
            <w:r w:rsidRPr="004372CF" w:rsidR="00D67357">
              <w:rPr>
                <w:rStyle w:val="Hyperlink"/>
                <w:noProof/>
              </w:rPr>
              <w:t>Appointing Director of Studies</w:t>
            </w:r>
            <w:r w:rsidR="00D67357">
              <w:rPr>
                <w:noProof/>
                <w:webHidden/>
              </w:rPr>
              <w:tab/>
            </w:r>
            <w:r w:rsidR="00D67357">
              <w:rPr>
                <w:noProof/>
                <w:webHidden/>
              </w:rPr>
              <w:fldChar w:fldCharType="begin"/>
            </w:r>
            <w:r w:rsidR="00D67357">
              <w:rPr>
                <w:noProof/>
                <w:webHidden/>
              </w:rPr>
              <w:instrText xml:space="preserve"> PAGEREF _Toc114559019 \h </w:instrText>
            </w:r>
            <w:r w:rsidR="00D67357">
              <w:rPr>
                <w:noProof/>
                <w:webHidden/>
              </w:rPr>
            </w:r>
            <w:r w:rsidR="00D67357">
              <w:rPr>
                <w:noProof/>
                <w:webHidden/>
              </w:rPr>
              <w:fldChar w:fldCharType="separate"/>
            </w:r>
            <w:r w:rsidR="001D2939">
              <w:rPr>
                <w:noProof/>
                <w:webHidden/>
              </w:rPr>
              <w:t>10</w:t>
            </w:r>
            <w:r w:rsidR="00D67357">
              <w:rPr>
                <w:noProof/>
                <w:webHidden/>
              </w:rPr>
              <w:fldChar w:fldCharType="end"/>
            </w:r>
          </w:hyperlink>
        </w:p>
        <w:p w:rsidR="00D67357" w:rsidRDefault="00736F61" w14:paraId="0C1EAEDE" w14:textId="081A2254">
          <w:pPr>
            <w:pStyle w:val="TOC2"/>
            <w:rPr>
              <w:rFonts w:asciiTheme="minorHAnsi" w:hAnsiTheme="minorHAnsi" w:eastAsiaTheme="minorEastAsia" w:cstheme="minorBidi"/>
              <w:noProof/>
              <w:color w:val="auto"/>
              <w:sz w:val="22"/>
              <w:lang w:eastAsia="zh-CN"/>
            </w:rPr>
          </w:pPr>
          <w:hyperlink w:history="1" w:anchor="_Toc114559020">
            <w:r w:rsidRPr="004372CF" w:rsidR="00D67357">
              <w:rPr>
                <w:rStyle w:val="Hyperlink"/>
                <w:noProof/>
              </w:rPr>
              <w:t>3.3</w:t>
            </w:r>
            <w:r w:rsidR="00D67357">
              <w:rPr>
                <w:rFonts w:asciiTheme="minorHAnsi" w:hAnsiTheme="minorHAnsi" w:eastAsiaTheme="minorEastAsia" w:cstheme="minorBidi"/>
                <w:noProof/>
                <w:color w:val="auto"/>
                <w:sz w:val="22"/>
                <w:lang w:eastAsia="zh-CN"/>
              </w:rPr>
              <w:tab/>
            </w:r>
            <w:r w:rsidRPr="004372CF" w:rsidR="00D67357">
              <w:rPr>
                <w:rStyle w:val="Hyperlink"/>
                <w:noProof/>
              </w:rPr>
              <w:t>Role of the Director of Studies</w:t>
            </w:r>
            <w:r w:rsidR="00D67357">
              <w:rPr>
                <w:noProof/>
                <w:webHidden/>
              </w:rPr>
              <w:tab/>
            </w:r>
            <w:r w:rsidR="00D67357">
              <w:rPr>
                <w:noProof/>
                <w:webHidden/>
              </w:rPr>
              <w:fldChar w:fldCharType="begin"/>
            </w:r>
            <w:r w:rsidR="00D67357">
              <w:rPr>
                <w:noProof/>
                <w:webHidden/>
              </w:rPr>
              <w:instrText xml:space="preserve"> PAGEREF _Toc114559020 \h </w:instrText>
            </w:r>
            <w:r w:rsidR="00D67357">
              <w:rPr>
                <w:noProof/>
                <w:webHidden/>
              </w:rPr>
            </w:r>
            <w:r w:rsidR="00D67357">
              <w:rPr>
                <w:noProof/>
                <w:webHidden/>
              </w:rPr>
              <w:fldChar w:fldCharType="separate"/>
            </w:r>
            <w:r w:rsidR="001D2939">
              <w:rPr>
                <w:noProof/>
                <w:webHidden/>
              </w:rPr>
              <w:t>10</w:t>
            </w:r>
            <w:r w:rsidR="00D67357">
              <w:rPr>
                <w:noProof/>
                <w:webHidden/>
              </w:rPr>
              <w:fldChar w:fldCharType="end"/>
            </w:r>
          </w:hyperlink>
        </w:p>
        <w:p w:rsidR="00D67357" w:rsidRDefault="00736F61" w14:paraId="10273432" w14:textId="468E9592">
          <w:pPr>
            <w:pStyle w:val="TOC2"/>
            <w:rPr>
              <w:rFonts w:asciiTheme="minorHAnsi" w:hAnsiTheme="minorHAnsi" w:eastAsiaTheme="minorEastAsia" w:cstheme="minorBidi"/>
              <w:noProof/>
              <w:color w:val="auto"/>
              <w:sz w:val="22"/>
              <w:lang w:eastAsia="zh-CN"/>
            </w:rPr>
          </w:pPr>
          <w:hyperlink w:history="1" w:anchor="_Toc114559021">
            <w:r w:rsidRPr="004372CF" w:rsidR="00D67357">
              <w:rPr>
                <w:rStyle w:val="Hyperlink"/>
                <w:noProof/>
              </w:rPr>
              <w:t>3.4</w:t>
            </w:r>
            <w:r w:rsidR="00D67357">
              <w:rPr>
                <w:rFonts w:asciiTheme="minorHAnsi" w:hAnsiTheme="minorHAnsi" w:eastAsiaTheme="minorEastAsia" w:cstheme="minorBidi"/>
                <w:noProof/>
                <w:color w:val="auto"/>
                <w:sz w:val="22"/>
                <w:lang w:eastAsia="zh-CN"/>
              </w:rPr>
              <w:tab/>
            </w:r>
            <w:r w:rsidRPr="004372CF" w:rsidR="00D67357">
              <w:rPr>
                <w:rStyle w:val="Hyperlink"/>
                <w:noProof/>
              </w:rPr>
              <w:t>Appointing Board of Studies</w:t>
            </w:r>
            <w:r w:rsidR="00D67357">
              <w:rPr>
                <w:noProof/>
                <w:webHidden/>
              </w:rPr>
              <w:tab/>
            </w:r>
            <w:r w:rsidR="00D67357">
              <w:rPr>
                <w:noProof/>
                <w:webHidden/>
              </w:rPr>
              <w:fldChar w:fldCharType="begin"/>
            </w:r>
            <w:r w:rsidR="00D67357">
              <w:rPr>
                <w:noProof/>
                <w:webHidden/>
              </w:rPr>
              <w:instrText xml:space="preserve"> PAGEREF _Toc114559021 \h </w:instrText>
            </w:r>
            <w:r w:rsidR="00D67357">
              <w:rPr>
                <w:noProof/>
                <w:webHidden/>
              </w:rPr>
            </w:r>
            <w:r w:rsidR="00D67357">
              <w:rPr>
                <w:noProof/>
                <w:webHidden/>
              </w:rPr>
              <w:fldChar w:fldCharType="separate"/>
            </w:r>
            <w:r w:rsidR="001D2939">
              <w:rPr>
                <w:noProof/>
                <w:webHidden/>
              </w:rPr>
              <w:t>11</w:t>
            </w:r>
            <w:r w:rsidR="00D67357">
              <w:rPr>
                <w:noProof/>
                <w:webHidden/>
              </w:rPr>
              <w:fldChar w:fldCharType="end"/>
            </w:r>
          </w:hyperlink>
        </w:p>
        <w:p w:rsidR="00D67357" w:rsidRDefault="00736F61" w14:paraId="4B0A28D2" w14:textId="02D41CD3">
          <w:pPr>
            <w:pStyle w:val="TOC2"/>
            <w:rPr>
              <w:rFonts w:asciiTheme="minorHAnsi" w:hAnsiTheme="minorHAnsi" w:eastAsiaTheme="minorEastAsia" w:cstheme="minorBidi"/>
              <w:noProof/>
              <w:color w:val="auto"/>
              <w:sz w:val="22"/>
              <w:lang w:eastAsia="zh-CN"/>
            </w:rPr>
          </w:pPr>
          <w:hyperlink w:history="1" w:anchor="_Toc114559022">
            <w:r w:rsidRPr="004372CF" w:rsidR="00D67357">
              <w:rPr>
                <w:rStyle w:val="Hyperlink"/>
                <w:noProof/>
              </w:rPr>
              <w:t>3.5</w:t>
            </w:r>
            <w:r w:rsidR="00D67357">
              <w:rPr>
                <w:rFonts w:asciiTheme="minorHAnsi" w:hAnsiTheme="minorHAnsi" w:eastAsiaTheme="minorEastAsia" w:cstheme="minorBidi"/>
                <w:noProof/>
                <w:color w:val="auto"/>
                <w:sz w:val="22"/>
                <w:lang w:eastAsia="zh-CN"/>
              </w:rPr>
              <w:tab/>
            </w:r>
            <w:r w:rsidRPr="004372CF" w:rsidR="00D67357">
              <w:rPr>
                <w:rStyle w:val="Hyperlink"/>
                <w:noProof/>
              </w:rPr>
              <w:t>Minimum Meeting Requirements for Board of Studies</w:t>
            </w:r>
            <w:r w:rsidR="00D67357">
              <w:rPr>
                <w:noProof/>
                <w:webHidden/>
              </w:rPr>
              <w:tab/>
            </w:r>
            <w:r w:rsidR="00D67357">
              <w:rPr>
                <w:noProof/>
                <w:webHidden/>
              </w:rPr>
              <w:fldChar w:fldCharType="begin"/>
            </w:r>
            <w:r w:rsidR="00D67357">
              <w:rPr>
                <w:noProof/>
                <w:webHidden/>
              </w:rPr>
              <w:instrText xml:space="preserve"> PAGEREF _Toc114559022 \h </w:instrText>
            </w:r>
            <w:r w:rsidR="00D67357">
              <w:rPr>
                <w:noProof/>
                <w:webHidden/>
              </w:rPr>
            </w:r>
            <w:r w:rsidR="00D67357">
              <w:rPr>
                <w:noProof/>
                <w:webHidden/>
              </w:rPr>
              <w:fldChar w:fldCharType="separate"/>
            </w:r>
            <w:r w:rsidR="001D2939">
              <w:rPr>
                <w:noProof/>
                <w:webHidden/>
              </w:rPr>
              <w:t>11</w:t>
            </w:r>
            <w:r w:rsidR="00D67357">
              <w:rPr>
                <w:noProof/>
                <w:webHidden/>
              </w:rPr>
              <w:fldChar w:fldCharType="end"/>
            </w:r>
          </w:hyperlink>
        </w:p>
        <w:p w:rsidR="00D67357" w:rsidRDefault="00736F61" w14:paraId="5FCCE524" w14:textId="65E92A73">
          <w:pPr>
            <w:pStyle w:val="TOC2"/>
            <w:rPr>
              <w:rFonts w:asciiTheme="minorHAnsi" w:hAnsiTheme="minorHAnsi" w:eastAsiaTheme="minorEastAsia" w:cstheme="minorBidi"/>
              <w:noProof/>
              <w:color w:val="auto"/>
              <w:sz w:val="22"/>
              <w:lang w:eastAsia="zh-CN"/>
            </w:rPr>
          </w:pPr>
          <w:hyperlink w:history="1" w:anchor="_Toc114559023">
            <w:r w:rsidRPr="004372CF" w:rsidR="00D67357">
              <w:rPr>
                <w:rStyle w:val="Hyperlink"/>
                <w:noProof/>
              </w:rPr>
              <w:t>3.6</w:t>
            </w:r>
            <w:r w:rsidR="00D67357">
              <w:rPr>
                <w:rFonts w:asciiTheme="minorHAnsi" w:hAnsiTheme="minorHAnsi" w:eastAsiaTheme="minorEastAsia" w:cstheme="minorBidi"/>
                <w:noProof/>
                <w:color w:val="auto"/>
                <w:sz w:val="22"/>
                <w:lang w:eastAsia="zh-CN"/>
              </w:rPr>
              <w:tab/>
            </w:r>
            <w:r w:rsidRPr="004372CF" w:rsidR="00D67357">
              <w:rPr>
                <w:rStyle w:val="Hyperlink"/>
                <w:noProof/>
              </w:rPr>
              <w:t>Role of Board of Studies</w:t>
            </w:r>
            <w:r w:rsidR="00D67357">
              <w:rPr>
                <w:noProof/>
                <w:webHidden/>
              </w:rPr>
              <w:tab/>
            </w:r>
            <w:r w:rsidR="00D67357">
              <w:rPr>
                <w:noProof/>
                <w:webHidden/>
              </w:rPr>
              <w:fldChar w:fldCharType="begin"/>
            </w:r>
            <w:r w:rsidR="00D67357">
              <w:rPr>
                <w:noProof/>
                <w:webHidden/>
              </w:rPr>
              <w:instrText xml:space="preserve"> PAGEREF _Toc114559023 \h </w:instrText>
            </w:r>
            <w:r w:rsidR="00D67357">
              <w:rPr>
                <w:noProof/>
                <w:webHidden/>
              </w:rPr>
            </w:r>
            <w:r w:rsidR="00D67357">
              <w:rPr>
                <w:noProof/>
                <w:webHidden/>
              </w:rPr>
              <w:fldChar w:fldCharType="separate"/>
            </w:r>
            <w:r w:rsidR="001D2939">
              <w:rPr>
                <w:noProof/>
                <w:webHidden/>
              </w:rPr>
              <w:t>11</w:t>
            </w:r>
            <w:r w:rsidR="00D67357">
              <w:rPr>
                <w:noProof/>
                <w:webHidden/>
              </w:rPr>
              <w:fldChar w:fldCharType="end"/>
            </w:r>
          </w:hyperlink>
        </w:p>
        <w:p w:rsidRPr="00007881" w:rsidR="00007881" w:rsidP="00E13009" w:rsidRDefault="00007881" w14:paraId="786B0D19" w14:textId="527F82A6">
          <w:pPr>
            <w:ind w:left="567" w:hanging="567"/>
            <w:rPr>
              <w:szCs w:val="24"/>
            </w:rPr>
          </w:pPr>
          <w:r w:rsidRPr="00A01AEE">
            <w:rPr>
              <w:b/>
              <w:bCs/>
              <w:noProof/>
              <w:szCs w:val="24"/>
            </w:rPr>
            <w:fldChar w:fldCharType="end"/>
          </w:r>
        </w:p>
      </w:sdtContent>
    </w:sdt>
    <w:p w:rsidRPr="00007881" w:rsidR="00B2107E" w:rsidP="00007881" w:rsidRDefault="00007881" w14:paraId="13E3C13B" w14:textId="5D3BDE7C">
      <w:pPr>
        <w:spacing w:after="160" w:line="259" w:lineRule="auto"/>
        <w:ind w:left="0" w:firstLine="0"/>
      </w:pPr>
      <w:r>
        <w:br w:type="page"/>
      </w:r>
    </w:p>
    <w:bookmarkEnd w:id="0"/>
    <w:p w:rsidRPr="00CA7551" w:rsidR="009246B1" w:rsidP="009246B1" w:rsidRDefault="009246B1" w14:paraId="4083706A" w14:textId="77777777">
      <w:pPr>
        <w:ind w:left="0" w:firstLine="0"/>
        <w:rPr>
          <w:szCs w:val="24"/>
        </w:rPr>
      </w:pPr>
      <w:r w:rsidRPr="00CA7551">
        <w:rPr>
          <w:szCs w:val="24"/>
        </w:rPr>
        <w:t>Note: Where relevant to the provision, the roles and structures of governance set out in this annex may be adopted by the course-owning University Directorate.</w:t>
      </w:r>
    </w:p>
    <w:p w:rsidR="009246B1" w:rsidP="006415D1" w:rsidRDefault="009246B1" w14:paraId="4221C96C" w14:textId="77777777">
      <w:pPr>
        <w:pStyle w:val="Heading1"/>
        <w:numPr>
          <w:ilvl w:val="0"/>
          <w:numId w:val="0"/>
        </w:numPr>
        <w:ind w:left="567"/>
      </w:pPr>
    </w:p>
    <w:p w:rsidRPr="00B2107E" w:rsidR="00D86C82" w:rsidP="006415D1" w:rsidRDefault="009246B1" w14:paraId="79D1F876" w14:textId="0D1EB821">
      <w:pPr>
        <w:pStyle w:val="Heading1"/>
        <w:numPr>
          <w:ilvl w:val="0"/>
          <w:numId w:val="0"/>
        </w:numPr>
        <w:ind w:left="567"/>
      </w:pPr>
      <w:bookmarkStart w:name="_Toc114559004" w:id="1"/>
      <w:r>
        <w:t>Acronyms U</w:t>
      </w:r>
      <w:r w:rsidRPr="00B2107E" w:rsidR="00D86C82">
        <w:t>sed in this Document</w:t>
      </w:r>
      <w:bookmarkEnd w:id="1"/>
    </w:p>
    <w:p w:rsidRPr="00B2107E" w:rsidR="00D86C82" w:rsidP="009246B1" w:rsidRDefault="00D86C82" w14:paraId="0735C3DA" w14:textId="77777777">
      <w:pPr>
        <w:pStyle w:val="H4"/>
        <w:keepNext w:val="0"/>
        <w:tabs>
          <w:tab w:val="left" w:pos="1418"/>
        </w:tabs>
        <w:spacing w:before="0" w:after="120"/>
        <w:outlineLvl w:val="9"/>
        <w:rPr>
          <w:rFonts w:ascii="Arial" w:hAnsi="Arial" w:cs="Arial"/>
          <w:b w:val="0"/>
          <w:bCs/>
          <w:iCs/>
          <w:szCs w:val="24"/>
        </w:rPr>
      </w:pPr>
      <w:r w:rsidRPr="00B2107E">
        <w:rPr>
          <w:rFonts w:ascii="Arial" w:hAnsi="Arial" w:cs="Arial"/>
          <w:b w:val="0"/>
          <w:bCs/>
          <w:iCs/>
          <w:szCs w:val="24"/>
        </w:rPr>
        <w:t xml:space="preserve">DDESE </w:t>
      </w:r>
      <w:r w:rsidRPr="00B2107E">
        <w:rPr>
          <w:rFonts w:ascii="Arial" w:hAnsi="Arial" w:cs="Arial"/>
          <w:b w:val="0"/>
          <w:bCs/>
          <w:iCs/>
          <w:szCs w:val="24"/>
        </w:rPr>
        <w:tab/>
      </w:r>
      <w:r w:rsidRPr="00B2107E">
        <w:rPr>
          <w:rFonts w:ascii="Arial" w:hAnsi="Arial" w:cs="Arial"/>
          <w:b w:val="0"/>
          <w:bCs/>
          <w:iCs/>
          <w:szCs w:val="24"/>
        </w:rPr>
        <w:t xml:space="preserve">Divisional Director of Education and UG Student Experience </w:t>
      </w:r>
    </w:p>
    <w:p w:rsidRPr="00B2107E" w:rsidR="00D86C82" w:rsidP="009246B1" w:rsidRDefault="00D86C82" w14:paraId="34A734C6" w14:textId="77777777">
      <w:pPr>
        <w:tabs>
          <w:tab w:val="left" w:pos="1418"/>
        </w:tabs>
        <w:ind w:left="0" w:firstLine="0"/>
        <w:rPr>
          <w:szCs w:val="24"/>
        </w:rPr>
      </w:pPr>
      <w:r w:rsidRPr="00B2107E">
        <w:rPr>
          <w:szCs w:val="24"/>
        </w:rPr>
        <w:t xml:space="preserve">DESEC </w:t>
      </w:r>
      <w:r w:rsidRPr="00B2107E">
        <w:rPr>
          <w:szCs w:val="24"/>
        </w:rPr>
        <w:tab/>
      </w:r>
      <w:r w:rsidRPr="00B2107E">
        <w:rPr>
          <w:szCs w:val="24"/>
        </w:rPr>
        <w:t xml:space="preserve">Divisional Education and UG Student Experience Committee </w:t>
      </w:r>
    </w:p>
    <w:p w:rsidRPr="00B2107E" w:rsidR="00D86C82" w:rsidP="009246B1" w:rsidRDefault="00D86C82" w14:paraId="0DA05AB6" w14:textId="6A3975FC">
      <w:pPr>
        <w:tabs>
          <w:tab w:val="left" w:pos="1418"/>
        </w:tabs>
        <w:ind w:left="0" w:firstLine="0"/>
        <w:rPr>
          <w:szCs w:val="24"/>
        </w:rPr>
      </w:pPr>
      <w:r w:rsidRPr="00B2107E">
        <w:rPr>
          <w:szCs w:val="24"/>
        </w:rPr>
        <w:t xml:space="preserve">DQSSC </w:t>
      </w:r>
      <w:r w:rsidRPr="00B2107E">
        <w:rPr>
          <w:szCs w:val="24"/>
        </w:rPr>
        <w:tab/>
      </w:r>
      <w:r w:rsidRPr="00B2107E">
        <w:rPr>
          <w:szCs w:val="24"/>
        </w:rPr>
        <w:t>Divisi</w:t>
      </w:r>
      <w:r w:rsidR="009246B1">
        <w:rPr>
          <w:szCs w:val="24"/>
        </w:rPr>
        <w:t>onal Quality and Standards Sub-c</w:t>
      </w:r>
      <w:r w:rsidRPr="00B2107E">
        <w:rPr>
          <w:szCs w:val="24"/>
        </w:rPr>
        <w:t xml:space="preserve">ommittee </w:t>
      </w:r>
    </w:p>
    <w:p w:rsidRPr="00B2107E" w:rsidR="00D86C82" w:rsidP="009246B1" w:rsidRDefault="00D86C82" w14:paraId="5BC4B63B" w14:textId="77777777">
      <w:pPr>
        <w:tabs>
          <w:tab w:val="left" w:pos="1418"/>
        </w:tabs>
        <w:ind w:left="0" w:firstLine="0"/>
        <w:rPr>
          <w:szCs w:val="24"/>
        </w:rPr>
      </w:pPr>
      <w:r w:rsidRPr="00B2107E">
        <w:rPr>
          <w:szCs w:val="24"/>
        </w:rPr>
        <w:t xml:space="preserve">DDGSSE </w:t>
      </w:r>
      <w:r w:rsidRPr="00B2107E">
        <w:rPr>
          <w:szCs w:val="24"/>
        </w:rPr>
        <w:tab/>
      </w:r>
      <w:r w:rsidRPr="00B2107E">
        <w:rPr>
          <w:szCs w:val="24"/>
        </w:rPr>
        <w:t xml:space="preserve">Divisional Director of Graduate Studies and PG Student Experience </w:t>
      </w:r>
    </w:p>
    <w:p w:rsidRPr="00B2107E" w:rsidR="00D86C82" w:rsidP="009246B1" w:rsidRDefault="00D86C82" w14:paraId="248FE587" w14:textId="7AA0AE83">
      <w:pPr>
        <w:tabs>
          <w:tab w:val="left" w:pos="1418"/>
        </w:tabs>
        <w:ind w:left="0" w:firstLine="0"/>
        <w:rPr>
          <w:szCs w:val="24"/>
        </w:rPr>
      </w:pPr>
      <w:r w:rsidRPr="00B2107E">
        <w:rPr>
          <w:szCs w:val="24"/>
        </w:rPr>
        <w:t xml:space="preserve">DGSSEC </w:t>
      </w:r>
      <w:r w:rsidRPr="00B2107E">
        <w:rPr>
          <w:szCs w:val="24"/>
        </w:rPr>
        <w:tab/>
      </w:r>
      <w:r w:rsidRPr="00B2107E">
        <w:rPr>
          <w:szCs w:val="24"/>
        </w:rPr>
        <w:t>Divisional Graduate Studies and PG Student Experience</w:t>
      </w:r>
      <w:r w:rsidR="008033CC">
        <w:rPr>
          <w:szCs w:val="24"/>
        </w:rPr>
        <w:t xml:space="preserve"> </w:t>
      </w:r>
      <w:r w:rsidRPr="00B2107E">
        <w:rPr>
          <w:szCs w:val="24"/>
        </w:rPr>
        <w:t xml:space="preserve">Committee </w:t>
      </w:r>
    </w:p>
    <w:p w:rsidR="00B2107E" w:rsidP="009246B1" w:rsidRDefault="00D86C82" w14:paraId="687E3AF7" w14:textId="77777777">
      <w:pPr>
        <w:tabs>
          <w:tab w:val="left" w:pos="1418"/>
        </w:tabs>
        <w:ind w:left="0" w:firstLine="0"/>
        <w:rPr>
          <w:szCs w:val="24"/>
        </w:rPr>
      </w:pPr>
      <w:r w:rsidRPr="00B2107E">
        <w:rPr>
          <w:szCs w:val="24"/>
        </w:rPr>
        <w:t xml:space="preserve">CASC </w:t>
      </w:r>
      <w:r w:rsidRPr="00B2107E">
        <w:rPr>
          <w:szCs w:val="24"/>
        </w:rPr>
        <w:tab/>
      </w:r>
      <w:r w:rsidRPr="00B2107E">
        <w:rPr>
          <w:szCs w:val="24"/>
        </w:rPr>
        <w:t>University’s Course Approval Sub-committee</w:t>
      </w:r>
    </w:p>
    <w:p w:rsidRPr="00B2107E" w:rsidR="00D86C82" w:rsidP="009246B1" w:rsidRDefault="00D86C82" w14:paraId="29AFD25D" w14:textId="1F2EFBCA">
      <w:pPr>
        <w:tabs>
          <w:tab w:val="left" w:pos="1418"/>
        </w:tabs>
        <w:ind w:left="0" w:firstLine="0"/>
        <w:rPr>
          <w:rStyle w:val="Strong"/>
          <w:b w:val="0"/>
          <w:bCs w:val="0"/>
          <w:szCs w:val="24"/>
        </w:rPr>
      </w:pPr>
      <w:r w:rsidRPr="00B2107E">
        <w:rPr>
          <w:rStyle w:val="Strong"/>
          <w:b w:val="0"/>
          <w:bCs w:val="0"/>
          <w:szCs w:val="24"/>
        </w:rPr>
        <w:t xml:space="preserve">EASC </w:t>
      </w:r>
      <w:r w:rsidRPr="00B2107E">
        <w:rPr>
          <w:rStyle w:val="Strong"/>
          <w:b w:val="0"/>
          <w:bCs w:val="0"/>
          <w:szCs w:val="24"/>
        </w:rPr>
        <w:tab/>
      </w:r>
      <w:r w:rsidRPr="00B2107E">
        <w:rPr>
          <w:rStyle w:val="Strong"/>
          <w:b w:val="0"/>
          <w:bCs w:val="0"/>
          <w:szCs w:val="24"/>
        </w:rPr>
        <w:t xml:space="preserve">University’s Education and Academic Standards Committee </w:t>
      </w:r>
    </w:p>
    <w:p w:rsidRPr="00B2107E" w:rsidR="00D86C82" w:rsidP="009246B1" w:rsidRDefault="00D86C82" w14:paraId="59260430" w14:textId="3E06F509">
      <w:pPr>
        <w:pStyle w:val="H4"/>
        <w:keepNext w:val="0"/>
        <w:tabs>
          <w:tab w:val="left" w:pos="1418"/>
        </w:tabs>
        <w:spacing w:before="0" w:after="120"/>
        <w:outlineLvl w:val="9"/>
        <w:rPr>
          <w:rFonts w:ascii="Arial" w:hAnsi="Arial" w:cs="Arial"/>
          <w:b w:val="0"/>
          <w:bCs/>
          <w:szCs w:val="24"/>
        </w:rPr>
      </w:pPr>
      <w:r w:rsidRPr="00B2107E">
        <w:rPr>
          <w:rFonts w:ascii="Arial" w:hAnsi="Arial" w:cs="Arial"/>
          <w:b w:val="0"/>
          <w:bCs/>
          <w:szCs w:val="24"/>
        </w:rPr>
        <w:t>ESEB</w:t>
      </w:r>
      <w:r w:rsidRPr="00B2107E">
        <w:rPr>
          <w:rFonts w:ascii="Arial" w:hAnsi="Arial" w:cs="Arial"/>
          <w:b w:val="0"/>
          <w:bCs/>
          <w:szCs w:val="24"/>
        </w:rPr>
        <w:tab/>
      </w:r>
      <w:r w:rsidRPr="00B2107E">
        <w:rPr>
          <w:rFonts w:ascii="Arial" w:hAnsi="Arial" w:cs="Arial"/>
          <w:b w:val="0"/>
          <w:bCs/>
          <w:szCs w:val="24"/>
        </w:rPr>
        <w:t>University’s Education and Student Experience Board</w:t>
      </w:r>
    </w:p>
    <w:p w:rsidRPr="00B2107E" w:rsidR="00D86C82" w:rsidP="009246B1" w:rsidRDefault="00D86C82" w14:paraId="227B8D71" w14:textId="469CCADA">
      <w:pPr>
        <w:tabs>
          <w:tab w:val="left" w:pos="1418"/>
        </w:tabs>
        <w:ind w:left="0" w:firstLine="0"/>
        <w:rPr>
          <w:szCs w:val="24"/>
        </w:rPr>
      </w:pPr>
      <w:r w:rsidRPr="00B2107E">
        <w:rPr>
          <w:szCs w:val="24"/>
        </w:rPr>
        <w:t>GRCB</w:t>
      </w:r>
      <w:r w:rsidRPr="00B2107E">
        <w:rPr>
          <w:szCs w:val="24"/>
        </w:rPr>
        <w:tab/>
      </w:r>
      <w:r w:rsidRPr="00B2107E">
        <w:rPr>
          <w:szCs w:val="24"/>
        </w:rPr>
        <w:t>University’s Graduate and Researcher College Board</w:t>
      </w:r>
    </w:p>
    <w:p w:rsidRPr="00B2107E" w:rsidR="00D86C82" w:rsidP="009246B1" w:rsidRDefault="00D86C82" w14:paraId="28E26676" w14:textId="081EDE92">
      <w:pPr>
        <w:tabs>
          <w:tab w:val="left" w:pos="1418"/>
        </w:tabs>
        <w:ind w:left="0" w:firstLine="0"/>
        <w:rPr>
          <w:szCs w:val="24"/>
        </w:rPr>
      </w:pPr>
      <w:r w:rsidRPr="00B2107E">
        <w:rPr>
          <w:szCs w:val="24"/>
        </w:rPr>
        <w:t>QACO</w:t>
      </w:r>
      <w:r w:rsidRPr="00B2107E">
        <w:rPr>
          <w:szCs w:val="24"/>
        </w:rPr>
        <w:tab/>
      </w:r>
      <w:r w:rsidRPr="00B2107E">
        <w:rPr>
          <w:szCs w:val="24"/>
        </w:rPr>
        <w:t xml:space="preserve">Quality Assurance and Compliance Office </w:t>
      </w:r>
    </w:p>
    <w:p w:rsidR="00D86C82" w:rsidP="006415D1" w:rsidRDefault="00D86C82" w14:paraId="547726D5" w14:textId="59F8BA86">
      <w:pPr>
        <w:pStyle w:val="Heading1"/>
        <w:numPr>
          <w:ilvl w:val="0"/>
          <w:numId w:val="0"/>
        </w:numPr>
        <w:ind w:left="567"/>
      </w:pPr>
    </w:p>
    <w:p w:rsidRPr="00F438F4" w:rsidR="00D86C82" w:rsidP="00FF0521" w:rsidRDefault="00D86C82" w14:paraId="7A19A3C6" w14:textId="63D2386E">
      <w:pPr>
        <w:pStyle w:val="Heading1"/>
      </w:pPr>
      <w:bookmarkStart w:name="_Toc114559005" w:id="2"/>
      <w:r w:rsidRPr="00F438F4">
        <w:t>Divisional Directors of Education and UG Student Experience (DDESE)</w:t>
      </w:r>
      <w:bookmarkEnd w:id="2"/>
    </w:p>
    <w:p w:rsidR="00CA7551" w:rsidP="00CA7551" w:rsidRDefault="00D86C82" w14:paraId="256D295B" w14:textId="77777777">
      <w:pPr>
        <w:pStyle w:val="ListParagraph"/>
        <w:numPr>
          <w:ilvl w:val="0"/>
          <w:numId w:val="26"/>
        </w:numPr>
        <w:tabs>
          <w:tab w:val="num" w:pos="1134"/>
        </w:tabs>
        <w:spacing w:after="120"/>
        <w:ind w:left="567" w:hanging="567"/>
        <w:contextualSpacing w:val="0"/>
        <w:rPr>
          <w:rFonts w:ascii="Arial" w:hAnsi="Arial" w:cs="Arial"/>
          <w:sz w:val="24"/>
          <w:szCs w:val="24"/>
        </w:rPr>
      </w:pPr>
      <w:r w:rsidRPr="00CA7551">
        <w:rPr>
          <w:rFonts w:ascii="Arial" w:hAnsi="Arial" w:cs="Arial"/>
          <w:sz w:val="24"/>
          <w:szCs w:val="24"/>
        </w:rPr>
        <w:t xml:space="preserve">The Divisional Director of Education and UG Student Experience (DDESE) provides strategic leadership in education and undergraduate student experience at Divisional level and is the key link between School/Department, Divisional and University strategy for education and UG student experience. </w:t>
      </w:r>
    </w:p>
    <w:p w:rsidRPr="00CA7551" w:rsidR="00CA7551" w:rsidP="00CA7551" w:rsidRDefault="00D86C82" w14:paraId="58213701" w14:textId="77777777">
      <w:pPr>
        <w:pStyle w:val="ListParagraph"/>
        <w:numPr>
          <w:ilvl w:val="0"/>
          <w:numId w:val="26"/>
        </w:numPr>
        <w:tabs>
          <w:tab w:val="num" w:pos="1134"/>
        </w:tabs>
        <w:spacing w:after="120"/>
        <w:ind w:left="567" w:hanging="567"/>
        <w:contextualSpacing w:val="0"/>
        <w:rPr>
          <w:rFonts w:ascii="Arial" w:hAnsi="Arial" w:cs="Arial"/>
          <w:sz w:val="24"/>
          <w:szCs w:val="24"/>
        </w:rPr>
      </w:pPr>
      <w:r w:rsidRPr="00CA7551">
        <w:rPr>
          <w:rFonts w:ascii="Arial" w:hAnsi="Arial" w:cs="Arial"/>
          <w:sz w:val="24"/>
          <w:szCs w:val="24"/>
        </w:rPr>
        <w:t xml:space="preserve">The DDESE provides leadership to deliver enhancements in pedagogy and UG student experience, ensures academic input into the management of academic quality assurance within the Division, gives clear guidance on UG course management and approval, ensures adherence to the </w:t>
      </w:r>
      <w:r w:rsidRPr="00CA7551">
        <w:rPr>
          <w:rFonts w:ascii="Arial" w:hAnsi="Arial" w:cs="Arial"/>
          <w:iCs/>
          <w:sz w:val="24"/>
          <w:szCs w:val="24"/>
        </w:rPr>
        <w:t>University’s Code of Practice for the Quality Assurance of Taught Courses</w:t>
      </w:r>
      <w:r w:rsidRPr="00CA7551">
        <w:rPr>
          <w:rFonts w:ascii="Arial" w:hAnsi="Arial" w:cs="Arial"/>
          <w:sz w:val="24"/>
          <w:szCs w:val="24"/>
        </w:rPr>
        <w:t xml:space="preserve"> and, with regard to UG courses and student experience, is accountable within the Division for the timely production of evidence of compliance with the requirements of the Code and the management of the associated risks of non-compliance. </w:t>
      </w:r>
    </w:p>
    <w:p w:rsidR="00CA7551" w:rsidP="00CA7551" w:rsidRDefault="00D86C82" w14:paraId="0F00CCA4" w14:textId="77777777">
      <w:pPr>
        <w:pStyle w:val="ListParagraph"/>
        <w:numPr>
          <w:ilvl w:val="0"/>
          <w:numId w:val="26"/>
        </w:numPr>
        <w:tabs>
          <w:tab w:val="num" w:pos="1134"/>
        </w:tabs>
        <w:spacing w:after="120"/>
        <w:ind w:left="567" w:hanging="567"/>
        <w:contextualSpacing w:val="0"/>
        <w:rPr>
          <w:rFonts w:ascii="Arial" w:hAnsi="Arial" w:cs="Arial"/>
          <w:sz w:val="24"/>
          <w:szCs w:val="24"/>
        </w:rPr>
      </w:pPr>
      <w:r w:rsidRPr="00CA7551">
        <w:rPr>
          <w:rFonts w:ascii="Arial" w:hAnsi="Arial" w:cs="Arial"/>
          <w:sz w:val="24"/>
          <w:szCs w:val="24"/>
        </w:rPr>
        <w:t xml:space="preserve">The DDESE works directly and effectively with education leads within the Division to coordinate all aspects of the undergraduate taught education. The DDESE will work closely with TEF leads to ensure that TEF submissions and action plans are robust. </w:t>
      </w:r>
    </w:p>
    <w:p w:rsidRPr="00CA7551" w:rsidR="0041527E" w:rsidP="00CA7551" w:rsidRDefault="00CA7551" w14:paraId="324AA942" w14:textId="64702ABC">
      <w:pPr>
        <w:pStyle w:val="Heading2"/>
        <w:ind w:left="567" w:hanging="567"/>
      </w:pPr>
      <w:bookmarkStart w:name="_Toc114559006" w:id="3"/>
      <w:r w:rsidRPr="00D05190">
        <w:rPr>
          <w:b w:val="0"/>
        </w:rPr>
        <w:t>1.4</w:t>
      </w:r>
      <w:r>
        <w:tab/>
      </w:r>
      <w:r w:rsidRPr="00CA7551" w:rsidR="005B6F73">
        <w:t>Appointing a DDESE</w:t>
      </w:r>
      <w:bookmarkEnd w:id="3"/>
    </w:p>
    <w:p w:rsidRPr="00B2107E" w:rsidR="00D86C82" w:rsidP="00CA7551" w:rsidRDefault="00D86C82" w14:paraId="7ACA725F" w14:textId="77B693A2">
      <w:pPr>
        <w:ind w:left="567" w:firstLine="0"/>
        <w:rPr>
          <w:szCs w:val="24"/>
        </w:rPr>
      </w:pPr>
      <w:r w:rsidRPr="00B2107E">
        <w:rPr>
          <w:szCs w:val="24"/>
        </w:rPr>
        <w:t>The Director of each Division should appoint a Director of Education and UG Student Experience (DDESE) from among the academic staff of the Division.</w:t>
      </w:r>
    </w:p>
    <w:p w:rsidRPr="005B6F73" w:rsidR="005B6F73" w:rsidP="00D05190" w:rsidRDefault="00D05190" w14:paraId="6399A86D" w14:textId="663E2F3D">
      <w:pPr>
        <w:pStyle w:val="Heading2"/>
        <w:numPr>
          <w:ilvl w:val="0"/>
          <w:numId w:val="27"/>
        </w:numPr>
        <w:ind w:left="567" w:hanging="567"/>
        <w:rPr>
          <w:rFonts w:cs="Arial"/>
          <w:szCs w:val="24"/>
        </w:rPr>
      </w:pPr>
      <w:bookmarkStart w:name="_Toc114559007" w:id="4"/>
      <w:r>
        <w:rPr>
          <w:rFonts w:cs="Arial"/>
          <w:szCs w:val="24"/>
        </w:rPr>
        <w:t>Serving P</w:t>
      </w:r>
      <w:r w:rsidRPr="005B6F73" w:rsidR="005B6F73">
        <w:rPr>
          <w:rFonts w:cs="Arial"/>
          <w:szCs w:val="24"/>
        </w:rPr>
        <w:t>eriod of a DDESE</w:t>
      </w:r>
      <w:bookmarkEnd w:id="4"/>
    </w:p>
    <w:p w:rsidRPr="00B2107E" w:rsidR="00D86C82" w:rsidP="00D05190" w:rsidRDefault="00D86C82" w14:paraId="4392A238" w14:textId="125C2D13">
      <w:pPr>
        <w:ind w:left="567" w:firstLine="0"/>
        <w:rPr>
          <w:szCs w:val="24"/>
        </w:rPr>
      </w:pPr>
      <w:r w:rsidRPr="00B2107E">
        <w:rPr>
          <w:szCs w:val="24"/>
        </w:rPr>
        <w:t>The period of appointment of the D</w:t>
      </w:r>
      <w:r w:rsidR="00D05190">
        <w:rPr>
          <w:szCs w:val="24"/>
        </w:rPr>
        <w:t xml:space="preserve">DESE will </w:t>
      </w:r>
      <w:r w:rsidRPr="00B2107E">
        <w:rPr>
          <w:szCs w:val="24"/>
        </w:rPr>
        <w:t>normally be three years. The person appointed will be eligible for reappointment at the end of each period of appointment.</w:t>
      </w:r>
    </w:p>
    <w:p w:rsidRPr="005B6F73" w:rsidR="005B6F73" w:rsidP="00D05190" w:rsidRDefault="005B6F73" w14:paraId="4B101F4D" w14:textId="4C507B15">
      <w:pPr>
        <w:pStyle w:val="Heading2"/>
        <w:numPr>
          <w:ilvl w:val="0"/>
          <w:numId w:val="27"/>
        </w:numPr>
        <w:ind w:left="567" w:hanging="567"/>
        <w:rPr>
          <w:rFonts w:cs="Arial"/>
          <w:szCs w:val="24"/>
        </w:rPr>
      </w:pPr>
      <w:bookmarkStart w:name="_Toc114559008" w:id="5"/>
      <w:r w:rsidRPr="005B6F73">
        <w:rPr>
          <w:rFonts w:cs="Arial"/>
          <w:szCs w:val="24"/>
        </w:rPr>
        <w:t>Responsibilities of the DDESE</w:t>
      </w:r>
      <w:bookmarkEnd w:id="5"/>
    </w:p>
    <w:p w:rsidRPr="00B2107E" w:rsidR="00D86C82" w:rsidP="00366C7E" w:rsidRDefault="00D86C82" w14:paraId="6B6613FC" w14:textId="42FEC702">
      <w:pPr>
        <w:ind w:left="567" w:firstLine="0"/>
        <w:rPr>
          <w:szCs w:val="24"/>
        </w:rPr>
      </w:pPr>
      <w:r w:rsidRPr="00B2107E">
        <w:rPr>
          <w:szCs w:val="24"/>
        </w:rPr>
        <w:t>The role of the D</w:t>
      </w:r>
      <w:r w:rsidR="00366C7E">
        <w:rPr>
          <w:szCs w:val="24"/>
        </w:rPr>
        <w:t>DESE</w:t>
      </w:r>
      <w:r w:rsidRPr="00B2107E">
        <w:rPr>
          <w:szCs w:val="24"/>
        </w:rPr>
        <w:t xml:space="preserve"> will be relevant to undergraduate courses of study</w:t>
      </w:r>
      <w:r w:rsidRPr="00B2107E">
        <w:rPr>
          <w:rStyle w:val="FootnoteReference"/>
          <w:szCs w:val="24"/>
        </w:rPr>
        <w:footnoteReference w:id="1"/>
      </w:r>
      <w:r w:rsidRPr="00B2107E">
        <w:rPr>
          <w:szCs w:val="24"/>
        </w:rPr>
        <w:t xml:space="preserve"> and will consist of the following responsibilities</w:t>
      </w:r>
      <w:r w:rsidRPr="00B2107E">
        <w:rPr>
          <w:rStyle w:val="FootnoteReference"/>
          <w:szCs w:val="24"/>
        </w:rPr>
        <w:footnoteReference w:id="2"/>
      </w:r>
      <w:r w:rsidRPr="00B2107E">
        <w:rPr>
          <w:szCs w:val="24"/>
        </w:rPr>
        <w:t>:</w:t>
      </w:r>
    </w:p>
    <w:p w:rsidRPr="00B2107E" w:rsidR="00D86C82" w:rsidP="00366C7E" w:rsidRDefault="00366C7E" w14:paraId="46199BFD" w14:textId="5A6B5B0B">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chair the Divisional Education and UG Student Experience Committee (DESEC)</w:t>
      </w:r>
      <w:r w:rsidR="002B6F37">
        <w:rPr>
          <w:szCs w:val="24"/>
        </w:rPr>
        <w:t>.</w:t>
      </w:r>
    </w:p>
    <w:p w:rsidRPr="00B2107E" w:rsidR="00D86C82" w:rsidP="00366C7E" w:rsidRDefault="00366C7E" w14:paraId="5F82130C" w14:textId="026B9DC3">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represent the Division at the University’s Education and Student Experience Board (EASB)</w:t>
      </w:r>
      <w:r w:rsidR="002B6F37">
        <w:rPr>
          <w:szCs w:val="24"/>
        </w:rPr>
        <w:t>.</w:t>
      </w:r>
    </w:p>
    <w:p w:rsidRPr="00B2107E" w:rsidR="00D86C82" w:rsidP="00366C7E" w:rsidRDefault="00366C7E" w14:paraId="1C21A0E8" w14:textId="552C414C">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represent the Division at the University’s Course Approval Sub-committee (CASC)</w:t>
      </w:r>
      <w:r w:rsidR="002B6F37">
        <w:rPr>
          <w:szCs w:val="24"/>
        </w:rPr>
        <w:t>.</w:t>
      </w:r>
    </w:p>
    <w:p w:rsidRPr="00B2107E" w:rsidR="00D86C82" w:rsidP="00366C7E" w:rsidRDefault="00366C7E" w14:paraId="5126AD30" w14:textId="42348F71">
      <w:pPr>
        <w:numPr>
          <w:ilvl w:val="0"/>
          <w:numId w:val="10"/>
        </w:numPr>
        <w:tabs>
          <w:tab w:val="clear" w:pos="360"/>
          <w:tab w:val="num" w:pos="993"/>
        </w:tabs>
        <w:ind w:left="993" w:hanging="426"/>
        <w:rPr>
          <w:szCs w:val="24"/>
        </w:rPr>
      </w:pPr>
      <w:r w:rsidRPr="00B2107E">
        <w:rPr>
          <w:szCs w:val="24"/>
        </w:rPr>
        <w:t>Where</w:t>
      </w:r>
      <w:r w:rsidRPr="00B2107E" w:rsidR="00D86C82">
        <w:rPr>
          <w:szCs w:val="24"/>
        </w:rPr>
        <w:t xml:space="preserve"> such exists, to chair the Divisional Quality and Standards Sub-Committee (DQSSC)</w:t>
      </w:r>
      <w:r w:rsidR="002B6F37">
        <w:rPr>
          <w:szCs w:val="24"/>
        </w:rPr>
        <w:t>.</w:t>
      </w:r>
      <w:r w:rsidRPr="00B2107E" w:rsidR="00D86C82">
        <w:rPr>
          <w:rStyle w:val="FootnoteReference"/>
          <w:szCs w:val="24"/>
        </w:rPr>
        <w:footnoteReference w:id="3"/>
      </w:r>
    </w:p>
    <w:p w:rsidRPr="00B2107E" w:rsidR="00D86C82" w:rsidP="00366C7E" w:rsidRDefault="00366C7E" w14:paraId="53CEDA29" w14:textId="3D4A3EC6">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take Chair’s action on such business delegated to them by the DESEC</w:t>
      </w:r>
      <w:r w:rsidR="002B6F37">
        <w:rPr>
          <w:szCs w:val="24"/>
        </w:rPr>
        <w:t>.</w:t>
      </w:r>
    </w:p>
    <w:p w:rsidRPr="002B6F37" w:rsidR="00D86C82" w:rsidP="00366C7E" w:rsidRDefault="00D86C82" w14:paraId="41943AED" w14:textId="77777777">
      <w:pPr>
        <w:tabs>
          <w:tab w:val="num" w:pos="567"/>
        </w:tabs>
        <w:ind w:left="567" w:firstLine="0"/>
        <w:rPr>
          <w:szCs w:val="24"/>
        </w:rPr>
      </w:pPr>
      <w:r w:rsidRPr="002B6F37">
        <w:rPr>
          <w:szCs w:val="24"/>
        </w:rPr>
        <w:t>In addition, in consultation and partnership with relevant professional services staff in the Division:</w:t>
      </w:r>
    </w:p>
    <w:p w:rsidRPr="00B2107E" w:rsidR="00D86C82" w:rsidP="00366C7E" w:rsidRDefault="00366C7E" w14:paraId="6EA55C61" w14:textId="0CE5D0A8">
      <w:pPr>
        <w:numPr>
          <w:ilvl w:val="0"/>
          <w:numId w:val="10"/>
        </w:numPr>
        <w:tabs>
          <w:tab w:val="clear" w:pos="360"/>
          <w:tab w:val="left" w:pos="993"/>
          <w:tab w:val="num" w:pos="1276"/>
        </w:tabs>
        <w:ind w:left="993" w:hanging="426"/>
        <w:rPr>
          <w:szCs w:val="24"/>
        </w:rPr>
      </w:pPr>
      <w:r w:rsidRPr="00B2107E">
        <w:rPr>
          <w:szCs w:val="24"/>
        </w:rPr>
        <w:t>To</w:t>
      </w:r>
      <w:r w:rsidRPr="00B2107E" w:rsidR="00D86C82">
        <w:rPr>
          <w:szCs w:val="24"/>
        </w:rPr>
        <w:t xml:space="preserve"> advise members of the Division, and in particular academic staff who are new to the University, on the requirements of the University Code of Practice for Quality Assurance as relevant to taught UG courses of study</w:t>
      </w:r>
      <w:r w:rsidR="00E0004F">
        <w:rPr>
          <w:szCs w:val="24"/>
        </w:rPr>
        <w:t>.</w:t>
      </w:r>
    </w:p>
    <w:p w:rsidRPr="00B2107E" w:rsidR="00D86C82" w:rsidP="00366C7E" w:rsidRDefault="00366C7E" w14:paraId="58D5DD9D" w14:textId="41E6D376">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ensure the Division’s portfolio of UG courses is fit for purpose and continues to satisfy the University requirements for success and sustainability</w:t>
      </w:r>
      <w:r w:rsidR="00E0004F">
        <w:rPr>
          <w:szCs w:val="24"/>
        </w:rPr>
        <w:t>.</w:t>
      </w:r>
      <w:r w:rsidRPr="00B2107E" w:rsidR="00D86C82">
        <w:rPr>
          <w:szCs w:val="24"/>
        </w:rPr>
        <w:t xml:space="preserve"> </w:t>
      </w:r>
    </w:p>
    <w:p w:rsidRPr="00B2107E" w:rsidR="00D86C82" w:rsidP="00366C7E" w:rsidRDefault="00366C7E" w14:paraId="1FA3AAED" w14:textId="3B76366B">
      <w:pPr>
        <w:numPr>
          <w:ilvl w:val="0"/>
          <w:numId w:val="10"/>
        </w:numPr>
        <w:tabs>
          <w:tab w:val="clear" w:pos="360"/>
          <w:tab w:val="num" w:pos="993"/>
        </w:tabs>
        <w:ind w:left="936" w:hanging="426"/>
        <w:textAlignment w:val="baseline"/>
        <w:rPr>
          <w:rStyle w:val="eop"/>
          <w:szCs w:val="24"/>
        </w:rPr>
      </w:pPr>
      <w:r w:rsidRPr="00B2107E">
        <w:rPr>
          <w:szCs w:val="24"/>
        </w:rPr>
        <w:t>To</w:t>
      </w:r>
      <w:r w:rsidRPr="00B2107E" w:rsidR="00D86C82">
        <w:rPr>
          <w:szCs w:val="24"/>
        </w:rPr>
        <w:t xml:space="preserve"> liaise with a wide set of student support services and ensure that </w:t>
      </w:r>
      <w:r w:rsidRPr="00B2107E" w:rsidR="00D86C82">
        <w:rPr>
          <w:rStyle w:val="normaltextrun"/>
          <w:szCs w:val="24"/>
        </w:rPr>
        <w:t>all UG students in the Division are provided with timely information regarding available services (e.g. student wellbeing and support</w:t>
      </w:r>
      <w:r w:rsidRPr="00B2107E" w:rsidR="00D86C82">
        <w:rPr>
          <w:rStyle w:val="eop"/>
          <w:szCs w:val="24"/>
        </w:rPr>
        <w:t xml:space="preserve"> services, </w:t>
      </w:r>
      <w:r w:rsidRPr="00B2107E" w:rsidR="00D86C82">
        <w:rPr>
          <w:rStyle w:val="normaltextrun"/>
          <w:szCs w:val="24"/>
        </w:rPr>
        <w:t>placement and employability opportunities, studying abroad, Kent Union)</w:t>
      </w:r>
      <w:r w:rsidR="00E0004F">
        <w:rPr>
          <w:rStyle w:val="eop"/>
          <w:szCs w:val="24"/>
        </w:rPr>
        <w:t>.</w:t>
      </w:r>
      <w:r w:rsidRPr="00B2107E" w:rsidR="00D86C82">
        <w:rPr>
          <w:rStyle w:val="eop"/>
          <w:szCs w:val="24"/>
        </w:rPr>
        <w:t xml:space="preserve"> </w:t>
      </w:r>
    </w:p>
    <w:p w:rsidRPr="00B2107E" w:rsidR="00D86C82" w:rsidP="00366C7E" w:rsidRDefault="00366C7E" w14:paraId="64E1063C" w14:textId="716255F0">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lead and support the development of Divisional strategy/work aimed at addressing employability and graduate outcomes, in order to ensure congruence with the University’s Student Employability Strategy</w:t>
      </w:r>
      <w:r w:rsidR="00E0004F">
        <w:rPr>
          <w:szCs w:val="24"/>
        </w:rPr>
        <w:t>.</w:t>
      </w:r>
      <w:r w:rsidRPr="00B2107E" w:rsidR="00D86C82">
        <w:rPr>
          <w:szCs w:val="24"/>
        </w:rPr>
        <w:t xml:space="preserve"> </w:t>
      </w:r>
    </w:p>
    <w:p w:rsidRPr="00B2107E" w:rsidR="00D86C82" w:rsidP="00366C7E" w:rsidRDefault="00366C7E" w14:paraId="27B91838" w14:textId="1B7CF448">
      <w:pPr>
        <w:numPr>
          <w:ilvl w:val="0"/>
          <w:numId w:val="10"/>
        </w:numPr>
        <w:tabs>
          <w:tab w:val="clear" w:pos="360"/>
          <w:tab w:val="num" w:pos="993"/>
        </w:tabs>
        <w:ind w:left="993" w:hanging="426"/>
        <w:rPr>
          <w:szCs w:val="24"/>
        </w:rPr>
      </w:pPr>
      <w:r w:rsidRPr="00B2107E">
        <w:rPr>
          <w:szCs w:val="24"/>
        </w:rPr>
        <w:t>To</w:t>
      </w:r>
      <w:r w:rsidRPr="00B2107E" w:rsidR="00D86C82">
        <w:rPr>
          <w:szCs w:val="24"/>
        </w:rPr>
        <w:t xml:space="preserve"> ensure academic staff involved with teaching and supervision have undertaken appropriate training and continuous development, and are appropriately informed about all matters relating to undergraduate education</w:t>
      </w:r>
      <w:r w:rsidR="00E0004F">
        <w:rPr>
          <w:szCs w:val="24"/>
        </w:rPr>
        <w:t>.</w:t>
      </w:r>
      <w:r w:rsidRPr="00B2107E" w:rsidR="00D86C82">
        <w:rPr>
          <w:szCs w:val="24"/>
        </w:rPr>
        <w:t xml:space="preserve"> </w:t>
      </w:r>
    </w:p>
    <w:p w:rsidRPr="00B2107E" w:rsidR="00D86C82" w:rsidP="00366C7E" w:rsidRDefault="00366C7E" w14:paraId="02E2EFD1" w14:textId="239EBF00">
      <w:pPr>
        <w:numPr>
          <w:ilvl w:val="0"/>
          <w:numId w:val="11"/>
        </w:numPr>
        <w:tabs>
          <w:tab w:val="clear" w:pos="360"/>
          <w:tab w:val="num" w:pos="993"/>
        </w:tabs>
        <w:ind w:left="993" w:hanging="426"/>
        <w:rPr>
          <w:szCs w:val="24"/>
        </w:rPr>
      </w:pPr>
      <w:r>
        <w:rPr>
          <w:szCs w:val="24"/>
        </w:rPr>
        <w:t>T</w:t>
      </w:r>
      <w:r w:rsidRPr="00B2107E" w:rsidR="00D86C82">
        <w:rPr>
          <w:szCs w:val="24"/>
        </w:rPr>
        <w:t xml:space="preserve">o advise members of the Division on the preparation of proposals for new or amended modules and UG courses of study and in particular on the academic and curricular aspects of such proposals, in order to ensure that: </w:t>
      </w:r>
    </w:p>
    <w:p w:rsidRPr="00B2107E" w:rsidR="00D86C82" w:rsidP="00366C7E" w:rsidRDefault="00D86C82" w14:paraId="5716E5BD" w14:textId="7980814F">
      <w:pPr>
        <w:pStyle w:val="ListParagraph"/>
        <w:numPr>
          <w:ilvl w:val="0"/>
          <w:numId w:val="14"/>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 xml:space="preserve">all such curricula reflect the threshold standards required by </w:t>
      </w:r>
      <w:r w:rsidRPr="00B2107E">
        <w:rPr>
          <w:rFonts w:ascii="Arial" w:hAnsi="Arial" w:cs="Arial"/>
          <w:i/>
          <w:iCs/>
          <w:sz w:val="24"/>
          <w:szCs w:val="24"/>
        </w:rPr>
        <w:t xml:space="preserve">The Frameworks for Higher Education Qualifications of UK Degree Awarding Bodies </w:t>
      </w:r>
      <w:r w:rsidRPr="00B2107E">
        <w:rPr>
          <w:rFonts w:ascii="Arial" w:hAnsi="Arial" w:cs="Arial"/>
          <w:sz w:val="24"/>
          <w:szCs w:val="24"/>
        </w:rPr>
        <w:t>(FHEQ)</w:t>
      </w:r>
      <w:r w:rsidR="003F27C3">
        <w:rPr>
          <w:rFonts w:ascii="Arial" w:hAnsi="Arial" w:cs="Arial"/>
          <w:sz w:val="24"/>
          <w:szCs w:val="24"/>
        </w:rPr>
        <w:t xml:space="preserve"> (See also Kent’s Credit Framework, Annex 2: Qualification Descriptors, which reflect the FHEQ requirements)</w:t>
      </w:r>
      <w:r w:rsidR="00366C7E">
        <w:rPr>
          <w:rFonts w:ascii="Arial" w:hAnsi="Arial" w:cs="Arial"/>
          <w:sz w:val="24"/>
          <w:szCs w:val="24"/>
        </w:rPr>
        <w:t>;</w:t>
      </w:r>
    </w:p>
    <w:p w:rsidRPr="00C72FB9" w:rsidR="00E14C0B" w:rsidP="00366C7E" w:rsidRDefault="00B27FC4" w14:paraId="001A3990" w14:textId="7AB6C4DB">
      <w:pPr>
        <w:pStyle w:val="ListParagraph"/>
        <w:numPr>
          <w:ilvl w:val="0"/>
          <w:numId w:val="14"/>
        </w:numPr>
        <w:tabs>
          <w:tab w:val="num" w:pos="1418"/>
        </w:tabs>
        <w:spacing w:after="120"/>
        <w:ind w:left="1418" w:hanging="426"/>
        <w:contextualSpacing w:val="0"/>
        <w:rPr>
          <w:rFonts w:ascii="Arial" w:hAnsi="Arial" w:cs="Arial"/>
          <w:sz w:val="24"/>
          <w:szCs w:val="24"/>
        </w:rPr>
      </w:pPr>
      <w:r>
        <w:rPr>
          <w:rFonts w:ascii="Arial" w:hAnsi="Arial" w:cs="Arial"/>
          <w:sz w:val="24"/>
          <w:szCs w:val="24"/>
        </w:rPr>
        <w:t xml:space="preserve">ensure that </w:t>
      </w:r>
      <w:r w:rsidR="008B73AD">
        <w:rPr>
          <w:rFonts w:ascii="Arial" w:hAnsi="Arial" w:cs="Arial"/>
          <w:sz w:val="24"/>
          <w:szCs w:val="24"/>
        </w:rPr>
        <w:t xml:space="preserve">level 6 </w:t>
      </w:r>
      <w:r w:rsidR="00E14C0B">
        <w:rPr>
          <w:rFonts w:ascii="Arial" w:hAnsi="Arial" w:cs="Arial"/>
          <w:sz w:val="24"/>
          <w:szCs w:val="24"/>
        </w:rPr>
        <w:t xml:space="preserve">grade criteria map on to and reflect the </w:t>
      </w:r>
      <w:r w:rsidRPr="008B0DEB" w:rsidR="00C72FB9">
        <w:rPr>
          <w:rFonts w:ascii="Arial" w:hAnsi="Arial" w:cs="Arial"/>
          <w:sz w:val="24"/>
          <w:szCs w:val="24"/>
        </w:rPr>
        <w:t>degree classification descriptions for bachelors’</w:t>
      </w:r>
      <w:r w:rsidR="008B73AD">
        <w:rPr>
          <w:rFonts w:ascii="Arial" w:hAnsi="Arial" w:cs="Arial"/>
          <w:sz w:val="24"/>
          <w:szCs w:val="24"/>
        </w:rPr>
        <w:t xml:space="preserve"> degrees, in compliance with </w:t>
      </w:r>
      <w:r w:rsidR="005E32D5">
        <w:rPr>
          <w:rFonts w:ascii="Arial" w:hAnsi="Arial" w:cs="Arial"/>
          <w:sz w:val="24"/>
          <w:szCs w:val="24"/>
        </w:rPr>
        <w:t xml:space="preserve">the University Grade Descriptors and </w:t>
      </w:r>
      <w:proofErr w:type="spellStart"/>
      <w:r w:rsidR="008B73AD">
        <w:rPr>
          <w:rFonts w:ascii="Arial" w:hAnsi="Arial" w:cs="Arial"/>
          <w:sz w:val="24"/>
          <w:szCs w:val="24"/>
        </w:rPr>
        <w:t>OfS</w:t>
      </w:r>
      <w:proofErr w:type="spellEnd"/>
      <w:r w:rsidR="008B73AD">
        <w:rPr>
          <w:rFonts w:ascii="Arial" w:hAnsi="Arial" w:cs="Arial"/>
          <w:sz w:val="24"/>
          <w:szCs w:val="24"/>
        </w:rPr>
        <w:t xml:space="preserve"> Condition of Registration</w:t>
      </w:r>
      <w:r w:rsidR="003F27C3">
        <w:rPr>
          <w:rFonts w:ascii="Arial" w:hAnsi="Arial" w:cs="Arial"/>
          <w:sz w:val="24"/>
          <w:szCs w:val="24"/>
        </w:rPr>
        <w:t xml:space="preserve"> B5</w:t>
      </w:r>
      <w:r w:rsidR="00C72FB9">
        <w:rPr>
          <w:rFonts w:ascii="Arial" w:hAnsi="Arial" w:cs="Arial"/>
          <w:sz w:val="24"/>
          <w:szCs w:val="24"/>
        </w:rPr>
        <w:t xml:space="preserve">; </w:t>
      </w:r>
    </w:p>
    <w:p w:rsidRPr="00B2107E" w:rsidR="00D86C82" w:rsidP="00366C7E" w:rsidRDefault="00D86C82" w14:paraId="24786213" w14:textId="27CD0A8B">
      <w:pPr>
        <w:pStyle w:val="ListParagraph"/>
        <w:numPr>
          <w:ilvl w:val="0"/>
          <w:numId w:val="14"/>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delivery and assessment practices utilise an appropriate variety of methods that afford students the opportunity to achieve standards beyond the threshold level</w:t>
      </w:r>
      <w:r w:rsidR="00366C7E">
        <w:rPr>
          <w:rFonts w:ascii="Arial" w:hAnsi="Arial" w:cs="Arial"/>
          <w:sz w:val="24"/>
          <w:szCs w:val="24"/>
        </w:rPr>
        <w:t>;</w:t>
      </w:r>
    </w:p>
    <w:p w:rsidRPr="00B2107E" w:rsidR="00D86C82" w:rsidP="00366C7E" w:rsidRDefault="00D86C82" w14:paraId="39573849" w14:textId="62E9A374">
      <w:pPr>
        <w:pStyle w:val="ListParagraph"/>
        <w:numPr>
          <w:ilvl w:val="0"/>
          <w:numId w:val="14"/>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all such proposals satisfy the University’s procedures and requirements for complying with Consumer Marketing Authority (CMA) legislation</w:t>
      </w:r>
      <w:r w:rsidR="00E0004F">
        <w:rPr>
          <w:rFonts w:ascii="Arial" w:hAnsi="Arial" w:cs="Arial"/>
          <w:sz w:val="24"/>
          <w:szCs w:val="24"/>
        </w:rPr>
        <w:t>.</w:t>
      </w:r>
    </w:p>
    <w:p w:rsidRPr="00B2107E" w:rsidR="00D86C82" w:rsidP="00366C7E" w:rsidRDefault="00366C7E" w14:paraId="62172A00" w14:textId="12F9782C">
      <w:pPr>
        <w:numPr>
          <w:ilvl w:val="0"/>
          <w:numId w:val="11"/>
        </w:numPr>
        <w:tabs>
          <w:tab w:val="clear" w:pos="360"/>
          <w:tab w:val="num" w:pos="993"/>
        </w:tabs>
        <w:ind w:left="993" w:hanging="426"/>
        <w:rPr>
          <w:szCs w:val="24"/>
        </w:rPr>
      </w:pPr>
      <w:r w:rsidRPr="00B2107E">
        <w:rPr>
          <w:szCs w:val="24"/>
        </w:rPr>
        <w:t>To</w:t>
      </w:r>
      <w:r w:rsidRPr="00B2107E" w:rsidR="00D86C82">
        <w:rPr>
          <w:szCs w:val="24"/>
        </w:rPr>
        <w:t xml:space="preserve"> advise members of the Division in order to ensure that the Division’s UG courses of study reflect the requirements of any Professional Statutory and Regulatory Body (PSRB), as applicable</w:t>
      </w:r>
      <w:r w:rsidR="00E0004F">
        <w:rPr>
          <w:szCs w:val="24"/>
        </w:rPr>
        <w:t>.</w:t>
      </w:r>
    </w:p>
    <w:p w:rsidRPr="00B2107E" w:rsidR="00D86C82" w:rsidP="00366C7E" w:rsidRDefault="00366C7E" w14:paraId="2DB327E7" w14:textId="4B227E37">
      <w:pPr>
        <w:numPr>
          <w:ilvl w:val="0"/>
          <w:numId w:val="11"/>
        </w:numPr>
        <w:tabs>
          <w:tab w:val="clear" w:pos="360"/>
          <w:tab w:val="num" w:pos="993"/>
          <w:tab w:val="num" w:pos="1134"/>
        </w:tabs>
        <w:ind w:left="993" w:hanging="426"/>
        <w:rPr>
          <w:szCs w:val="24"/>
        </w:rPr>
      </w:pPr>
      <w:r>
        <w:rPr>
          <w:szCs w:val="24"/>
        </w:rPr>
        <w:t>T</w:t>
      </w:r>
      <w:r w:rsidRPr="00B2107E" w:rsidR="00D86C82">
        <w:rPr>
          <w:szCs w:val="24"/>
        </w:rPr>
        <w:t>o advise members of the Division in order to ensure that the Division’s courses of study are mapped to the applicable QAA Benchmark Statement(s), where such a statement exists; and to ensure that when applicable new or revised Benchmark Statements are published by the QAA, the existing courses of study are reviewed and revised as appropriate so that they map to the new/revised Benchmark Statement</w:t>
      </w:r>
      <w:r w:rsidR="00E0004F">
        <w:rPr>
          <w:szCs w:val="24"/>
        </w:rPr>
        <w:t>.</w:t>
      </w:r>
    </w:p>
    <w:p w:rsidRPr="00B2107E" w:rsidR="00D86C82" w:rsidP="00366C7E" w:rsidRDefault="00366C7E" w14:paraId="4D0EA3F5" w14:textId="5E9EC606">
      <w:pPr>
        <w:numPr>
          <w:ilvl w:val="0"/>
          <w:numId w:val="11"/>
        </w:numPr>
        <w:tabs>
          <w:tab w:val="clear" w:pos="360"/>
          <w:tab w:val="num" w:pos="993"/>
          <w:tab w:val="num" w:pos="1134"/>
          <w:tab w:val="left" w:pos="1418"/>
        </w:tabs>
        <w:ind w:left="993" w:hanging="426"/>
        <w:rPr>
          <w:szCs w:val="24"/>
        </w:rPr>
      </w:pPr>
      <w:bookmarkStart w:name="_Hlk50452768" w:id="6"/>
      <w:r>
        <w:rPr>
          <w:szCs w:val="24"/>
        </w:rPr>
        <w:t>T</w:t>
      </w:r>
      <w:r w:rsidRPr="00B2107E" w:rsidR="00D86C82">
        <w:rPr>
          <w:szCs w:val="24"/>
        </w:rPr>
        <w:t xml:space="preserve">o consider and make decisions on applications for the award of credit for UG courses and modules as submitted by the Validated Institutions or </w:t>
      </w:r>
      <w:r w:rsidRPr="00B2107E" w:rsidR="00D86C82">
        <w:rPr>
          <w:szCs w:val="24"/>
        </w:rPr>
        <w:t xml:space="preserve">Partner Colleges under the University’s requirements for the Recognition of Prior Learning (RPL) in line with </w:t>
      </w:r>
      <w:hyperlink w:history="1" w:anchor="annex-r" r:id="rId11">
        <w:r w:rsidRPr="00E0004F" w:rsidR="00D86C82">
          <w:rPr>
            <w:rStyle w:val="Hyperlink"/>
            <w:iCs/>
            <w:szCs w:val="24"/>
          </w:rPr>
          <w:t>Annex R</w:t>
        </w:r>
      </w:hyperlink>
      <w:r w:rsidRPr="00B2107E" w:rsidR="00D86C82">
        <w:rPr>
          <w:szCs w:val="24"/>
        </w:rPr>
        <w:t xml:space="preserve"> of this Code of Practice</w:t>
      </w:r>
      <w:r w:rsidR="00E0004F">
        <w:rPr>
          <w:szCs w:val="24"/>
        </w:rPr>
        <w:t>.</w:t>
      </w:r>
    </w:p>
    <w:bookmarkEnd w:id="6"/>
    <w:p w:rsidRPr="00B2107E" w:rsidR="00D86C82" w:rsidP="00366C7E" w:rsidRDefault="00366C7E" w14:paraId="45B4BC14" w14:textId="704D6AA4">
      <w:pPr>
        <w:numPr>
          <w:ilvl w:val="0"/>
          <w:numId w:val="11"/>
        </w:numPr>
        <w:tabs>
          <w:tab w:val="clear" w:pos="360"/>
          <w:tab w:val="num" w:pos="993"/>
          <w:tab w:val="num" w:pos="1080"/>
          <w:tab w:val="num" w:pos="1134"/>
          <w:tab w:val="left" w:pos="1418"/>
        </w:tabs>
        <w:ind w:left="993" w:hanging="426"/>
        <w:rPr>
          <w:szCs w:val="24"/>
        </w:rPr>
      </w:pPr>
      <w:r>
        <w:rPr>
          <w:szCs w:val="24"/>
        </w:rPr>
        <w:t>T</w:t>
      </w:r>
      <w:r w:rsidRPr="00B2107E" w:rsidR="00D86C82">
        <w:rPr>
          <w:szCs w:val="24"/>
        </w:rPr>
        <w:t>o play a key role in the academic planning of the Division and, working closely and effectively with the Division’s TEF Lead(s) and professional services colleagues, to ensure the Division’s TEF strategy and action plans are fit for purpose</w:t>
      </w:r>
      <w:r w:rsidR="00E0004F">
        <w:rPr>
          <w:szCs w:val="24"/>
        </w:rPr>
        <w:t>.</w:t>
      </w:r>
    </w:p>
    <w:p w:rsidRPr="00B2107E" w:rsidR="00D86C82" w:rsidP="00366C7E" w:rsidRDefault="00D86C82" w14:paraId="41A02F72" w14:textId="3C7589B3">
      <w:pPr>
        <w:numPr>
          <w:ilvl w:val="0"/>
          <w:numId w:val="11"/>
        </w:numPr>
        <w:tabs>
          <w:tab w:val="clear" w:pos="360"/>
          <w:tab w:val="num" w:pos="993"/>
          <w:tab w:val="num" w:pos="1134"/>
          <w:tab w:val="left" w:pos="1418"/>
        </w:tabs>
        <w:ind w:left="993" w:hanging="426"/>
        <w:rPr>
          <w:szCs w:val="24"/>
        </w:rPr>
      </w:pPr>
      <w:r w:rsidRPr="00B2107E">
        <w:rPr>
          <w:szCs w:val="24"/>
        </w:rPr>
        <w:t xml:space="preserve"> </w:t>
      </w:r>
      <w:r w:rsidRPr="00B2107E" w:rsidR="00366C7E">
        <w:rPr>
          <w:szCs w:val="24"/>
        </w:rPr>
        <w:t>To</w:t>
      </w:r>
      <w:r w:rsidRPr="00B2107E">
        <w:rPr>
          <w:szCs w:val="24"/>
        </w:rPr>
        <w:t xml:space="preserve"> lead on Divisional strategy on addressing various aspects of student success (retention, attainment gaps, etc.), and contributing to University delivery of the Access and Participation Plan</w:t>
      </w:r>
      <w:r w:rsidR="00E0004F">
        <w:rPr>
          <w:szCs w:val="24"/>
        </w:rPr>
        <w:t>.</w:t>
      </w:r>
      <w:r w:rsidRPr="00B2107E">
        <w:rPr>
          <w:szCs w:val="24"/>
        </w:rPr>
        <w:t xml:space="preserve"> </w:t>
      </w:r>
    </w:p>
    <w:p w:rsidRPr="00B2107E" w:rsidR="00D86C82" w:rsidP="00366C7E" w:rsidRDefault="00366C7E" w14:paraId="3948FCA2" w14:textId="7E5FB770">
      <w:pPr>
        <w:numPr>
          <w:ilvl w:val="0"/>
          <w:numId w:val="11"/>
        </w:numPr>
        <w:tabs>
          <w:tab w:val="clear" w:pos="360"/>
          <w:tab w:val="num" w:pos="993"/>
          <w:tab w:val="num" w:pos="1134"/>
          <w:tab w:val="left" w:pos="1418"/>
        </w:tabs>
        <w:ind w:left="993" w:hanging="426"/>
        <w:rPr>
          <w:szCs w:val="24"/>
        </w:rPr>
      </w:pPr>
      <w:r w:rsidRPr="00B2107E">
        <w:rPr>
          <w:szCs w:val="24"/>
        </w:rPr>
        <w:t>To</w:t>
      </w:r>
      <w:r w:rsidRPr="00B2107E" w:rsidR="00D86C82">
        <w:rPr>
          <w:szCs w:val="24"/>
        </w:rPr>
        <w:t xml:space="preserve"> ensure that, where a UG course for which the Division has responsibility is delivered or assessed in whole or in part by a partner provider, evidence is available which demonstrates that the arrangement continues to meet the requirements of this Code of Practice and therefore that standards are secure and the student experience is of an appropriately high quality</w:t>
      </w:r>
      <w:r w:rsidR="00E0004F">
        <w:rPr>
          <w:szCs w:val="24"/>
        </w:rPr>
        <w:t>.</w:t>
      </w:r>
      <w:r w:rsidRPr="00B2107E" w:rsidR="00D86C82">
        <w:rPr>
          <w:szCs w:val="24"/>
        </w:rPr>
        <w:t xml:space="preserve"> </w:t>
      </w:r>
    </w:p>
    <w:p w:rsidRPr="00B2107E" w:rsidR="00D86C82" w:rsidP="00366C7E" w:rsidRDefault="00366C7E" w14:paraId="4010B2FC" w14:textId="1C4184BC">
      <w:pPr>
        <w:numPr>
          <w:ilvl w:val="0"/>
          <w:numId w:val="11"/>
        </w:numPr>
        <w:tabs>
          <w:tab w:val="clear" w:pos="360"/>
          <w:tab w:val="num" w:pos="993"/>
          <w:tab w:val="num" w:pos="1134"/>
          <w:tab w:val="left" w:pos="1418"/>
        </w:tabs>
        <w:ind w:left="993" w:hanging="426"/>
        <w:rPr>
          <w:szCs w:val="24"/>
        </w:rPr>
      </w:pPr>
      <w:r>
        <w:rPr>
          <w:szCs w:val="24"/>
        </w:rPr>
        <w:t>T</w:t>
      </w:r>
      <w:r w:rsidRPr="00B2107E" w:rsidR="00D86C82">
        <w:rPr>
          <w:szCs w:val="24"/>
        </w:rPr>
        <w:t>o attend to relevant data and league tables throughout the year (e.g. NSS, Complete University Guide), and preparing strategies, plans, and short reports, as required, to deliver continuous improvement in these areas</w:t>
      </w:r>
      <w:r w:rsidR="00E0004F">
        <w:rPr>
          <w:szCs w:val="24"/>
        </w:rPr>
        <w:t>.</w:t>
      </w:r>
      <w:r w:rsidRPr="00B2107E" w:rsidR="00D86C82">
        <w:rPr>
          <w:szCs w:val="24"/>
        </w:rPr>
        <w:t xml:space="preserve"> </w:t>
      </w:r>
    </w:p>
    <w:p w:rsidRPr="00B2107E" w:rsidR="00D86C82" w:rsidP="00366C7E" w:rsidRDefault="00366C7E" w14:paraId="5BAF491C" w14:textId="54BEAC26">
      <w:pPr>
        <w:numPr>
          <w:ilvl w:val="0"/>
          <w:numId w:val="11"/>
        </w:numPr>
        <w:tabs>
          <w:tab w:val="clear" w:pos="360"/>
          <w:tab w:val="num" w:pos="993"/>
          <w:tab w:val="num" w:pos="1134"/>
          <w:tab w:val="left" w:pos="1418"/>
        </w:tabs>
        <w:ind w:left="993" w:hanging="426"/>
        <w:rPr>
          <w:szCs w:val="24"/>
        </w:rPr>
      </w:pPr>
      <w:r w:rsidRPr="00B2107E">
        <w:rPr>
          <w:szCs w:val="24"/>
        </w:rPr>
        <w:t>To</w:t>
      </w:r>
      <w:r w:rsidRPr="00B2107E" w:rsidR="00D86C82">
        <w:rPr>
          <w:szCs w:val="24"/>
        </w:rPr>
        <w:t xml:space="preserve"> serve as a member of the University’s ‘Directors of Education Network’ in order to identify and disseminate good practice in learning and teaching</w:t>
      </w:r>
      <w:r w:rsidR="00E0004F">
        <w:rPr>
          <w:szCs w:val="24"/>
        </w:rPr>
        <w:t>.</w:t>
      </w:r>
    </w:p>
    <w:p w:rsidRPr="00B2107E" w:rsidR="00D86C82" w:rsidP="00366C7E" w:rsidRDefault="00366C7E" w14:paraId="6E948FA9" w14:textId="354E3A54">
      <w:pPr>
        <w:numPr>
          <w:ilvl w:val="0"/>
          <w:numId w:val="11"/>
        </w:numPr>
        <w:tabs>
          <w:tab w:val="clear" w:pos="360"/>
          <w:tab w:val="num" w:pos="993"/>
          <w:tab w:val="num" w:pos="1134"/>
          <w:tab w:val="left" w:pos="1418"/>
        </w:tabs>
        <w:ind w:left="993" w:hanging="426"/>
        <w:rPr>
          <w:szCs w:val="24"/>
        </w:rPr>
      </w:pPr>
      <w:bookmarkStart w:name="_Hlk50300200" w:id="7"/>
      <w:r>
        <w:rPr>
          <w:szCs w:val="24"/>
        </w:rPr>
        <w:t>T</w:t>
      </w:r>
      <w:r w:rsidRPr="00B2107E" w:rsidR="00D86C82">
        <w:rPr>
          <w:szCs w:val="24"/>
        </w:rPr>
        <w:t xml:space="preserve">o liaise with Directors of Studies in the Division in relation to quality management of UG courses of study and the production of evidence in mitigation of the risk of non-compliance with the requirements of the Code of Practice and, by extension, the </w:t>
      </w:r>
      <w:r w:rsidR="00D85D86">
        <w:rPr>
          <w:szCs w:val="24"/>
        </w:rPr>
        <w:t xml:space="preserve">relevant </w:t>
      </w:r>
      <w:proofErr w:type="spellStart"/>
      <w:r w:rsidR="00D85D86">
        <w:rPr>
          <w:szCs w:val="24"/>
        </w:rPr>
        <w:t>OfS</w:t>
      </w:r>
      <w:proofErr w:type="spellEnd"/>
      <w:r w:rsidR="00D85D86">
        <w:rPr>
          <w:szCs w:val="24"/>
        </w:rPr>
        <w:t xml:space="preserve"> Conditions of Registration (</w:t>
      </w:r>
      <w:r w:rsidR="005E32D5">
        <w:rPr>
          <w:szCs w:val="24"/>
        </w:rPr>
        <w:t>i.e.</w:t>
      </w:r>
      <w:r w:rsidR="00D85D86">
        <w:rPr>
          <w:szCs w:val="24"/>
        </w:rPr>
        <w:t xml:space="preserve">, the B-Conditions and Condition C1 [CMA]) </w:t>
      </w:r>
      <w:r w:rsidR="00E0004F">
        <w:rPr>
          <w:szCs w:val="24"/>
        </w:rPr>
        <w:t>.</w:t>
      </w:r>
    </w:p>
    <w:p w:rsidRPr="00B2107E" w:rsidR="00D86C82" w:rsidP="00366C7E" w:rsidRDefault="00366C7E" w14:paraId="54583417" w14:textId="64946A20">
      <w:pPr>
        <w:numPr>
          <w:ilvl w:val="0"/>
          <w:numId w:val="11"/>
        </w:numPr>
        <w:tabs>
          <w:tab w:val="clear" w:pos="360"/>
          <w:tab w:val="num" w:pos="993"/>
          <w:tab w:val="num" w:pos="1134"/>
          <w:tab w:val="left" w:pos="1418"/>
        </w:tabs>
        <w:ind w:left="993" w:hanging="426"/>
        <w:rPr>
          <w:szCs w:val="24"/>
        </w:rPr>
      </w:pPr>
      <w:r w:rsidRPr="00B2107E">
        <w:rPr>
          <w:szCs w:val="24"/>
        </w:rPr>
        <w:t>To</w:t>
      </w:r>
      <w:r w:rsidRPr="00B2107E" w:rsidR="00D86C82">
        <w:rPr>
          <w:szCs w:val="24"/>
        </w:rPr>
        <w:t xml:space="preserve"> consult with the Quality Assurance and Compliance Office on the foregoing matters.</w:t>
      </w:r>
    </w:p>
    <w:p w:rsidRPr="00B2107E" w:rsidR="00D86C82" w:rsidP="00B2107E" w:rsidRDefault="00D86C82" w14:paraId="56D32D32" w14:textId="77777777">
      <w:pPr>
        <w:tabs>
          <w:tab w:val="num" w:pos="993"/>
        </w:tabs>
        <w:ind w:left="936" w:hanging="709"/>
        <w:rPr>
          <w:szCs w:val="24"/>
        </w:rPr>
      </w:pPr>
    </w:p>
    <w:p w:rsidRPr="00BD59F7" w:rsidR="00D86C82" w:rsidP="00FF0521" w:rsidRDefault="00D86C82" w14:paraId="7E79C501" w14:textId="2E2CD56E">
      <w:pPr>
        <w:pStyle w:val="Heading1"/>
      </w:pPr>
      <w:bookmarkStart w:name="_Toc114559009" w:id="8"/>
      <w:bookmarkEnd w:id="7"/>
      <w:r w:rsidRPr="00BD59F7">
        <w:t>Divisional Education and UG Student Experience Committees</w:t>
      </w:r>
      <w:r w:rsidRPr="00BD59F7" w:rsidR="00E94E14">
        <w:t xml:space="preserve"> (DESEC)</w:t>
      </w:r>
      <w:bookmarkEnd w:id="8"/>
    </w:p>
    <w:p w:rsidRPr="00BD59F7" w:rsidR="00907366" w:rsidP="00366C7E" w:rsidRDefault="00E94E14" w14:paraId="42365C33" w14:textId="07A62598">
      <w:pPr>
        <w:pStyle w:val="Heading2"/>
        <w:numPr>
          <w:ilvl w:val="0"/>
          <w:numId w:val="21"/>
        </w:numPr>
        <w:ind w:left="567" w:hanging="567"/>
        <w:rPr>
          <w:rFonts w:cs="Arial"/>
          <w:szCs w:val="24"/>
        </w:rPr>
      </w:pPr>
      <w:bookmarkStart w:name="_Toc114559010" w:id="9"/>
      <w:r w:rsidRPr="00BD59F7">
        <w:rPr>
          <w:rFonts w:cs="Arial"/>
          <w:szCs w:val="24"/>
        </w:rPr>
        <w:t>Division</w:t>
      </w:r>
      <w:r w:rsidR="00366C7E">
        <w:rPr>
          <w:rFonts w:cs="Arial"/>
          <w:szCs w:val="24"/>
        </w:rPr>
        <w:t>al R</w:t>
      </w:r>
      <w:r w:rsidRPr="00BD59F7">
        <w:rPr>
          <w:rFonts w:cs="Arial"/>
          <w:szCs w:val="24"/>
        </w:rPr>
        <w:t>equirement to have a DESEC</w:t>
      </w:r>
      <w:bookmarkEnd w:id="9"/>
    </w:p>
    <w:p w:rsidRPr="00B2107E" w:rsidR="00D86C82" w:rsidP="00366C7E" w:rsidRDefault="00D86C82" w14:paraId="2087C282" w14:textId="4F2B10F5">
      <w:pPr>
        <w:ind w:left="567" w:firstLine="0"/>
        <w:rPr>
          <w:szCs w:val="24"/>
        </w:rPr>
      </w:pPr>
      <w:r w:rsidRPr="00B2107E">
        <w:rPr>
          <w:szCs w:val="24"/>
        </w:rPr>
        <w:t>Each Division will have an Education and UG Student Experience Committee (DESEC).</w:t>
      </w:r>
    </w:p>
    <w:p w:rsidRPr="00BD59F7" w:rsidR="00907366" w:rsidP="00366C7E" w:rsidRDefault="00E94E14" w14:paraId="3C20693F" w14:textId="0BFBE0E7">
      <w:pPr>
        <w:pStyle w:val="Heading2"/>
        <w:numPr>
          <w:ilvl w:val="0"/>
          <w:numId w:val="21"/>
        </w:numPr>
        <w:ind w:left="567" w:hanging="567"/>
        <w:rPr>
          <w:rFonts w:cs="Arial"/>
          <w:szCs w:val="24"/>
        </w:rPr>
      </w:pPr>
      <w:bookmarkStart w:name="_Toc114559011" w:id="10"/>
      <w:r w:rsidRPr="00BD59F7">
        <w:rPr>
          <w:rFonts w:cs="Arial"/>
          <w:szCs w:val="24"/>
        </w:rPr>
        <w:t>Membership of the DESEC</w:t>
      </w:r>
      <w:bookmarkEnd w:id="10"/>
    </w:p>
    <w:p w:rsidRPr="00B2107E" w:rsidR="00D86C82" w:rsidP="00366C7E" w:rsidRDefault="00D86C82" w14:paraId="133DB48B" w14:textId="4762C20E">
      <w:pPr>
        <w:ind w:left="567" w:firstLine="0"/>
        <w:rPr>
          <w:szCs w:val="24"/>
        </w:rPr>
      </w:pPr>
      <w:r w:rsidRPr="00B2107E">
        <w:rPr>
          <w:szCs w:val="24"/>
        </w:rPr>
        <w:t>The membership of the DESEC will be determined by the Director of Division, but should include the D</w:t>
      </w:r>
      <w:r w:rsidR="00366C7E">
        <w:rPr>
          <w:szCs w:val="24"/>
        </w:rPr>
        <w:t>DESE</w:t>
      </w:r>
      <w:r w:rsidRPr="00B2107E">
        <w:rPr>
          <w:szCs w:val="24"/>
        </w:rPr>
        <w:t xml:space="preserve"> as Chair, the Directors of Studies for all courses of study or groups of courses for which the Division holds responsibility, </w:t>
      </w:r>
      <w:r w:rsidRPr="00B2107E">
        <w:rPr>
          <w:szCs w:val="24"/>
        </w:rPr>
        <w:t xml:space="preserve">normally as per the arrangements for Divisional Boards of Studies, and no fewer than three student members. </w:t>
      </w:r>
    </w:p>
    <w:p w:rsidRPr="00BD59F7" w:rsidR="00E94E14" w:rsidP="00366C7E" w:rsidRDefault="00E94E14" w14:paraId="176FC955" w14:textId="325EABFB">
      <w:pPr>
        <w:pStyle w:val="Heading2"/>
        <w:numPr>
          <w:ilvl w:val="0"/>
          <w:numId w:val="21"/>
        </w:numPr>
        <w:ind w:left="567" w:hanging="567"/>
        <w:rPr>
          <w:rFonts w:cs="Arial"/>
          <w:szCs w:val="24"/>
        </w:rPr>
      </w:pPr>
      <w:bookmarkStart w:name="_Toc114559012" w:id="11"/>
      <w:r w:rsidRPr="00BD59F7">
        <w:rPr>
          <w:rFonts w:cs="Arial"/>
          <w:szCs w:val="24"/>
        </w:rPr>
        <w:t>Chair of the DESEC</w:t>
      </w:r>
      <w:bookmarkEnd w:id="11"/>
    </w:p>
    <w:p w:rsidRPr="00B2107E" w:rsidR="00D86C82" w:rsidP="00366C7E" w:rsidRDefault="00D86C82" w14:paraId="4143FEA1" w14:textId="11F25270">
      <w:pPr>
        <w:ind w:left="567" w:firstLine="0"/>
        <w:rPr>
          <w:szCs w:val="24"/>
        </w:rPr>
      </w:pPr>
      <w:r w:rsidRPr="00B2107E">
        <w:rPr>
          <w:szCs w:val="24"/>
        </w:rPr>
        <w:t>The Chair of the DESEC, normally the D</w:t>
      </w:r>
      <w:r w:rsidR="00366C7E">
        <w:rPr>
          <w:szCs w:val="24"/>
        </w:rPr>
        <w:t>DESE</w:t>
      </w:r>
      <w:r w:rsidRPr="00B2107E">
        <w:rPr>
          <w:szCs w:val="24"/>
        </w:rPr>
        <w:t xml:space="preserve">, will be appointed by the Director of Division. </w:t>
      </w:r>
    </w:p>
    <w:p w:rsidRPr="00BD59F7" w:rsidR="00E94E14" w:rsidP="00366C7E" w:rsidRDefault="00582D34" w14:paraId="7DD6B1CD" w14:textId="237650B9">
      <w:pPr>
        <w:pStyle w:val="Heading2"/>
        <w:numPr>
          <w:ilvl w:val="0"/>
          <w:numId w:val="21"/>
        </w:numPr>
        <w:ind w:left="567" w:hanging="567"/>
        <w:rPr>
          <w:rFonts w:cs="Arial"/>
          <w:szCs w:val="24"/>
        </w:rPr>
      </w:pPr>
      <w:bookmarkStart w:name="_Toc114559013" w:id="12"/>
      <w:r w:rsidRPr="00582D34">
        <w:rPr>
          <w:rFonts w:cs="Arial"/>
          <w:szCs w:val="24"/>
        </w:rPr>
        <w:t>Minimum Meeting Requirements for</w:t>
      </w:r>
      <w:r w:rsidRPr="00BD59F7" w:rsidR="00E94E14">
        <w:rPr>
          <w:rFonts w:cs="Arial"/>
          <w:szCs w:val="24"/>
        </w:rPr>
        <w:t xml:space="preserve"> the DESEC</w:t>
      </w:r>
      <w:bookmarkEnd w:id="12"/>
    </w:p>
    <w:p w:rsidRPr="00B2107E" w:rsidR="00D86C82" w:rsidP="00366C7E" w:rsidRDefault="00D86C82" w14:paraId="688C40ED" w14:textId="5C9FE9BC">
      <w:pPr>
        <w:ind w:left="567" w:firstLine="0"/>
        <w:rPr>
          <w:szCs w:val="24"/>
        </w:rPr>
      </w:pPr>
      <w:r w:rsidRPr="00B2107E">
        <w:rPr>
          <w:szCs w:val="24"/>
        </w:rPr>
        <w:t xml:space="preserve">The DESEC should meet at least once in each term. Agendas and papers should be circulated to members in advance of meetings and minutes should be made available to all staff and students of the Division. A member of the Quality Assurance and Compliance Office should be invited to attend the meetings in an advisory capacity. </w:t>
      </w:r>
    </w:p>
    <w:p w:rsidRPr="00BD59F7" w:rsidR="009C4A41" w:rsidP="00366C7E" w:rsidRDefault="009C4A41" w14:paraId="6FD4E12A" w14:textId="3AE557A1">
      <w:pPr>
        <w:pStyle w:val="Heading2"/>
        <w:numPr>
          <w:ilvl w:val="0"/>
          <w:numId w:val="21"/>
        </w:numPr>
        <w:ind w:left="567" w:hanging="567"/>
        <w:rPr>
          <w:rFonts w:cs="Arial"/>
          <w:szCs w:val="24"/>
        </w:rPr>
      </w:pPr>
      <w:bookmarkStart w:name="_Toc114559014" w:id="13"/>
      <w:r w:rsidRPr="00BD59F7">
        <w:rPr>
          <w:rFonts w:cs="Arial"/>
          <w:szCs w:val="24"/>
        </w:rPr>
        <w:t>Responsibilities of the DESEC</w:t>
      </w:r>
      <w:bookmarkEnd w:id="13"/>
    </w:p>
    <w:p w:rsidRPr="00B2107E" w:rsidR="00D86C82" w:rsidP="00366C7E" w:rsidRDefault="00D86C82" w14:paraId="67A3A727" w14:textId="5E39F0B9">
      <w:pPr>
        <w:ind w:left="567" w:firstLine="0"/>
        <w:rPr>
          <w:szCs w:val="24"/>
        </w:rPr>
      </w:pPr>
      <w:r w:rsidRPr="00B2107E">
        <w:rPr>
          <w:szCs w:val="24"/>
        </w:rPr>
        <w:t xml:space="preserve">The DESEC is responsible for ensuring that, with respect to undergraduate courses and their component modules, the Division undertakes its responsibilities as set out in this Code of Practice </w:t>
      </w:r>
      <w:bookmarkStart w:name="_Hlk50301467" w:id="14"/>
      <w:r w:rsidRPr="00B2107E">
        <w:rPr>
          <w:szCs w:val="24"/>
        </w:rPr>
        <w:t>and the Academic Regulations for Taught Courses of Study, i.e.:</w:t>
      </w:r>
    </w:p>
    <w:p w:rsidRPr="00B2107E" w:rsidR="00D86C82" w:rsidP="00366C7E" w:rsidRDefault="00D86C82" w14:paraId="0C5061F5" w14:textId="26E028D2">
      <w:pPr>
        <w:numPr>
          <w:ilvl w:val="0"/>
          <w:numId w:val="3"/>
        </w:numPr>
        <w:tabs>
          <w:tab w:val="clear" w:pos="360"/>
          <w:tab w:val="num" w:pos="993"/>
        </w:tabs>
        <w:ind w:left="993" w:hanging="426"/>
        <w:rPr>
          <w:szCs w:val="24"/>
        </w:rPr>
      </w:pPr>
      <w:r w:rsidRPr="00B2107E">
        <w:rPr>
          <w:szCs w:val="24"/>
        </w:rPr>
        <w:t xml:space="preserve">Receiving and scrutinising the recommendations of Boards of Examiners in the Division for undergraduate academic awards and recommending </w:t>
      </w:r>
      <w:r w:rsidRPr="00B2107E">
        <w:rPr>
          <w:szCs w:val="24"/>
          <w:bdr w:val="none" w:color="auto" w:sz="0" w:space="0" w:frame="1"/>
        </w:rPr>
        <w:t>these awards to the Education and Student Experience Board on behalf of Senate (while this responsibility for recommending awards to the ESEB may be delegated to the DESEC Chair, the formal record should be kept by the Committee)</w:t>
      </w:r>
      <w:r w:rsidR="00E0004F">
        <w:rPr>
          <w:szCs w:val="24"/>
          <w:bdr w:val="none" w:color="auto" w:sz="0" w:space="0" w:frame="1"/>
        </w:rPr>
        <w:t>.</w:t>
      </w:r>
      <w:r w:rsidRPr="00B2107E">
        <w:rPr>
          <w:szCs w:val="24"/>
          <w:bdr w:val="none" w:color="auto" w:sz="0" w:space="0" w:frame="1"/>
        </w:rPr>
        <w:t> </w:t>
      </w:r>
    </w:p>
    <w:bookmarkEnd w:id="14"/>
    <w:p w:rsidRPr="00B2107E" w:rsidR="00D86C82" w:rsidP="00366C7E" w:rsidRDefault="00366C7E" w14:paraId="02CA9EDE" w14:textId="6DDC3B9F">
      <w:pPr>
        <w:numPr>
          <w:ilvl w:val="0"/>
          <w:numId w:val="3"/>
        </w:numPr>
        <w:tabs>
          <w:tab w:val="clear" w:pos="360"/>
          <w:tab w:val="num" w:pos="993"/>
        </w:tabs>
        <w:ind w:left="993" w:hanging="426"/>
        <w:rPr>
          <w:szCs w:val="24"/>
        </w:rPr>
      </w:pPr>
      <w:r w:rsidRPr="00B2107E">
        <w:rPr>
          <w:szCs w:val="24"/>
        </w:rPr>
        <w:t>Ensuring</w:t>
      </w:r>
      <w:r w:rsidRPr="00B2107E" w:rsidR="00D86C82">
        <w:rPr>
          <w:szCs w:val="24"/>
        </w:rPr>
        <w:t xml:space="preserve"> that modules and courses submitted for approval conform with the requirements of this Code (see </w:t>
      </w:r>
      <w:hyperlink w:history="1" w:anchor="annex-b" r:id="rId12">
        <w:r w:rsidRPr="006B54CB" w:rsidR="00D86C82">
          <w:rPr>
            <w:rStyle w:val="Hyperlink"/>
            <w:szCs w:val="24"/>
          </w:rPr>
          <w:t xml:space="preserve">Annex B: </w:t>
        </w:r>
        <w:r w:rsidRPr="006B54CB" w:rsidR="00D86C82">
          <w:rPr>
            <w:rStyle w:val="Hyperlink"/>
            <w:i/>
            <w:szCs w:val="24"/>
          </w:rPr>
          <w:t>Approval and Withdrawal of Modules</w:t>
        </w:r>
      </w:hyperlink>
      <w:r w:rsidRPr="00B2107E" w:rsidR="00D86C82">
        <w:rPr>
          <w:szCs w:val="24"/>
        </w:rPr>
        <w:t xml:space="preserve"> and </w:t>
      </w:r>
      <w:hyperlink w:history="1" w:anchor="annex-c" r:id="rId13">
        <w:r w:rsidRPr="006B54CB" w:rsidR="00D86C82">
          <w:rPr>
            <w:rStyle w:val="Hyperlink"/>
            <w:szCs w:val="24"/>
          </w:rPr>
          <w:t xml:space="preserve">Annex C: </w:t>
        </w:r>
        <w:r w:rsidRPr="006B54CB" w:rsidR="00D86C82">
          <w:rPr>
            <w:rStyle w:val="Hyperlink"/>
            <w:i/>
            <w:szCs w:val="24"/>
          </w:rPr>
          <w:t>Approval and Withdrawal of Taught Courses</w:t>
        </w:r>
      </w:hyperlink>
      <w:r w:rsidRPr="00B2107E" w:rsidR="00D86C82">
        <w:rPr>
          <w:szCs w:val="24"/>
        </w:rPr>
        <w:t>)</w:t>
      </w:r>
      <w:r w:rsidR="00E0004F">
        <w:rPr>
          <w:szCs w:val="24"/>
        </w:rPr>
        <w:t>.</w:t>
      </w:r>
    </w:p>
    <w:p w:rsidRPr="00B2107E" w:rsidR="00D86C82" w:rsidP="00366C7E" w:rsidRDefault="00366C7E" w14:paraId="323D5A3B" w14:textId="3782A5F6">
      <w:pPr>
        <w:numPr>
          <w:ilvl w:val="0"/>
          <w:numId w:val="3"/>
        </w:numPr>
        <w:tabs>
          <w:tab w:val="clear" w:pos="360"/>
          <w:tab w:val="num" w:pos="993"/>
        </w:tabs>
        <w:ind w:left="993" w:hanging="426"/>
        <w:rPr>
          <w:szCs w:val="24"/>
        </w:rPr>
      </w:pPr>
      <w:bookmarkStart w:name="_Hlk50301542" w:id="15"/>
      <w:r w:rsidRPr="00B2107E">
        <w:rPr>
          <w:szCs w:val="24"/>
        </w:rPr>
        <w:t>Ensuring</w:t>
      </w:r>
      <w:r w:rsidRPr="00B2107E" w:rsidR="00D86C82">
        <w:rPr>
          <w:szCs w:val="24"/>
        </w:rPr>
        <w:t xml:space="preserve"> new and amended modules and courses comply with the University’s policies on meeting </w:t>
      </w:r>
      <w:hyperlink w:history="1" r:id="rId14">
        <w:r w:rsidRPr="006B54CB" w:rsidR="00D86C82">
          <w:rPr>
            <w:rStyle w:val="Hyperlink"/>
            <w:szCs w:val="24"/>
          </w:rPr>
          <w:t>Consumer Marketing Authority (CMA) requirements</w:t>
        </w:r>
      </w:hyperlink>
      <w:r w:rsidR="00E0004F">
        <w:rPr>
          <w:szCs w:val="24"/>
        </w:rPr>
        <w:t>.</w:t>
      </w:r>
    </w:p>
    <w:p w:rsidRPr="00B2107E" w:rsidR="00D86C82" w:rsidP="00366C7E" w:rsidRDefault="00366C7E" w14:paraId="76BB4A05" w14:textId="763C1BC7">
      <w:pPr>
        <w:numPr>
          <w:ilvl w:val="0"/>
          <w:numId w:val="4"/>
        </w:numPr>
        <w:tabs>
          <w:tab w:val="clear" w:pos="360"/>
          <w:tab w:val="num" w:pos="993"/>
        </w:tabs>
        <w:ind w:left="993" w:hanging="426"/>
        <w:rPr>
          <w:szCs w:val="24"/>
        </w:rPr>
      </w:pPr>
      <w:r w:rsidRPr="00B2107E">
        <w:rPr>
          <w:szCs w:val="24"/>
        </w:rPr>
        <w:t>Approving</w:t>
      </w:r>
      <w:r w:rsidRPr="00B2107E" w:rsidR="00D86C82">
        <w:rPr>
          <w:szCs w:val="24"/>
        </w:rPr>
        <w:t xml:space="preserve"> new and amended modules and recommending the approval of new and amended courses to CASC</w:t>
      </w:r>
      <w:r w:rsidR="00E0004F">
        <w:rPr>
          <w:szCs w:val="24"/>
        </w:rPr>
        <w:t>.</w:t>
      </w:r>
    </w:p>
    <w:p w:rsidRPr="00B2107E" w:rsidR="00D86C82" w:rsidP="00366C7E" w:rsidRDefault="00366C7E" w14:paraId="0A13A8B1" w14:textId="44503321">
      <w:pPr>
        <w:numPr>
          <w:ilvl w:val="0"/>
          <w:numId w:val="4"/>
        </w:numPr>
        <w:tabs>
          <w:tab w:val="clear" w:pos="360"/>
          <w:tab w:val="num" w:pos="993"/>
        </w:tabs>
        <w:ind w:left="993" w:hanging="426"/>
        <w:rPr>
          <w:szCs w:val="24"/>
        </w:rPr>
      </w:pPr>
      <w:r w:rsidRPr="00B2107E">
        <w:rPr>
          <w:szCs w:val="24"/>
        </w:rPr>
        <w:t>Ensuring</w:t>
      </w:r>
      <w:r w:rsidRPr="00B2107E" w:rsidR="00D86C82">
        <w:rPr>
          <w:szCs w:val="24"/>
        </w:rPr>
        <w:t xml:space="preserve"> the delivery of modules and courses as approved</w:t>
      </w:r>
      <w:r w:rsidR="00E0004F">
        <w:rPr>
          <w:szCs w:val="24"/>
        </w:rPr>
        <w:t>.</w:t>
      </w:r>
      <w:r w:rsidRPr="00B2107E" w:rsidR="00D86C82">
        <w:rPr>
          <w:szCs w:val="24"/>
        </w:rPr>
        <w:t xml:space="preserve"> </w:t>
      </w:r>
    </w:p>
    <w:p w:rsidRPr="00B2107E" w:rsidR="00D86C82" w:rsidP="00366C7E" w:rsidRDefault="00366C7E" w14:paraId="2F3B3FFB" w14:textId="58711DAF">
      <w:pPr>
        <w:numPr>
          <w:ilvl w:val="0"/>
          <w:numId w:val="4"/>
        </w:numPr>
        <w:tabs>
          <w:tab w:val="clear" w:pos="360"/>
          <w:tab w:val="num" w:pos="993"/>
        </w:tabs>
        <w:ind w:left="993" w:hanging="426"/>
        <w:rPr>
          <w:szCs w:val="24"/>
        </w:rPr>
      </w:pPr>
      <w:bookmarkStart w:name="_Hlk50301619" w:id="16"/>
      <w:bookmarkEnd w:id="15"/>
      <w:r w:rsidRPr="00B2107E">
        <w:rPr>
          <w:szCs w:val="24"/>
        </w:rPr>
        <w:t>Monitoring</w:t>
      </w:r>
      <w:r w:rsidRPr="00B2107E" w:rsidR="00D86C82">
        <w:rPr>
          <w:szCs w:val="24"/>
        </w:rPr>
        <w:t xml:space="preserve"> and responding to assessment and feedback matters, making reference to the </w:t>
      </w:r>
      <w:hyperlink w:history="1" r:id="rId15">
        <w:r w:rsidRPr="006B54CB" w:rsidR="00D86C82">
          <w:rPr>
            <w:rStyle w:val="Hyperlink"/>
            <w:szCs w:val="24"/>
          </w:rPr>
          <w:t xml:space="preserve">Assessment </w:t>
        </w:r>
        <w:r w:rsidR="00EB6A4C">
          <w:rPr>
            <w:rStyle w:val="Hyperlink"/>
            <w:szCs w:val="24"/>
          </w:rPr>
          <w:t>Regulations</w:t>
        </w:r>
      </w:hyperlink>
      <w:r w:rsidR="00EB6A4C">
        <w:rPr>
          <w:rStyle w:val="Hyperlink"/>
          <w:szCs w:val="24"/>
        </w:rPr>
        <w:t xml:space="preserve"> Framework</w:t>
      </w:r>
      <w:r w:rsidR="00E0004F">
        <w:rPr>
          <w:szCs w:val="24"/>
        </w:rPr>
        <w:t>.</w:t>
      </w:r>
    </w:p>
    <w:p w:rsidRPr="00B2107E" w:rsidR="00D86C82" w:rsidP="00366C7E" w:rsidRDefault="00366C7E" w14:paraId="0F124412" w14:textId="3D8BD146">
      <w:pPr>
        <w:numPr>
          <w:ilvl w:val="0"/>
          <w:numId w:val="4"/>
        </w:numPr>
        <w:tabs>
          <w:tab w:val="clear" w:pos="360"/>
          <w:tab w:val="num" w:pos="993"/>
        </w:tabs>
        <w:ind w:left="993" w:hanging="426"/>
        <w:rPr>
          <w:szCs w:val="24"/>
        </w:rPr>
      </w:pPr>
      <w:r w:rsidRPr="00B2107E">
        <w:rPr>
          <w:szCs w:val="24"/>
        </w:rPr>
        <w:t>Monitoring</w:t>
      </w:r>
      <w:r w:rsidRPr="00B2107E" w:rsidR="00D86C82">
        <w:rPr>
          <w:szCs w:val="24"/>
        </w:rPr>
        <w:t xml:space="preserve"> assessment return rates in line with University requirements and setting deadlines for action and compliance where this is not the case (see the </w:t>
      </w:r>
      <w:hyperlink w:history="1" w:anchor="annex-6" r:id="rId16">
        <w:r w:rsidRPr="006B54CB" w:rsidR="00D86C82">
          <w:rPr>
            <w:rStyle w:val="Hyperlink"/>
            <w:szCs w:val="24"/>
          </w:rPr>
          <w:t xml:space="preserve">Credit Framework Annex 6: </w:t>
        </w:r>
        <w:r w:rsidRPr="006B54CB" w:rsidR="00D86C82">
          <w:rPr>
            <w:rStyle w:val="Hyperlink"/>
            <w:i/>
            <w:szCs w:val="24"/>
          </w:rPr>
          <w:t>Marking</w:t>
        </w:r>
        <w:r w:rsidRPr="006B54CB" w:rsidR="00D86C82">
          <w:rPr>
            <w:rStyle w:val="Hyperlink"/>
            <w:szCs w:val="24"/>
          </w:rPr>
          <w:t>, section 27</w:t>
        </w:r>
      </w:hyperlink>
      <w:r w:rsidR="00E0004F">
        <w:rPr>
          <w:szCs w:val="24"/>
        </w:rPr>
        <w:t>).</w:t>
      </w:r>
    </w:p>
    <w:p w:rsidRPr="00B2107E" w:rsidR="00D86C82" w:rsidP="00366C7E" w:rsidRDefault="00366C7E" w14:paraId="4ACA2FBE" w14:textId="1F61C706">
      <w:pPr>
        <w:numPr>
          <w:ilvl w:val="0"/>
          <w:numId w:val="5"/>
        </w:numPr>
        <w:tabs>
          <w:tab w:val="clear" w:pos="360"/>
          <w:tab w:val="num" w:pos="993"/>
        </w:tabs>
        <w:ind w:left="993" w:hanging="426"/>
        <w:rPr>
          <w:szCs w:val="24"/>
        </w:rPr>
      </w:pPr>
      <w:r w:rsidRPr="00B2107E">
        <w:rPr>
          <w:szCs w:val="24"/>
        </w:rPr>
        <w:t>Maintaining</w:t>
      </w:r>
      <w:r w:rsidRPr="00B2107E" w:rsidR="00D86C82">
        <w:rPr>
          <w:szCs w:val="24"/>
        </w:rPr>
        <w:t xml:space="preserve"> oversight of the standards and quality of modules and courses delivered and/ or assessed wholly or in part by associated partner providers through the provision of appropriate academic liaison, the consideration of relevant reports </w:t>
      </w:r>
      <w:bookmarkStart w:name="_Hlk50294444" w:id="17"/>
      <w:r w:rsidRPr="00B2107E" w:rsidR="00D86C82">
        <w:rPr>
          <w:szCs w:val="24"/>
        </w:rPr>
        <w:t>and setting targets for action and compliance where deficiencies are identified</w:t>
      </w:r>
      <w:bookmarkEnd w:id="17"/>
      <w:r w:rsidR="00E0004F">
        <w:rPr>
          <w:szCs w:val="24"/>
        </w:rPr>
        <w:t>.</w:t>
      </w:r>
      <w:r w:rsidRPr="00B2107E" w:rsidR="00D86C82">
        <w:rPr>
          <w:szCs w:val="24"/>
        </w:rPr>
        <w:t xml:space="preserve"> </w:t>
      </w:r>
    </w:p>
    <w:p w:rsidRPr="00B2107E" w:rsidR="00D86C82" w:rsidP="00366C7E" w:rsidRDefault="00366C7E" w14:paraId="4996779F" w14:textId="7E78BE51">
      <w:pPr>
        <w:numPr>
          <w:ilvl w:val="0"/>
          <w:numId w:val="5"/>
        </w:numPr>
        <w:tabs>
          <w:tab w:val="clear" w:pos="360"/>
          <w:tab w:val="num" w:pos="993"/>
        </w:tabs>
        <w:ind w:left="993" w:hanging="426"/>
        <w:rPr>
          <w:szCs w:val="24"/>
        </w:rPr>
      </w:pPr>
      <w:r w:rsidRPr="00B2107E">
        <w:rPr>
          <w:szCs w:val="24"/>
        </w:rPr>
        <w:t>Providing</w:t>
      </w:r>
      <w:r w:rsidRPr="00B2107E" w:rsidR="00D86C82">
        <w:rPr>
          <w:szCs w:val="24"/>
        </w:rPr>
        <w:t xml:space="preserve"> an environment which will encourage all students in the Division to flourish and achieve their potential</w:t>
      </w:r>
      <w:r w:rsidR="00E0004F">
        <w:rPr>
          <w:szCs w:val="24"/>
        </w:rPr>
        <w:t>.</w:t>
      </w:r>
    </w:p>
    <w:p w:rsidRPr="00B2107E" w:rsidR="00D86C82" w:rsidP="00366C7E" w:rsidRDefault="00366C7E" w14:paraId="2C77E24F" w14:textId="71B654AF">
      <w:pPr>
        <w:numPr>
          <w:ilvl w:val="0"/>
          <w:numId w:val="5"/>
        </w:numPr>
        <w:tabs>
          <w:tab w:val="clear" w:pos="360"/>
          <w:tab w:val="num" w:pos="993"/>
        </w:tabs>
        <w:ind w:left="993" w:hanging="426"/>
        <w:rPr>
          <w:szCs w:val="24"/>
        </w:rPr>
      </w:pPr>
      <w:bookmarkStart w:name="_Hlk50301710" w:id="18"/>
      <w:r w:rsidRPr="00B2107E">
        <w:rPr>
          <w:szCs w:val="24"/>
        </w:rPr>
        <w:t>Monitoring</w:t>
      </w:r>
      <w:r w:rsidRPr="00B2107E" w:rsidR="00D86C82">
        <w:rPr>
          <w:szCs w:val="24"/>
        </w:rPr>
        <w:t xml:space="preserve"> the effectiveness of the Divisional strategy for addressing various aspects of student success (retention, attainment gaps, etc.), and its contribution to University delivery of the Access and Participation Plan, and setting targets for action and compliance where deficiencies are identified</w:t>
      </w:r>
      <w:r w:rsidR="00E0004F">
        <w:rPr>
          <w:szCs w:val="24"/>
        </w:rPr>
        <w:t>.</w:t>
      </w:r>
    </w:p>
    <w:bookmarkEnd w:id="16"/>
    <w:p w:rsidRPr="00B2107E" w:rsidR="00D86C82" w:rsidP="00366C7E" w:rsidRDefault="00366C7E" w14:paraId="0E31B87C" w14:textId="1A68633F">
      <w:pPr>
        <w:numPr>
          <w:ilvl w:val="0"/>
          <w:numId w:val="5"/>
        </w:numPr>
        <w:tabs>
          <w:tab w:val="clear" w:pos="360"/>
          <w:tab w:val="num" w:pos="993"/>
        </w:tabs>
        <w:ind w:left="993" w:hanging="426"/>
        <w:rPr>
          <w:szCs w:val="24"/>
        </w:rPr>
      </w:pPr>
      <w:r w:rsidRPr="00B2107E">
        <w:rPr>
          <w:szCs w:val="24"/>
        </w:rPr>
        <w:t>Monitoring</w:t>
      </w:r>
      <w:r w:rsidRPr="00B2107E" w:rsidR="00D86C82">
        <w:rPr>
          <w:szCs w:val="24"/>
        </w:rPr>
        <w:t xml:space="preserve"> performance in relevant data and league tables throughout the year (e.g. NSS, Complete University Guide), gauging the effectiveness of strategies, plans, and short reports for delivering continuous improvement in these areas, and setting targets for action and compliance where deficiencies are identified</w:t>
      </w:r>
      <w:r w:rsidR="00E0004F">
        <w:rPr>
          <w:szCs w:val="24"/>
        </w:rPr>
        <w:t>.</w:t>
      </w:r>
    </w:p>
    <w:p w:rsidRPr="00B2107E" w:rsidR="00D86C82" w:rsidP="00366C7E" w:rsidRDefault="004C62BD" w14:paraId="247F20F9" w14:textId="1807C05B">
      <w:pPr>
        <w:numPr>
          <w:ilvl w:val="0"/>
          <w:numId w:val="5"/>
        </w:numPr>
        <w:tabs>
          <w:tab w:val="clear" w:pos="360"/>
          <w:tab w:val="num" w:pos="993"/>
        </w:tabs>
        <w:ind w:left="993" w:hanging="426"/>
        <w:rPr>
          <w:szCs w:val="24"/>
        </w:rPr>
      </w:pPr>
      <w:r w:rsidRPr="00B2107E">
        <w:rPr>
          <w:szCs w:val="24"/>
        </w:rPr>
        <w:t>Ensuring</w:t>
      </w:r>
      <w:r w:rsidRPr="00B2107E" w:rsidR="00D86C82">
        <w:rPr>
          <w:szCs w:val="24"/>
        </w:rPr>
        <w:t xml:space="preserve"> that all students in the Division are provided in good time with all appropriate information relating to their courses and modules (see </w:t>
      </w:r>
      <w:hyperlink w:history="1" w:anchor="annex-d" r:id="rId17">
        <w:r w:rsidRPr="00143986" w:rsidR="00D86C82">
          <w:rPr>
            <w:rStyle w:val="Hyperlink"/>
            <w:szCs w:val="24"/>
          </w:rPr>
          <w:t xml:space="preserve">Annex D: </w:t>
        </w:r>
        <w:r w:rsidRPr="00143986" w:rsidR="00D86C82">
          <w:rPr>
            <w:rStyle w:val="Hyperlink"/>
            <w:i/>
            <w:szCs w:val="24"/>
          </w:rPr>
          <w:t>Information to Students</w:t>
        </w:r>
      </w:hyperlink>
      <w:r w:rsidRPr="00B2107E" w:rsidR="00D86C82">
        <w:rPr>
          <w:szCs w:val="24"/>
        </w:rPr>
        <w:t>)</w:t>
      </w:r>
      <w:r w:rsidR="00E0004F">
        <w:rPr>
          <w:szCs w:val="24"/>
        </w:rPr>
        <w:t>.</w:t>
      </w:r>
    </w:p>
    <w:p w:rsidRPr="00B2107E" w:rsidR="00D86C82" w:rsidP="00366C7E" w:rsidRDefault="004C62BD" w14:paraId="3C20C593" w14:textId="2D4ACCBF">
      <w:pPr>
        <w:numPr>
          <w:ilvl w:val="0"/>
          <w:numId w:val="5"/>
        </w:numPr>
        <w:tabs>
          <w:tab w:val="clear" w:pos="360"/>
          <w:tab w:val="num" w:pos="993"/>
        </w:tabs>
        <w:ind w:left="993" w:hanging="426"/>
        <w:rPr>
          <w:szCs w:val="24"/>
        </w:rPr>
      </w:pPr>
      <w:r>
        <w:rPr>
          <w:szCs w:val="24"/>
        </w:rPr>
        <w:t>O</w:t>
      </w:r>
      <w:r w:rsidRPr="00B2107E" w:rsidR="00D86C82">
        <w:rPr>
          <w:szCs w:val="24"/>
        </w:rPr>
        <w:t xml:space="preserve">verseeing the annual monitoring of modules, courses and student progress, determining action to be taken as a consequence and reporting on these matters to EASC (University-level </w:t>
      </w:r>
      <w:r w:rsidRPr="004C62BD" w:rsidR="00D86C82">
        <w:rPr>
          <w:rStyle w:val="Strong"/>
          <w:b w:val="0"/>
          <w:szCs w:val="24"/>
        </w:rPr>
        <w:t>Education and Academic Standards Committee)</w:t>
      </w:r>
      <w:r w:rsidRPr="00B2107E" w:rsidR="00D86C82">
        <w:rPr>
          <w:rStyle w:val="Strong"/>
          <w:szCs w:val="24"/>
        </w:rPr>
        <w:t xml:space="preserve"> </w:t>
      </w:r>
      <w:r w:rsidRPr="00B2107E" w:rsidR="00D86C82">
        <w:rPr>
          <w:szCs w:val="24"/>
        </w:rPr>
        <w:t xml:space="preserve">(see </w:t>
      </w:r>
      <w:hyperlink w:history="1" w:anchor="annex-e" r:id="rId18">
        <w:r w:rsidRPr="00143986" w:rsidR="00D86C82">
          <w:rPr>
            <w:rStyle w:val="Hyperlink"/>
            <w:szCs w:val="24"/>
          </w:rPr>
          <w:t xml:space="preserve">Annex E: </w:t>
        </w:r>
        <w:r w:rsidRPr="00143986" w:rsidR="00D86C82">
          <w:rPr>
            <w:rStyle w:val="Hyperlink"/>
            <w:i/>
            <w:szCs w:val="24"/>
          </w:rPr>
          <w:t>Annual Monitoring</w:t>
        </w:r>
      </w:hyperlink>
      <w:r w:rsidRPr="00B2107E" w:rsidR="00D86C82">
        <w:rPr>
          <w:szCs w:val="24"/>
        </w:rPr>
        <w:t>)</w:t>
      </w:r>
      <w:r w:rsidR="00E0004F">
        <w:rPr>
          <w:szCs w:val="24"/>
        </w:rPr>
        <w:t>.</w:t>
      </w:r>
    </w:p>
    <w:p w:rsidRPr="00B2107E" w:rsidR="00D86C82" w:rsidP="00366C7E" w:rsidRDefault="004C62BD" w14:paraId="50487F6E" w14:textId="10A60DA9">
      <w:pPr>
        <w:numPr>
          <w:ilvl w:val="0"/>
          <w:numId w:val="5"/>
        </w:numPr>
        <w:tabs>
          <w:tab w:val="clear" w:pos="360"/>
          <w:tab w:val="num" w:pos="993"/>
        </w:tabs>
        <w:ind w:left="993" w:hanging="426"/>
        <w:rPr>
          <w:szCs w:val="24"/>
        </w:rPr>
      </w:pPr>
      <w:r w:rsidRPr="00B2107E">
        <w:rPr>
          <w:szCs w:val="24"/>
        </w:rPr>
        <w:t>Ensuring</w:t>
      </w:r>
      <w:r w:rsidRPr="00B2107E" w:rsidR="00D86C82">
        <w:rPr>
          <w:szCs w:val="24"/>
        </w:rPr>
        <w:t xml:space="preserve"> the Division’s portfolio of UG courses is fit for purpose and continues to satisfy the University requirements for success and sustainability, and setting targets for action and compliance where deficiencies are identified</w:t>
      </w:r>
      <w:r w:rsidR="00E0004F">
        <w:rPr>
          <w:szCs w:val="24"/>
        </w:rPr>
        <w:t>.</w:t>
      </w:r>
    </w:p>
    <w:p w:rsidRPr="00B2107E" w:rsidR="00D86C82" w:rsidP="00366C7E" w:rsidRDefault="004C62BD" w14:paraId="084D6F70" w14:textId="5B593CA8">
      <w:pPr>
        <w:numPr>
          <w:ilvl w:val="0"/>
          <w:numId w:val="5"/>
        </w:numPr>
        <w:tabs>
          <w:tab w:val="clear" w:pos="360"/>
          <w:tab w:val="num" w:pos="993"/>
        </w:tabs>
        <w:ind w:left="993" w:hanging="426"/>
        <w:rPr>
          <w:szCs w:val="24"/>
        </w:rPr>
      </w:pPr>
      <w:r w:rsidRPr="00B2107E">
        <w:rPr>
          <w:szCs w:val="24"/>
        </w:rPr>
        <w:t>Agreeing</w:t>
      </w:r>
      <w:r w:rsidRPr="00B2107E" w:rsidR="00D86C82">
        <w:rPr>
          <w:szCs w:val="24"/>
        </w:rPr>
        <w:t xml:space="preserve"> responses as proposed by Boards of Studies to the annual reports of </w:t>
      </w:r>
      <w:r>
        <w:rPr>
          <w:szCs w:val="24"/>
        </w:rPr>
        <w:t>E</w:t>
      </w:r>
      <w:r w:rsidRPr="00B2107E" w:rsidR="00D86C82">
        <w:rPr>
          <w:szCs w:val="24"/>
        </w:rPr>
        <w:t xml:space="preserve">xternal </w:t>
      </w:r>
      <w:r>
        <w:rPr>
          <w:szCs w:val="24"/>
        </w:rPr>
        <w:t>E</w:t>
      </w:r>
      <w:r w:rsidRPr="00B2107E" w:rsidR="00D86C82">
        <w:rPr>
          <w:szCs w:val="24"/>
        </w:rPr>
        <w:t xml:space="preserve">xaminers (see </w:t>
      </w:r>
      <w:hyperlink w:history="1" w:anchor="annex-e" r:id="rId19">
        <w:r w:rsidRPr="00143986" w:rsidR="00D86C82">
          <w:rPr>
            <w:rStyle w:val="Hyperlink"/>
            <w:szCs w:val="24"/>
          </w:rPr>
          <w:t xml:space="preserve">Annex E: </w:t>
        </w:r>
        <w:r w:rsidRPr="00143986" w:rsidR="00D86C82">
          <w:rPr>
            <w:rStyle w:val="Hyperlink"/>
            <w:i/>
            <w:szCs w:val="24"/>
          </w:rPr>
          <w:t>Annual Monitoring</w:t>
        </w:r>
      </w:hyperlink>
      <w:r w:rsidRPr="00B2107E" w:rsidR="00D86C82">
        <w:rPr>
          <w:szCs w:val="24"/>
        </w:rPr>
        <w:t xml:space="preserve">; and </w:t>
      </w:r>
      <w:hyperlink w:history="1" w:anchor="annex-k" r:id="rId20">
        <w:r w:rsidRPr="00143986" w:rsidR="00D86C82">
          <w:rPr>
            <w:rStyle w:val="Hyperlink"/>
            <w:szCs w:val="24"/>
          </w:rPr>
          <w:t xml:space="preserve">Annex K: </w:t>
        </w:r>
        <w:r w:rsidRPr="00143986" w:rsidR="00D86C82">
          <w:rPr>
            <w:rStyle w:val="Hyperlink"/>
            <w:i/>
            <w:szCs w:val="24"/>
          </w:rPr>
          <w:t>External Examiners</w:t>
        </w:r>
      </w:hyperlink>
      <w:r w:rsidRPr="00B2107E" w:rsidR="00D86C82">
        <w:rPr>
          <w:szCs w:val="24"/>
        </w:rPr>
        <w:t>)</w:t>
      </w:r>
      <w:r w:rsidR="00E0004F">
        <w:rPr>
          <w:szCs w:val="24"/>
        </w:rPr>
        <w:t>.</w:t>
      </w:r>
    </w:p>
    <w:bookmarkEnd w:id="18"/>
    <w:p w:rsidRPr="00B2107E" w:rsidR="00D86C82" w:rsidP="004C62BD" w:rsidRDefault="004C62BD" w14:paraId="1DB8D250" w14:textId="4795464D">
      <w:pPr>
        <w:numPr>
          <w:ilvl w:val="0"/>
          <w:numId w:val="6"/>
        </w:numPr>
        <w:tabs>
          <w:tab w:val="clear" w:pos="360"/>
          <w:tab w:val="num" w:pos="993"/>
        </w:tabs>
        <w:ind w:left="993" w:hanging="426"/>
        <w:rPr>
          <w:szCs w:val="24"/>
        </w:rPr>
      </w:pPr>
      <w:r w:rsidRPr="00B2107E">
        <w:rPr>
          <w:szCs w:val="24"/>
        </w:rPr>
        <w:t>Providing</w:t>
      </w:r>
      <w:r w:rsidRPr="00B2107E" w:rsidR="00D86C82">
        <w:rPr>
          <w:szCs w:val="24"/>
        </w:rPr>
        <w:t xml:space="preserve"> academic advice and support for their students (see </w:t>
      </w:r>
      <w:hyperlink w:history="1" w:anchor="annex-g" r:id="rId21">
        <w:r w:rsidRPr="00143986" w:rsidR="00D86C82">
          <w:rPr>
            <w:rStyle w:val="Hyperlink"/>
            <w:szCs w:val="24"/>
          </w:rPr>
          <w:t xml:space="preserve">Annex G: </w:t>
        </w:r>
        <w:r w:rsidRPr="00143986" w:rsidR="00D86C82">
          <w:rPr>
            <w:rStyle w:val="Hyperlink"/>
            <w:i/>
            <w:szCs w:val="24"/>
          </w:rPr>
          <w:t>Personal Academic Support System</w:t>
        </w:r>
      </w:hyperlink>
      <w:r w:rsidRPr="00B2107E" w:rsidR="00D86C82">
        <w:rPr>
          <w:szCs w:val="24"/>
        </w:rPr>
        <w:t>)</w:t>
      </w:r>
      <w:r w:rsidR="00E0004F">
        <w:rPr>
          <w:szCs w:val="24"/>
        </w:rPr>
        <w:t>.</w:t>
      </w:r>
    </w:p>
    <w:p w:rsidRPr="00B2107E" w:rsidR="00D86C82" w:rsidP="004C62BD" w:rsidRDefault="004C62BD" w14:paraId="56690A7F" w14:textId="0299D7DD">
      <w:pPr>
        <w:numPr>
          <w:ilvl w:val="0"/>
          <w:numId w:val="6"/>
        </w:numPr>
        <w:tabs>
          <w:tab w:val="clear" w:pos="360"/>
          <w:tab w:val="num" w:pos="993"/>
        </w:tabs>
        <w:ind w:left="993" w:hanging="426"/>
        <w:rPr>
          <w:szCs w:val="24"/>
        </w:rPr>
      </w:pPr>
      <w:r w:rsidRPr="00B2107E">
        <w:rPr>
          <w:szCs w:val="24"/>
        </w:rPr>
        <w:t>Obtaining</w:t>
      </w:r>
      <w:r w:rsidRPr="00B2107E" w:rsidR="00D86C82">
        <w:rPr>
          <w:szCs w:val="24"/>
        </w:rPr>
        <w:t xml:space="preserve">, considering and responding to the views of students on the </w:t>
      </w:r>
      <w:r>
        <w:rPr>
          <w:szCs w:val="24"/>
        </w:rPr>
        <w:t xml:space="preserve">undergraduate </w:t>
      </w:r>
      <w:r w:rsidRPr="00B2107E" w:rsidR="00D86C82">
        <w:rPr>
          <w:szCs w:val="24"/>
        </w:rPr>
        <w:t xml:space="preserve">education </w:t>
      </w:r>
      <w:r>
        <w:rPr>
          <w:szCs w:val="24"/>
        </w:rPr>
        <w:t xml:space="preserve">that </w:t>
      </w:r>
      <w:r w:rsidRPr="00B2107E" w:rsidR="00D86C82">
        <w:rPr>
          <w:szCs w:val="24"/>
        </w:rPr>
        <w:t xml:space="preserve">the Division provides (see </w:t>
      </w:r>
      <w:hyperlink w:history="1" w:anchor="annex-m" r:id="rId22">
        <w:r w:rsidRPr="00143986" w:rsidR="00D86C82">
          <w:rPr>
            <w:rStyle w:val="Hyperlink"/>
            <w:szCs w:val="24"/>
          </w:rPr>
          <w:t xml:space="preserve">Annex M: </w:t>
        </w:r>
        <w:r w:rsidRPr="00143986" w:rsidR="00D86C82">
          <w:rPr>
            <w:rStyle w:val="Hyperlink"/>
            <w:i/>
            <w:szCs w:val="24"/>
          </w:rPr>
          <w:t>Student Evaluation</w:t>
        </w:r>
      </w:hyperlink>
      <w:r w:rsidRPr="00B2107E" w:rsidR="00D86C82">
        <w:rPr>
          <w:szCs w:val="24"/>
        </w:rPr>
        <w:t>)</w:t>
      </w:r>
      <w:r w:rsidR="00E0004F">
        <w:rPr>
          <w:szCs w:val="24"/>
        </w:rPr>
        <w:t>.</w:t>
      </w:r>
    </w:p>
    <w:p w:rsidRPr="00B2107E" w:rsidR="00D86C82" w:rsidP="004C62BD" w:rsidRDefault="004C62BD" w14:paraId="16C49643" w14:textId="710C7EC5">
      <w:pPr>
        <w:numPr>
          <w:ilvl w:val="0"/>
          <w:numId w:val="6"/>
        </w:numPr>
        <w:tabs>
          <w:tab w:val="clear" w:pos="360"/>
          <w:tab w:val="num" w:pos="993"/>
        </w:tabs>
        <w:ind w:left="993" w:hanging="426"/>
        <w:rPr>
          <w:szCs w:val="24"/>
        </w:rPr>
      </w:pPr>
      <w:r w:rsidRPr="00B2107E">
        <w:rPr>
          <w:szCs w:val="24"/>
        </w:rPr>
        <w:t>Reflecting</w:t>
      </w:r>
      <w:r w:rsidRPr="00B2107E" w:rsidR="00D86C82">
        <w:rPr>
          <w:szCs w:val="24"/>
        </w:rPr>
        <w:t xml:space="preserve"> critically on the education </w:t>
      </w:r>
      <w:r>
        <w:rPr>
          <w:szCs w:val="24"/>
        </w:rPr>
        <w:t xml:space="preserve">that </w:t>
      </w:r>
      <w:r w:rsidRPr="00B2107E" w:rsidR="00D86C82">
        <w:rPr>
          <w:szCs w:val="24"/>
        </w:rPr>
        <w:t xml:space="preserve">they provide, in particular as part of internal periodic review (see Annex F: </w:t>
      </w:r>
      <w:r w:rsidRPr="00B2107E" w:rsidR="00D86C82">
        <w:rPr>
          <w:i/>
          <w:szCs w:val="24"/>
        </w:rPr>
        <w:t>Periodic Review</w:t>
      </w:r>
      <w:r w:rsidRPr="00B2107E" w:rsidR="00D86C82">
        <w:rPr>
          <w:szCs w:val="24"/>
        </w:rPr>
        <w:t>), in order to support quality enhancement and the dissemination of good practice</w:t>
      </w:r>
      <w:r w:rsidR="00E0004F">
        <w:rPr>
          <w:szCs w:val="24"/>
        </w:rPr>
        <w:t>.</w:t>
      </w:r>
    </w:p>
    <w:p w:rsidRPr="00B2107E" w:rsidR="00D86C82" w:rsidP="004C62BD" w:rsidRDefault="004C62BD" w14:paraId="0EC53FF1" w14:textId="64F0852B">
      <w:pPr>
        <w:numPr>
          <w:ilvl w:val="0"/>
          <w:numId w:val="8"/>
        </w:numPr>
        <w:tabs>
          <w:tab w:val="clear" w:pos="360"/>
          <w:tab w:val="num" w:pos="993"/>
        </w:tabs>
        <w:ind w:left="993" w:hanging="426"/>
        <w:rPr>
          <w:szCs w:val="24"/>
        </w:rPr>
      </w:pPr>
      <w:r w:rsidRPr="00B2107E">
        <w:rPr>
          <w:szCs w:val="24"/>
        </w:rPr>
        <w:t>Responding</w:t>
      </w:r>
      <w:r w:rsidRPr="00B2107E" w:rsidR="00D86C82">
        <w:rPr>
          <w:szCs w:val="24"/>
        </w:rPr>
        <w:t xml:space="preserve"> to the reports of internal periodic course review panels (Annex F: </w:t>
      </w:r>
      <w:r w:rsidRPr="00B2107E" w:rsidR="00D86C82">
        <w:rPr>
          <w:i/>
          <w:szCs w:val="24"/>
        </w:rPr>
        <w:t>Periodic Review</w:t>
      </w:r>
      <w:r w:rsidRPr="00B2107E" w:rsidR="00D86C82">
        <w:rPr>
          <w:szCs w:val="24"/>
        </w:rPr>
        <w:t>) and the reports of any relevant PSRB; in consultation with relevant colleagues in the Division, and setting targets for action and compliance where deficiencies are identified</w:t>
      </w:r>
      <w:r w:rsidR="00E0004F">
        <w:rPr>
          <w:szCs w:val="24"/>
        </w:rPr>
        <w:t>.</w:t>
      </w:r>
    </w:p>
    <w:p w:rsidR="00D86C82" w:rsidP="004C62BD" w:rsidRDefault="004C62BD" w14:paraId="4032AB7C" w14:textId="0CD797CE">
      <w:pPr>
        <w:numPr>
          <w:ilvl w:val="0"/>
          <w:numId w:val="8"/>
        </w:numPr>
        <w:tabs>
          <w:tab w:val="clear" w:pos="360"/>
          <w:tab w:val="num" w:pos="993"/>
        </w:tabs>
        <w:ind w:left="993" w:hanging="426"/>
        <w:rPr>
          <w:szCs w:val="24"/>
        </w:rPr>
      </w:pPr>
      <w:bookmarkStart w:name="_Hlk50453077" w:id="19"/>
      <w:r>
        <w:rPr>
          <w:szCs w:val="24"/>
        </w:rPr>
        <w:t>Noting</w:t>
      </w:r>
      <w:r w:rsidRPr="00B2107E" w:rsidR="00D86C82">
        <w:rPr>
          <w:szCs w:val="24"/>
        </w:rPr>
        <w:t xml:space="preserve"> the outcome of applications for the award of credit by the Chair (for the courses of partners) or by Boards of Studies (for their courses) under the University’s arrangements for the Recognition of Prior Learning (Annex R) and report on these annually in the Autumn Term to the University’s Education and Academic Standards Committee</w:t>
      </w:r>
      <w:r w:rsidR="00E0004F">
        <w:rPr>
          <w:szCs w:val="24"/>
        </w:rPr>
        <w:t>.</w:t>
      </w:r>
      <w:r w:rsidRPr="00B2107E" w:rsidR="00D86C82">
        <w:rPr>
          <w:szCs w:val="24"/>
        </w:rPr>
        <w:t xml:space="preserve"> </w:t>
      </w:r>
    </w:p>
    <w:p w:rsidRPr="00B2107E" w:rsidR="00301353" w:rsidP="00301353" w:rsidRDefault="00301353" w14:paraId="2FFEA83C" w14:textId="6CDE9989">
      <w:pPr>
        <w:numPr>
          <w:ilvl w:val="0"/>
          <w:numId w:val="8"/>
        </w:numPr>
        <w:tabs>
          <w:tab w:val="clear" w:pos="360"/>
          <w:tab w:val="num" w:pos="927"/>
        </w:tabs>
        <w:ind w:left="927"/>
        <w:rPr>
          <w:szCs w:val="24"/>
        </w:rPr>
      </w:pPr>
      <w:r>
        <w:rPr>
          <w:szCs w:val="24"/>
        </w:rPr>
        <w:t>S</w:t>
      </w:r>
      <w:r w:rsidRPr="00B2107E">
        <w:rPr>
          <w:szCs w:val="24"/>
        </w:rPr>
        <w:t>upport</w:t>
      </w:r>
      <w:r>
        <w:rPr>
          <w:szCs w:val="24"/>
        </w:rPr>
        <w:t>ing</w:t>
      </w:r>
      <w:r w:rsidRPr="00B2107E">
        <w:rPr>
          <w:szCs w:val="24"/>
        </w:rPr>
        <w:t xml:space="preserve"> the development of Divisional strategy/work aimed at addressing employability and graduate outcomes, in order to ensure congruence with the University’s Student Employability Strategy</w:t>
      </w:r>
      <w:r>
        <w:rPr>
          <w:szCs w:val="24"/>
        </w:rPr>
        <w:t>.</w:t>
      </w:r>
      <w:r w:rsidRPr="00B2107E">
        <w:rPr>
          <w:szCs w:val="24"/>
        </w:rPr>
        <w:t xml:space="preserve"> </w:t>
      </w:r>
      <w:r>
        <w:rPr>
          <w:szCs w:val="24"/>
        </w:rPr>
        <w:t xml:space="preserve"> </w:t>
      </w:r>
    </w:p>
    <w:p w:rsidRPr="00B2107E" w:rsidR="00301353" w:rsidP="00301353" w:rsidRDefault="00301353" w14:paraId="45E76705" w14:textId="77777777">
      <w:pPr>
        <w:ind w:left="993" w:firstLine="0"/>
        <w:rPr>
          <w:szCs w:val="24"/>
        </w:rPr>
      </w:pPr>
    </w:p>
    <w:p w:rsidRPr="00B2107E" w:rsidR="00D86C82" w:rsidP="004C62BD" w:rsidRDefault="004C62BD" w14:paraId="72E990F5" w14:textId="6F31CE0A">
      <w:pPr>
        <w:numPr>
          <w:ilvl w:val="0"/>
          <w:numId w:val="8"/>
        </w:numPr>
        <w:tabs>
          <w:tab w:val="clear" w:pos="360"/>
          <w:tab w:val="num" w:pos="993"/>
        </w:tabs>
        <w:ind w:left="993" w:hanging="426"/>
        <w:rPr>
          <w:szCs w:val="24"/>
        </w:rPr>
      </w:pPr>
      <w:r w:rsidRPr="00B2107E">
        <w:rPr>
          <w:szCs w:val="24"/>
        </w:rPr>
        <w:t>Hearing</w:t>
      </w:r>
      <w:r w:rsidRPr="00B2107E" w:rsidR="00D86C82">
        <w:rPr>
          <w:szCs w:val="24"/>
        </w:rPr>
        <w:t xml:space="preserve"> serious quality concerns and appropriately escalating them to the relevant departments/individuals within the University</w:t>
      </w:r>
      <w:r w:rsidR="00E0004F">
        <w:rPr>
          <w:szCs w:val="24"/>
        </w:rPr>
        <w:t>.</w:t>
      </w:r>
    </w:p>
    <w:p w:rsidR="00D86C82" w:rsidP="004C62BD" w:rsidRDefault="004C62BD" w14:paraId="056AE9D7" w14:textId="20F413BE">
      <w:pPr>
        <w:numPr>
          <w:ilvl w:val="0"/>
          <w:numId w:val="7"/>
        </w:numPr>
        <w:tabs>
          <w:tab w:val="clear" w:pos="360"/>
          <w:tab w:val="num" w:pos="936"/>
          <w:tab w:val="num" w:pos="993"/>
        </w:tabs>
        <w:ind w:left="993" w:hanging="426"/>
        <w:rPr>
          <w:szCs w:val="24"/>
        </w:rPr>
      </w:pPr>
      <w:r w:rsidRPr="00B2107E">
        <w:rPr>
          <w:szCs w:val="24"/>
        </w:rPr>
        <w:t>Acting</w:t>
      </w:r>
      <w:r w:rsidRPr="00B2107E" w:rsidR="00D86C82">
        <w:rPr>
          <w:szCs w:val="24"/>
        </w:rPr>
        <w:t xml:space="preserve"> upon the decisions of the Education and Student Experience Board.</w:t>
      </w:r>
    </w:p>
    <w:p w:rsidRPr="00BD59F7" w:rsidR="009C4A41" w:rsidP="004C62BD" w:rsidRDefault="009C4A41" w14:paraId="5D0BBD32" w14:textId="5953F981">
      <w:pPr>
        <w:pStyle w:val="Heading2"/>
        <w:numPr>
          <w:ilvl w:val="0"/>
          <w:numId w:val="21"/>
        </w:numPr>
        <w:ind w:left="567" w:hanging="567"/>
        <w:rPr>
          <w:rFonts w:cs="Arial"/>
          <w:szCs w:val="24"/>
        </w:rPr>
      </w:pPr>
      <w:bookmarkStart w:name="_Toc114559015" w:id="20"/>
      <w:bookmarkStart w:name="_Hlk50302030" w:id="21"/>
      <w:bookmarkEnd w:id="19"/>
      <w:r w:rsidRPr="00BD59F7">
        <w:rPr>
          <w:rFonts w:cs="Arial"/>
          <w:szCs w:val="24"/>
        </w:rPr>
        <w:t>Divisional Quality and Standards Sub-Committee (DQSSC)</w:t>
      </w:r>
      <w:bookmarkEnd w:id="20"/>
    </w:p>
    <w:p w:rsidRPr="00B2107E" w:rsidR="00D86C82" w:rsidP="004C62BD" w:rsidRDefault="00D86C82" w14:paraId="28EB1138" w14:textId="44F52196">
      <w:pPr>
        <w:tabs>
          <w:tab w:val="num" w:pos="1418"/>
        </w:tabs>
        <w:ind w:left="567" w:firstLine="0"/>
        <w:rPr>
          <w:szCs w:val="24"/>
        </w:rPr>
      </w:pPr>
      <w:r w:rsidRPr="00B2107E">
        <w:rPr>
          <w:szCs w:val="24"/>
        </w:rPr>
        <w:t>Divisions may establish a Divisi</w:t>
      </w:r>
      <w:r w:rsidR="004C62BD">
        <w:rPr>
          <w:szCs w:val="24"/>
        </w:rPr>
        <w:t>onal Quality and Standards Sub-c</w:t>
      </w:r>
      <w:r w:rsidRPr="00B2107E">
        <w:rPr>
          <w:szCs w:val="24"/>
        </w:rPr>
        <w:t xml:space="preserve">ommittee of the DESEC to which are remitted some of the operational quality assurance tasks set out at </w:t>
      </w:r>
      <w:r w:rsidR="00A01AEE">
        <w:rPr>
          <w:szCs w:val="24"/>
        </w:rPr>
        <w:t>2</w:t>
      </w:r>
      <w:r w:rsidRPr="00B2107E">
        <w:rPr>
          <w:szCs w:val="24"/>
        </w:rPr>
        <w:t>.5 above to be carried out on behalf of the DESEC. Where this happens, the following protocols must be observed</w:t>
      </w:r>
      <w:r w:rsidR="00E0004F">
        <w:rPr>
          <w:szCs w:val="24"/>
        </w:rPr>
        <w:t>.</w:t>
      </w:r>
    </w:p>
    <w:p w:rsidRPr="00B2107E" w:rsidR="00D86C82" w:rsidP="004C62BD" w:rsidRDefault="00D86C82" w14:paraId="5D006231" w14:textId="592CE28D">
      <w:pPr>
        <w:pStyle w:val="ListParagraph"/>
        <w:numPr>
          <w:ilvl w:val="0"/>
          <w:numId w:val="15"/>
        </w:numPr>
        <w:tabs>
          <w:tab w:val="num" w:pos="993"/>
        </w:tabs>
        <w:spacing w:after="120"/>
        <w:ind w:left="993" w:hanging="426"/>
        <w:contextualSpacing w:val="0"/>
        <w:rPr>
          <w:rFonts w:ascii="Arial" w:hAnsi="Arial" w:cs="Arial"/>
          <w:sz w:val="24"/>
          <w:szCs w:val="24"/>
        </w:rPr>
      </w:pPr>
      <w:r w:rsidRPr="00B2107E">
        <w:rPr>
          <w:rFonts w:ascii="Arial" w:hAnsi="Arial" w:cs="Arial"/>
          <w:sz w:val="24"/>
          <w:szCs w:val="24"/>
        </w:rPr>
        <w:t>The Divisional Quality and Standards Sub-Committee (DQSSC) has a set of terms of reference, agreed by the DESEC, which state the tasks that it will undertake on the senior committees’ behalf</w:t>
      </w:r>
      <w:r w:rsidR="00E0004F">
        <w:rPr>
          <w:rFonts w:ascii="Arial" w:hAnsi="Arial" w:cs="Arial"/>
          <w:sz w:val="24"/>
          <w:szCs w:val="24"/>
        </w:rPr>
        <w:t>.</w:t>
      </w:r>
    </w:p>
    <w:p w:rsidRPr="00B2107E" w:rsidR="00D86C82" w:rsidP="004C62BD" w:rsidRDefault="00D86C82" w14:paraId="72C3CB43" w14:textId="46595D24">
      <w:pPr>
        <w:pStyle w:val="ListParagraph"/>
        <w:numPr>
          <w:ilvl w:val="0"/>
          <w:numId w:val="15"/>
        </w:numPr>
        <w:tabs>
          <w:tab w:val="num" w:pos="993"/>
        </w:tabs>
        <w:spacing w:after="120"/>
        <w:ind w:left="993" w:hanging="426"/>
        <w:contextualSpacing w:val="0"/>
        <w:rPr>
          <w:rFonts w:ascii="Arial" w:hAnsi="Arial" w:cs="Arial"/>
          <w:sz w:val="24"/>
          <w:szCs w:val="24"/>
        </w:rPr>
      </w:pPr>
      <w:r w:rsidRPr="00B2107E">
        <w:rPr>
          <w:rFonts w:ascii="Arial" w:hAnsi="Arial" w:cs="Arial"/>
          <w:sz w:val="24"/>
          <w:szCs w:val="24"/>
        </w:rPr>
        <w:t>The Chair of the DESEC will also be Chair of the DQSSC</w:t>
      </w:r>
      <w:r w:rsidR="00E0004F">
        <w:rPr>
          <w:rFonts w:ascii="Arial" w:hAnsi="Arial" w:cs="Arial"/>
          <w:sz w:val="24"/>
          <w:szCs w:val="24"/>
        </w:rPr>
        <w:t>.</w:t>
      </w:r>
    </w:p>
    <w:p w:rsidRPr="00B2107E" w:rsidR="00D86C82" w:rsidP="004C62BD" w:rsidRDefault="00D86C82" w14:paraId="5C59C4E5" w14:textId="3E02DD9D">
      <w:pPr>
        <w:pStyle w:val="ListParagraph"/>
        <w:numPr>
          <w:ilvl w:val="0"/>
          <w:numId w:val="15"/>
        </w:numPr>
        <w:tabs>
          <w:tab w:val="num" w:pos="993"/>
        </w:tabs>
        <w:spacing w:after="120"/>
        <w:ind w:left="993" w:hanging="426"/>
        <w:contextualSpacing w:val="0"/>
        <w:rPr>
          <w:rFonts w:ascii="Arial" w:hAnsi="Arial" w:cs="Arial"/>
          <w:sz w:val="24"/>
          <w:szCs w:val="24"/>
        </w:rPr>
      </w:pPr>
      <w:r w:rsidRPr="00B2107E">
        <w:rPr>
          <w:rFonts w:ascii="Arial" w:hAnsi="Arial" w:cs="Arial"/>
          <w:sz w:val="24"/>
          <w:szCs w:val="24"/>
        </w:rPr>
        <w:t>The DQSQC will report to the DESEC on all of the matters that it has considered on its behalf and will make recommendations for action as appropriate</w:t>
      </w:r>
      <w:r w:rsidR="00E0004F">
        <w:rPr>
          <w:rFonts w:ascii="Arial" w:hAnsi="Arial" w:cs="Arial"/>
          <w:sz w:val="24"/>
          <w:szCs w:val="24"/>
        </w:rPr>
        <w:t>.</w:t>
      </w:r>
    </w:p>
    <w:p w:rsidRPr="00B2107E" w:rsidR="00D86C82" w:rsidP="004C62BD" w:rsidRDefault="00D86C82" w14:paraId="7AE37342" w14:textId="66B13E72">
      <w:pPr>
        <w:pStyle w:val="ListParagraph"/>
        <w:numPr>
          <w:ilvl w:val="0"/>
          <w:numId w:val="15"/>
        </w:numPr>
        <w:tabs>
          <w:tab w:val="num" w:pos="993"/>
        </w:tabs>
        <w:spacing w:after="120"/>
        <w:ind w:left="993" w:hanging="426"/>
        <w:contextualSpacing w:val="0"/>
        <w:rPr>
          <w:rFonts w:ascii="Arial" w:hAnsi="Arial" w:cs="Arial"/>
          <w:sz w:val="24"/>
          <w:szCs w:val="24"/>
        </w:rPr>
      </w:pPr>
      <w:r w:rsidRPr="00B2107E">
        <w:rPr>
          <w:rFonts w:ascii="Arial" w:hAnsi="Arial" w:cs="Arial"/>
          <w:sz w:val="24"/>
          <w:szCs w:val="24"/>
        </w:rPr>
        <w:t xml:space="preserve">The DESEC retains responsibility and accountability for all of the </w:t>
      </w:r>
      <w:r w:rsidR="00D15A40">
        <w:rPr>
          <w:rFonts w:ascii="Arial" w:hAnsi="Arial" w:cs="Arial"/>
          <w:sz w:val="24"/>
          <w:szCs w:val="24"/>
        </w:rPr>
        <w:t xml:space="preserve">matters </w:t>
      </w:r>
      <w:r w:rsidRPr="00B2107E">
        <w:rPr>
          <w:rFonts w:ascii="Arial" w:hAnsi="Arial" w:cs="Arial"/>
          <w:sz w:val="24"/>
          <w:szCs w:val="24"/>
        </w:rPr>
        <w:t>considered by the DQSSC on its behalf.</w:t>
      </w:r>
    </w:p>
    <w:p w:rsidRPr="00B2107E" w:rsidR="00D86C82" w:rsidP="004C62BD" w:rsidRDefault="00D86C82" w14:paraId="02C9A4AA" w14:textId="77777777">
      <w:pPr>
        <w:pStyle w:val="ListParagraph"/>
        <w:numPr>
          <w:ilvl w:val="0"/>
          <w:numId w:val="15"/>
        </w:numPr>
        <w:tabs>
          <w:tab w:val="num" w:pos="993"/>
        </w:tabs>
        <w:spacing w:after="120"/>
        <w:ind w:left="993" w:hanging="426"/>
        <w:contextualSpacing w:val="0"/>
        <w:rPr>
          <w:rFonts w:ascii="Arial" w:hAnsi="Arial" w:cs="Arial"/>
          <w:sz w:val="24"/>
          <w:szCs w:val="24"/>
        </w:rPr>
      </w:pPr>
      <w:r w:rsidRPr="00B2107E">
        <w:rPr>
          <w:rFonts w:ascii="Arial" w:hAnsi="Arial" w:cs="Arial"/>
          <w:sz w:val="24"/>
          <w:szCs w:val="24"/>
        </w:rPr>
        <w:t xml:space="preserve">Membership of the DQSQC will be drawn from relevant Boards of Studies within the Division, student support managers and student representatives </w:t>
      </w:r>
      <w:r w:rsidRPr="00B2107E">
        <w:rPr>
          <w:rFonts w:ascii="Arial" w:hAnsi="Arial" w:cs="Arial"/>
          <w:sz w:val="24"/>
          <w:szCs w:val="24"/>
        </w:rPr>
        <w:t>from the courses that fall under its remit. A member of the QACO should be invited to attend meeting of the Board of Studies in an advisory capacity.</w:t>
      </w:r>
    </w:p>
    <w:p w:rsidRPr="009C64CB" w:rsidR="00D15A40" w:rsidP="004C62BD" w:rsidRDefault="00D15A40" w14:paraId="15A95BDF" w14:textId="2E75D153">
      <w:pPr>
        <w:pStyle w:val="Heading3"/>
        <w:numPr>
          <w:ilvl w:val="0"/>
          <w:numId w:val="23"/>
        </w:numPr>
        <w:ind w:left="851" w:hanging="851"/>
        <w:rPr>
          <w:rFonts w:cs="Arial"/>
        </w:rPr>
      </w:pPr>
      <w:bookmarkStart w:name="_Toc114559016" w:id="22"/>
      <w:r w:rsidRPr="009C64CB">
        <w:rPr>
          <w:rFonts w:cs="Arial"/>
        </w:rPr>
        <w:t>Divisi</w:t>
      </w:r>
      <w:r w:rsidR="004C62BD">
        <w:rPr>
          <w:rFonts w:cs="Arial"/>
        </w:rPr>
        <w:t>onal Quality and Standards Sub-c</w:t>
      </w:r>
      <w:r w:rsidRPr="009C64CB">
        <w:rPr>
          <w:rFonts w:cs="Arial"/>
        </w:rPr>
        <w:t>ommittee</w:t>
      </w:r>
      <w:bookmarkEnd w:id="22"/>
    </w:p>
    <w:p w:rsidRPr="00B2107E" w:rsidR="00D86C82" w:rsidP="004C62BD" w:rsidRDefault="00D86C82" w14:paraId="0CBEC0A3" w14:textId="0C05BD3D">
      <w:pPr>
        <w:tabs>
          <w:tab w:val="num" w:pos="1701"/>
        </w:tabs>
        <w:ind w:left="851" w:firstLine="0"/>
        <w:rPr>
          <w:szCs w:val="24"/>
        </w:rPr>
      </w:pPr>
      <w:r w:rsidRPr="00B2107E">
        <w:rPr>
          <w:szCs w:val="24"/>
        </w:rPr>
        <w:t xml:space="preserve">Divisions may elect to establish a single DQSQC to which are remitted operational tasks relevant to the quality assurance of the student experience of both UG and PGT courses. Where this is the case the extent of the sub-committee’s remit will be clearly stated in the terms of reference. The role of Chair may be shared by the Chair of the DESEC and the Chair of the Divisional Graduate Studies and Student Experience Committee, or may be assigned to either one. Membership should be drawn representatively from the same constituencies as for the UG and PGT committees but will be sufficient in number to ensure that academic representation covers both the UG and PGT course portfolios. The sub-committee will report the appropriate Divisional parent committee on all relevant business. </w:t>
      </w:r>
    </w:p>
    <w:p w:rsidRPr="00F438F4" w:rsidR="00D86C82" w:rsidP="00FF0521" w:rsidRDefault="00D86C82" w14:paraId="0CF0ED82" w14:textId="77777777">
      <w:pPr>
        <w:pStyle w:val="Heading1"/>
        <w:numPr>
          <w:ilvl w:val="0"/>
          <w:numId w:val="0"/>
        </w:numPr>
        <w:ind w:left="567"/>
      </w:pPr>
    </w:p>
    <w:p w:rsidRPr="00475A51" w:rsidR="00D86C82" w:rsidP="00FF0521" w:rsidRDefault="00D86C82" w14:paraId="11D458DB" w14:textId="14F518D9">
      <w:pPr>
        <w:pStyle w:val="Heading1"/>
      </w:pPr>
      <w:bookmarkStart w:name="_Toc114559017" w:id="23"/>
      <w:r w:rsidRPr="00475A51">
        <w:t>Directors of Studies and Boards of Studies</w:t>
      </w:r>
      <w:bookmarkEnd w:id="23"/>
    </w:p>
    <w:p w:rsidRPr="001F7E70" w:rsidR="00934CA0" w:rsidP="004C62BD" w:rsidRDefault="00982B64" w14:paraId="54E3A5BA" w14:textId="1CD69192">
      <w:pPr>
        <w:pStyle w:val="Heading2"/>
        <w:numPr>
          <w:ilvl w:val="0"/>
          <w:numId w:val="24"/>
        </w:numPr>
        <w:ind w:left="567" w:hanging="567"/>
        <w:rPr>
          <w:rFonts w:cs="Arial"/>
          <w:szCs w:val="24"/>
        </w:rPr>
      </w:pPr>
      <w:bookmarkStart w:name="_Toc114559018" w:id="24"/>
      <w:r w:rsidRPr="001F7E70">
        <w:rPr>
          <w:rFonts w:cs="Arial"/>
          <w:szCs w:val="24"/>
        </w:rPr>
        <w:t xml:space="preserve">Divisional </w:t>
      </w:r>
      <w:r w:rsidR="004C62BD">
        <w:rPr>
          <w:rFonts w:cs="Arial"/>
          <w:szCs w:val="24"/>
        </w:rPr>
        <w:t>Responsibilities i</w:t>
      </w:r>
      <w:r w:rsidRPr="001F7E70" w:rsidR="004C62BD">
        <w:rPr>
          <w:rFonts w:cs="Arial"/>
          <w:szCs w:val="24"/>
        </w:rPr>
        <w:t xml:space="preserve">n Determining </w:t>
      </w:r>
      <w:r w:rsidR="004C62BD">
        <w:rPr>
          <w:rFonts w:cs="Arial"/>
          <w:szCs w:val="24"/>
        </w:rPr>
        <w:t>Appropriate Number o</w:t>
      </w:r>
      <w:r w:rsidRPr="001F7E70" w:rsidR="004C62BD">
        <w:rPr>
          <w:rFonts w:cs="Arial"/>
          <w:szCs w:val="24"/>
        </w:rPr>
        <w:t xml:space="preserve">f </w:t>
      </w:r>
      <w:r w:rsidRPr="001F7E70">
        <w:rPr>
          <w:rFonts w:cs="Arial"/>
          <w:szCs w:val="24"/>
        </w:rPr>
        <w:t xml:space="preserve">Directors </w:t>
      </w:r>
      <w:r w:rsidRPr="001F7E70" w:rsidR="004C62BD">
        <w:rPr>
          <w:rFonts w:cs="Arial"/>
          <w:szCs w:val="24"/>
        </w:rPr>
        <w:t xml:space="preserve">Of </w:t>
      </w:r>
      <w:r w:rsidRPr="001F7E70">
        <w:rPr>
          <w:rFonts w:cs="Arial"/>
          <w:szCs w:val="24"/>
        </w:rPr>
        <w:t>Studies</w:t>
      </w:r>
      <w:r w:rsidR="004C62BD">
        <w:rPr>
          <w:rFonts w:cs="Arial"/>
          <w:szCs w:val="24"/>
        </w:rPr>
        <w:t>/</w:t>
      </w:r>
      <w:r w:rsidRPr="001F7E70">
        <w:rPr>
          <w:rFonts w:cs="Arial"/>
          <w:szCs w:val="24"/>
        </w:rPr>
        <w:t xml:space="preserve">Board </w:t>
      </w:r>
      <w:r w:rsidR="004C62BD">
        <w:rPr>
          <w:rFonts w:cs="Arial"/>
          <w:szCs w:val="24"/>
        </w:rPr>
        <w:t>o</w:t>
      </w:r>
      <w:r w:rsidRPr="001F7E70" w:rsidR="004C62BD">
        <w:rPr>
          <w:rFonts w:cs="Arial"/>
          <w:szCs w:val="24"/>
        </w:rPr>
        <w:t xml:space="preserve">f </w:t>
      </w:r>
      <w:r w:rsidRPr="001F7E70">
        <w:rPr>
          <w:rFonts w:cs="Arial"/>
          <w:szCs w:val="24"/>
        </w:rPr>
        <w:t xml:space="preserve">Studies </w:t>
      </w:r>
      <w:r w:rsidR="004C62BD">
        <w:rPr>
          <w:rFonts w:cs="Arial"/>
          <w:szCs w:val="24"/>
        </w:rPr>
        <w:t>a</w:t>
      </w:r>
      <w:r w:rsidRPr="001F7E70" w:rsidR="004C62BD">
        <w:rPr>
          <w:rFonts w:cs="Arial"/>
          <w:szCs w:val="24"/>
        </w:rPr>
        <w:t>re Appointed</w:t>
      </w:r>
      <w:bookmarkEnd w:id="24"/>
      <w:r w:rsidRPr="001F7E70" w:rsidR="004C62BD">
        <w:rPr>
          <w:rFonts w:cs="Arial"/>
          <w:szCs w:val="24"/>
        </w:rPr>
        <w:t xml:space="preserve"> </w:t>
      </w:r>
    </w:p>
    <w:p w:rsidR="00D86C82" w:rsidP="004C62BD" w:rsidRDefault="00D86C82" w14:paraId="1A617C77" w14:textId="2BD086E3">
      <w:pPr>
        <w:ind w:left="567" w:firstLine="0"/>
        <w:rPr>
          <w:szCs w:val="24"/>
        </w:rPr>
      </w:pPr>
      <w:r w:rsidRPr="00B2107E">
        <w:rPr>
          <w:szCs w:val="24"/>
        </w:rPr>
        <w:t>For each UG course or group of UG courses</w:t>
      </w:r>
      <w:r w:rsidRPr="00B2107E">
        <w:rPr>
          <w:rStyle w:val="FootnoteReference"/>
          <w:szCs w:val="24"/>
        </w:rPr>
        <w:footnoteReference w:id="4"/>
      </w:r>
      <w:r w:rsidRPr="00B2107E">
        <w:rPr>
          <w:szCs w:val="24"/>
        </w:rPr>
        <w:t xml:space="preserve">, there will be a Director of Studies with responsibility for </w:t>
      </w:r>
      <w:r w:rsidRPr="00B2107E" w:rsidR="00EB5661">
        <w:rPr>
          <w:szCs w:val="24"/>
        </w:rPr>
        <w:t>day-to-day</w:t>
      </w:r>
      <w:r w:rsidRPr="00B2107E">
        <w:rPr>
          <w:szCs w:val="24"/>
        </w:rPr>
        <w:t xml:space="preserve"> quality management of such courses or groups of courses and to consider and report on the matters set out at </w:t>
      </w:r>
      <w:r w:rsidR="00A01AEE">
        <w:rPr>
          <w:szCs w:val="24"/>
        </w:rPr>
        <w:t>3</w:t>
      </w:r>
      <w:r w:rsidRPr="00B2107E">
        <w:rPr>
          <w:szCs w:val="24"/>
        </w:rPr>
        <w:t>.6 below. Where all of the UG courses offered by a Division constitute a single group of courses, there may be a single Director of Studies for the Division.</w:t>
      </w:r>
      <w:r w:rsidRPr="00B2107E">
        <w:rPr>
          <w:rStyle w:val="FootnoteReference"/>
          <w:szCs w:val="24"/>
        </w:rPr>
        <w:footnoteReference w:id="5"/>
      </w:r>
      <w:r w:rsidRPr="00B2107E">
        <w:rPr>
          <w:szCs w:val="24"/>
        </w:rPr>
        <w:t xml:space="preserve"> Where a Division holds responsibility for teaching in a number of disparate subjects, it may be appropriate for there to be several </w:t>
      </w:r>
      <w:r w:rsidR="00302EDE">
        <w:rPr>
          <w:szCs w:val="24"/>
        </w:rPr>
        <w:t>Directors of Studies</w:t>
      </w:r>
      <w:r w:rsidR="00EB6A4C">
        <w:rPr>
          <w:szCs w:val="24"/>
        </w:rPr>
        <w:t xml:space="preserve"> whose purview is to carry out the responsibilities attached to the role by this annex</w:t>
      </w:r>
      <w:r w:rsidR="00A43D89">
        <w:rPr>
          <w:szCs w:val="24"/>
        </w:rPr>
        <w:t xml:space="preserve">.  </w:t>
      </w:r>
      <w:r w:rsidR="00666EAA">
        <w:rPr>
          <w:szCs w:val="24"/>
        </w:rPr>
        <w:t>In addition, w</w:t>
      </w:r>
      <w:r w:rsidR="00415084">
        <w:rPr>
          <w:szCs w:val="24"/>
        </w:rPr>
        <w:t xml:space="preserve">here a Division </w:t>
      </w:r>
      <w:r w:rsidR="00893920">
        <w:rPr>
          <w:szCs w:val="24"/>
        </w:rPr>
        <w:t>considers it appropriate, for example, with re</w:t>
      </w:r>
      <w:r w:rsidR="00BF53F2">
        <w:rPr>
          <w:szCs w:val="24"/>
        </w:rPr>
        <w:t xml:space="preserve">gard to </w:t>
      </w:r>
      <w:r w:rsidR="00794069">
        <w:rPr>
          <w:szCs w:val="24"/>
        </w:rPr>
        <w:t xml:space="preserve">large courses, it may decide to </w:t>
      </w:r>
      <w:r w:rsidR="00A023B7">
        <w:rPr>
          <w:szCs w:val="24"/>
        </w:rPr>
        <w:t xml:space="preserve">appoint </w:t>
      </w:r>
      <w:r w:rsidR="00CB5CA1">
        <w:rPr>
          <w:szCs w:val="24"/>
        </w:rPr>
        <w:t xml:space="preserve">separate </w:t>
      </w:r>
      <w:r w:rsidR="00302EDE">
        <w:rPr>
          <w:szCs w:val="24"/>
        </w:rPr>
        <w:t>Director of Studies</w:t>
      </w:r>
      <w:r w:rsidR="00A023B7">
        <w:rPr>
          <w:szCs w:val="24"/>
        </w:rPr>
        <w:t xml:space="preserve"> to </w:t>
      </w:r>
      <w:r w:rsidR="00AC1921">
        <w:rPr>
          <w:szCs w:val="24"/>
        </w:rPr>
        <w:t>one or more stages of the course.</w:t>
      </w:r>
      <w:r w:rsidR="00893920">
        <w:rPr>
          <w:szCs w:val="24"/>
        </w:rPr>
        <w:t xml:space="preserve"> </w:t>
      </w:r>
    </w:p>
    <w:p w:rsidRPr="00B2107E" w:rsidR="009B19A0" w:rsidP="004C62BD" w:rsidRDefault="009B19A0" w14:paraId="6B48EFF8" w14:textId="391031E5">
      <w:pPr>
        <w:ind w:left="567" w:firstLine="0"/>
        <w:rPr>
          <w:szCs w:val="24"/>
        </w:rPr>
      </w:pPr>
      <w:r>
        <w:rPr>
          <w:szCs w:val="24"/>
        </w:rPr>
        <w:t xml:space="preserve">Divisions may </w:t>
      </w:r>
      <w:r w:rsidR="0014400E">
        <w:rPr>
          <w:szCs w:val="24"/>
        </w:rPr>
        <w:t xml:space="preserve">decide to appoint one of more Boards of Studies to support the work of the Director(s) of Studies, as appropriate. </w:t>
      </w:r>
      <w:r w:rsidR="004B46E4">
        <w:rPr>
          <w:szCs w:val="24"/>
        </w:rPr>
        <w:t xml:space="preserve">Where Boards of Studies are appointed they will operate as per 3.4 – 3.6 below. </w:t>
      </w:r>
    </w:p>
    <w:p w:rsidRPr="001F7E70" w:rsidR="00934CA0" w:rsidP="004C62BD" w:rsidRDefault="004C62BD" w14:paraId="582A6176" w14:textId="1541AB52">
      <w:pPr>
        <w:pStyle w:val="Heading2"/>
        <w:numPr>
          <w:ilvl w:val="0"/>
          <w:numId w:val="24"/>
        </w:numPr>
        <w:ind w:left="567" w:hanging="567"/>
        <w:rPr>
          <w:rFonts w:cs="Arial"/>
          <w:szCs w:val="24"/>
        </w:rPr>
      </w:pPr>
      <w:bookmarkStart w:name="_Toc114559019" w:id="25"/>
      <w:r>
        <w:rPr>
          <w:rFonts w:cs="Arial"/>
          <w:szCs w:val="24"/>
        </w:rPr>
        <w:t xml:space="preserve">Appointing </w:t>
      </w:r>
      <w:r w:rsidRPr="001F7E70" w:rsidR="00982B64">
        <w:rPr>
          <w:rFonts w:cs="Arial"/>
          <w:szCs w:val="24"/>
        </w:rPr>
        <w:t>Director of Studies</w:t>
      </w:r>
      <w:bookmarkEnd w:id="25"/>
    </w:p>
    <w:p w:rsidRPr="00B2107E" w:rsidR="00D86C82" w:rsidP="004C62BD" w:rsidRDefault="00D86C82" w14:paraId="28F0A8F0" w14:textId="2865CF50">
      <w:pPr>
        <w:ind w:left="567" w:firstLine="0"/>
        <w:rPr>
          <w:szCs w:val="24"/>
        </w:rPr>
      </w:pPr>
      <w:r w:rsidRPr="00B2107E">
        <w:rPr>
          <w:szCs w:val="24"/>
        </w:rPr>
        <w:t>Directors of Studies will be appointed by the Director of Division, normally for a period of three years, and will be eligible for reappointment at the end of each period of appointment.</w:t>
      </w:r>
    </w:p>
    <w:p w:rsidRPr="001F7E70" w:rsidR="00934CA0" w:rsidP="004C62BD" w:rsidRDefault="00982B64" w14:paraId="5FB15E28" w14:textId="3BD0C2CF">
      <w:pPr>
        <w:pStyle w:val="Heading2"/>
        <w:numPr>
          <w:ilvl w:val="0"/>
          <w:numId w:val="24"/>
        </w:numPr>
        <w:ind w:left="567" w:hanging="567"/>
        <w:rPr>
          <w:rFonts w:cs="Arial"/>
          <w:szCs w:val="24"/>
        </w:rPr>
      </w:pPr>
      <w:bookmarkStart w:name="_Toc114559020" w:id="26"/>
      <w:r w:rsidRPr="001F7E70">
        <w:rPr>
          <w:rFonts w:cs="Arial"/>
          <w:szCs w:val="24"/>
        </w:rPr>
        <w:t>Role of</w:t>
      </w:r>
      <w:r w:rsidR="004C62BD">
        <w:rPr>
          <w:rFonts w:cs="Arial"/>
          <w:szCs w:val="24"/>
        </w:rPr>
        <w:t xml:space="preserve"> </w:t>
      </w:r>
      <w:r w:rsidR="001E0FC0">
        <w:rPr>
          <w:rFonts w:cs="Arial"/>
          <w:szCs w:val="24"/>
        </w:rPr>
        <w:t xml:space="preserve">the </w:t>
      </w:r>
      <w:r w:rsidRPr="001F7E70">
        <w:rPr>
          <w:rFonts w:cs="Arial"/>
          <w:szCs w:val="24"/>
        </w:rPr>
        <w:t>Director of Studies</w:t>
      </w:r>
      <w:bookmarkEnd w:id="26"/>
    </w:p>
    <w:p w:rsidRPr="00B2107E" w:rsidR="00D86C82" w:rsidP="004C62BD" w:rsidRDefault="00934CA0" w14:paraId="338DD282" w14:textId="3088E9E2">
      <w:pPr>
        <w:ind w:left="567" w:firstLine="0"/>
        <w:rPr>
          <w:szCs w:val="24"/>
        </w:rPr>
      </w:pPr>
      <w:r>
        <w:rPr>
          <w:szCs w:val="24"/>
        </w:rPr>
        <w:t>T</w:t>
      </w:r>
      <w:r w:rsidRPr="00B2107E" w:rsidR="00D86C82">
        <w:rPr>
          <w:szCs w:val="24"/>
        </w:rPr>
        <w:t>he role of the Director of Studies in relation to the course(s)</w:t>
      </w:r>
      <w:r w:rsidR="00197120">
        <w:rPr>
          <w:szCs w:val="24"/>
        </w:rPr>
        <w:t xml:space="preserve"> or for the stage</w:t>
      </w:r>
      <w:r w:rsidR="00F31920">
        <w:rPr>
          <w:szCs w:val="24"/>
        </w:rPr>
        <w:t>(</w:t>
      </w:r>
      <w:r w:rsidR="00197120">
        <w:rPr>
          <w:szCs w:val="24"/>
        </w:rPr>
        <w:t>s</w:t>
      </w:r>
      <w:r w:rsidR="00F31920">
        <w:rPr>
          <w:szCs w:val="24"/>
        </w:rPr>
        <w:t>)</w:t>
      </w:r>
      <w:r w:rsidR="00197120">
        <w:rPr>
          <w:szCs w:val="24"/>
        </w:rPr>
        <w:t xml:space="preserve"> of the course</w:t>
      </w:r>
      <w:r w:rsidRPr="00B2107E" w:rsidR="00D86C82">
        <w:rPr>
          <w:szCs w:val="24"/>
        </w:rPr>
        <w:t xml:space="preserve"> for which they hold responsibility will be:</w:t>
      </w:r>
    </w:p>
    <w:p w:rsidRPr="00B2107E" w:rsidR="00D86C82" w:rsidP="00A462BE" w:rsidRDefault="00A462BE" w14:paraId="62D19E77" w14:textId="4EA02CA2">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ensure that delivery of the course(s)</w:t>
      </w:r>
      <w:r w:rsidR="00EB0DEF">
        <w:rPr>
          <w:szCs w:val="24"/>
        </w:rPr>
        <w:t xml:space="preserve"> or stage(s) </w:t>
      </w:r>
      <w:r w:rsidRPr="00B2107E" w:rsidR="00D86C82">
        <w:rPr>
          <w:szCs w:val="24"/>
        </w:rPr>
        <w:t>is in accordance with the course proposal as approved by the Course Approval Sub-Committee of the Education and Student Experience Board</w:t>
      </w:r>
      <w:r w:rsidR="00E0004F">
        <w:rPr>
          <w:szCs w:val="24"/>
        </w:rPr>
        <w:t>.</w:t>
      </w:r>
    </w:p>
    <w:p w:rsidRPr="00B2107E" w:rsidR="00D86C82" w:rsidP="00A462BE" w:rsidRDefault="00A462BE" w14:paraId="1EB921E2" w14:textId="594E1A42">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lead on the development of new or revised curricula</w:t>
      </w:r>
      <w:r w:rsidR="00745FD7">
        <w:rPr>
          <w:szCs w:val="24"/>
        </w:rPr>
        <w:t>;</w:t>
      </w:r>
      <w:r w:rsidRPr="00B2107E" w:rsidR="00D86C82">
        <w:rPr>
          <w:szCs w:val="24"/>
        </w:rPr>
        <w:t xml:space="preserve"> relevant to the courses </w:t>
      </w:r>
      <w:r w:rsidR="009D2E79">
        <w:rPr>
          <w:szCs w:val="24"/>
        </w:rPr>
        <w:t xml:space="preserve">or stages </w:t>
      </w:r>
      <w:r w:rsidRPr="00B2107E" w:rsidR="00D86C82">
        <w:rPr>
          <w:szCs w:val="24"/>
        </w:rPr>
        <w:t xml:space="preserve">for which the </w:t>
      </w:r>
      <w:r w:rsidR="00C0606D">
        <w:rPr>
          <w:szCs w:val="24"/>
        </w:rPr>
        <w:t>Director</w:t>
      </w:r>
      <w:r w:rsidRPr="00B2107E" w:rsidR="00C0606D">
        <w:rPr>
          <w:szCs w:val="24"/>
        </w:rPr>
        <w:t xml:space="preserve"> </w:t>
      </w:r>
      <w:r w:rsidRPr="00B2107E" w:rsidR="00D86C82">
        <w:rPr>
          <w:szCs w:val="24"/>
        </w:rPr>
        <w:t>of Studies holds responsibility</w:t>
      </w:r>
      <w:r w:rsidR="00E0004F">
        <w:rPr>
          <w:szCs w:val="24"/>
        </w:rPr>
        <w:t>.</w:t>
      </w:r>
    </w:p>
    <w:p w:rsidRPr="00B2107E" w:rsidR="00D86C82" w:rsidP="00A462BE" w:rsidRDefault="00A462BE" w14:paraId="3F55AF19" w14:textId="08F95F9A">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ensure that students, lecturers and others as relevant receive detailed information about all aspects of the course(s) (see </w:t>
      </w:r>
      <w:hyperlink w:history="1" w:anchor="annex-d" r:id="rId23">
        <w:r w:rsidRPr="00856130" w:rsidR="00D86C82">
          <w:rPr>
            <w:rStyle w:val="Hyperlink"/>
            <w:szCs w:val="24"/>
          </w:rPr>
          <w:t xml:space="preserve">Annex D: </w:t>
        </w:r>
        <w:r w:rsidRPr="00856130" w:rsidR="00D86C82">
          <w:rPr>
            <w:rStyle w:val="Hyperlink"/>
            <w:i/>
            <w:szCs w:val="24"/>
          </w:rPr>
          <w:t>Information to Students</w:t>
        </w:r>
      </w:hyperlink>
      <w:r w:rsidRPr="00B2107E" w:rsidR="00D86C82">
        <w:rPr>
          <w:szCs w:val="24"/>
        </w:rPr>
        <w:t>)</w:t>
      </w:r>
      <w:r w:rsidR="00E0004F">
        <w:rPr>
          <w:szCs w:val="24"/>
        </w:rPr>
        <w:t>.</w:t>
      </w:r>
    </w:p>
    <w:p w:rsidRPr="00B2107E" w:rsidR="00D86C82" w:rsidP="00A462BE" w:rsidRDefault="00A462BE" w14:paraId="552B1D4F" w14:textId="30029CCD">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arrange appropriate induction of new lecturers in order to ensure that lecturers who have not previously contributed to the course(s) are fully aware of the aims and intended learning outcomes of the course(s) and of the contribution to the course(s) that is expected of them</w:t>
      </w:r>
      <w:r w:rsidR="00E0004F">
        <w:rPr>
          <w:szCs w:val="24"/>
        </w:rPr>
        <w:t>.</w:t>
      </w:r>
    </w:p>
    <w:p w:rsidRPr="00B2107E" w:rsidR="00D86C82" w:rsidP="00A462BE" w:rsidRDefault="00A462BE" w14:paraId="7210479F" w14:textId="74A2FB89">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ensure that students have ready access to advice about the options available to them within the course(s)</w:t>
      </w:r>
      <w:r w:rsidR="00E0004F">
        <w:rPr>
          <w:szCs w:val="24"/>
        </w:rPr>
        <w:t>.</w:t>
      </w:r>
    </w:p>
    <w:p w:rsidRPr="00B2107E" w:rsidR="00D86C82" w:rsidP="00856130" w:rsidRDefault="00856130" w14:paraId="75989C7D" w14:textId="60A64C4C">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monitor the progress of students on the course(s)</w:t>
      </w:r>
      <w:r w:rsidR="00E0004F">
        <w:rPr>
          <w:szCs w:val="24"/>
        </w:rPr>
        <w:t>.</w:t>
      </w:r>
    </w:p>
    <w:p w:rsidRPr="00B2107E" w:rsidR="00D86C82" w:rsidP="00856130" w:rsidRDefault="00856130" w14:paraId="7AB85FD1" w14:textId="02E2129E">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report on assessment return rates in line with University requirements (see the </w:t>
      </w:r>
      <w:hyperlink w:history="1" w:anchor="annex-6" r:id="rId24">
        <w:r w:rsidRPr="00373CE1" w:rsidR="00D86C82">
          <w:rPr>
            <w:rStyle w:val="Hyperlink"/>
            <w:szCs w:val="24"/>
          </w:rPr>
          <w:t xml:space="preserve">Credit Framework Annex 6: </w:t>
        </w:r>
        <w:r w:rsidRPr="00373CE1" w:rsidR="00D86C82">
          <w:rPr>
            <w:rStyle w:val="Hyperlink"/>
            <w:i/>
            <w:szCs w:val="24"/>
          </w:rPr>
          <w:t>Marking</w:t>
        </w:r>
        <w:r w:rsidRPr="00373CE1" w:rsidR="00D86C82">
          <w:rPr>
            <w:rStyle w:val="Hyperlink"/>
            <w:szCs w:val="24"/>
          </w:rPr>
          <w:t>, section 27</w:t>
        </w:r>
      </w:hyperlink>
      <w:r w:rsidRPr="00B2107E" w:rsidR="00D86C82">
        <w:rPr>
          <w:szCs w:val="24"/>
        </w:rPr>
        <w:t>)</w:t>
      </w:r>
      <w:r w:rsidR="00373CE1">
        <w:rPr>
          <w:szCs w:val="24"/>
        </w:rPr>
        <w:t>.</w:t>
      </w:r>
    </w:p>
    <w:p w:rsidRPr="00B2107E" w:rsidR="00D86C82" w:rsidP="00856130" w:rsidRDefault="00856130" w14:paraId="0E40D13C" w14:textId="3204D283">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report on these matters to the</w:t>
      </w:r>
      <w:r w:rsidR="00142A6F">
        <w:rPr>
          <w:szCs w:val="24"/>
        </w:rPr>
        <w:t xml:space="preserve"> </w:t>
      </w:r>
      <w:r w:rsidR="000F16F7">
        <w:rPr>
          <w:szCs w:val="24"/>
        </w:rPr>
        <w:t xml:space="preserve">DESEC </w:t>
      </w:r>
      <w:r w:rsidR="00D16743">
        <w:rPr>
          <w:szCs w:val="24"/>
        </w:rPr>
        <w:t>or</w:t>
      </w:r>
      <w:r w:rsidR="000F16F7">
        <w:rPr>
          <w:szCs w:val="24"/>
        </w:rPr>
        <w:t>, where such exists, to the re</w:t>
      </w:r>
      <w:r w:rsidR="009A5322">
        <w:rPr>
          <w:szCs w:val="24"/>
        </w:rPr>
        <w:t>le</w:t>
      </w:r>
      <w:r w:rsidR="000F16F7">
        <w:rPr>
          <w:szCs w:val="24"/>
        </w:rPr>
        <w:t>vant</w:t>
      </w:r>
      <w:r w:rsidRPr="00B2107E" w:rsidR="00D86C82">
        <w:rPr>
          <w:szCs w:val="24"/>
        </w:rPr>
        <w:t xml:space="preserve"> Board of Studies</w:t>
      </w:r>
      <w:r w:rsidR="00E0004F">
        <w:rPr>
          <w:szCs w:val="24"/>
        </w:rPr>
        <w:t>.</w:t>
      </w:r>
    </w:p>
    <w:p w:rsidRPr="00B2107E" w:rsidR="00D86C82" w:rsidP="00856130" w:rsidRDefault="00856130" w14:paraId="67A7AB75" w14:textId="566175B3">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prepare an Annual Report on the course(s) for consideration by </w:t>
      </w:r>
      <w:r w:rsidRPr="00B2107E" w:rsidR="009A5322">
        <w:rPr>
          <w:szCs w:val="24"/>
        </w:rPr>
        <w:t>the</w:t>
      </w:r>
      <w:r w:rsidR="009A5322">
        <w:rPr>
          <w:szCs w:val="24"/>
        </w:rPr>
        <w:t xml:space="preserve"> DESEC </w:t>
      </w:r>
      <w:r w:rsidR="00D16743">
        <w:rPr>
          <w:szCs w:val="24"/>
        </w:rPr>
        <w:t>or</w:t>
      </w:r>
      <w:r w:rsidR="009A5322">
        <w:rPr>
          <w:szCs w:val="24"/>
        </w:rPr>
        <w:t>, where such exists, to the relevant</w:t>
      </w:r>
      <w:r w:rsidRPr="00B2107E" w:rsidR="009A5322">
        <w:rPr>
          <w:szCs w:val="24"/>
        </w:rPr>
        <w:t xml:space="preserve"> Board of Studies </w:t>
      </w:r>
      <w:r w:rsidRPr="00B2107E" w:rsidR="00D86C82">
        <w:rPr>
          <w:szCs w:val="24"/>
        </w:rPr>
        <w:t xml:space="preserve">(see </w:t>
      </w:r>
      <w:hyperlink w:history="1" w:anchor="annex-e" r:id="rId25">
        <w:r w:rsidRPr="00373CE1" w:rsidR="00D86C82">
          <w:rPr>
            <w:rStyle w:val="Hyperlink"/>
            <w:szCs w:val="24"/>
          </w:rPr>
          <w:t xml:space="preserve">Annex E: </w:t>
        </w:r>
        <w:r w:rsidRPr="00373CE1" w:rsidR="00D86C82">
          <w:rPr>
            <w:rStyle w:val="Hyperlink"/>
            <w:i/>
            <w:szCs w:val="24"/>
          </w:rPr>
          <w:t>Annual Monitoring</w:t>
        </w:r>
      </w:hyperlink>
      <w:r w:rsidRPr="00B2107E" w:rsidR="00D86C82">
        <w:rPr>
          <w:szCs w:val="24"/>
        </w:rPr>
        <w:t>)</w:t>
      </w:r>
      <w:r w:rsidR="00E0004F">
        <w:rPr>
          <w:szCs w:val="24"/>
        </w:rPr>
        <w:t>.</w:t>
      </w:r>
    </w:p>
    <w:p w:rsidRPr="00B2107E" w:rsidR="00D86C82" w:rsidP="00856130" w:rsidRDefault="00856130" w14:paraId="26699E58" w14:textId="6FFC7A83">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lead on the provision of responses to matters raised by external examiners in their annual reports</w:t>
      </w:r>
      <w:r w:rsidR="00E0004F">
        <w:rPr>
          <w:szCs w:val="24"/>
        </w:rPr>
        <w:t>.</w:t>
      </w:r>
      <w:r w:rsidRPr="00B2107E" w:rsidR="00D86C82">
        <w:rPr>
          <w:szCs w:val="24"/>
        </w:rPr>
        <w:t xml:space="preserve"> </w:t>
      </w:r>
    </w:p>
    <w:p w:rsidR="00D86C82" w:rsidP="00856130" w:rsidRDefault="00856130" w14:paraId="3CEC4C98" w14:textId="01549C30">
      <w:pPr>
        <w:numPr>
          <w:ilvl w:val="0"/>
          <w:numId w:val="12"/>
        </w:numPr>
        <w:tabs>
          <w:tab w:val="clear" w:pos="360"/>
          <w:tab w:val="num" w:pos="993"/>
        </w:tabs>
        <w:ind w:left="993" w:hanging="426"/>
        <w:rPr>
          <w:szCs w:val="24"/>
        </w:rPr>
      </w:pPr>
      <w:r w:rsidRPr="00B2107E">
        <w:rPr>
          <w:szCs w:val="24"/>
        </w:rPr>
        <w:t>To</w:t>
      </w:r>
      <w:r w:rsidRPr="00B2107E" w:rsidR="00D86C82">
        <w:rPr>
          <w:szCs w:val="24"/>
        </w:rPr>
        <w:t xml:space="preserve"> participate in any preparations for the TEF, as required. </w:t>
      </w:r>
    </w:p>
    <w:p w:rsidR="00626647" w:rsidP="00856130" w:rsidRDefault="006A09BC" w14:paraId="25F8963C" w14:textId="6C0180EB">
      <w:pPr>
        <w:numPr>
          <w:ilvl w:val="0"/>
          <w:numId w:val="12"/>
        </w:numPr>
        <w:tabs>
          <w:tab w:val="clear" w:pos="360"/>
          <w:tab w:val="num" w:pos="993"/>
        </w:tabs>
        <w:ind w:left="993" w:hanging="426"/>
        <w:rPr>
          <w:szCs w:val="24"/>
        </w:rPr>
      </w:pPr>
      <w:r>
        <w:rPr>
          <w:szCs w:val="24"/>
        </w:rPr>
        <w:t xml:space="preserve">Where </w:t>
      </w:r>
      <w:r w:rsidR="008360E1">
        <w:rPr>
          <w:szCs w:val="24"/>
        </w:rPr>
        <w:t xml:space="preserve">the Division has appointed Boards of Studies, </w:t>
      </w:r>
      <w:r w:rsidR="005916C8">
        <w:rPr>
          <w:szCs w:val="24"/>
        </w:rPr>
        <w:t xml:space="preserve">the </w:t>
      </w:r>
      <w:r w:rsidR="002D1DCE">
        <w:rPr>
          <w:szCs w:val="24"/>
        </w:rPr>
        <w:t xml:space="preserve">Director of Studies </w:t>
      </w:r>
      <w:r w:rsidR="005916C8">
        <w:rPr>
          <w:szCs w:val="24"/>
        </w:rPr>
        <w:t>will act as Chair of the Board of Studies</w:t>
      </w:r>
      <w:r w:rsidR="00805F68">
        <w:rPr>
          <w:szCs w:val="24"/>
        </w:rPr>
        <w:t xml:space="preserve"> re</w:t>
      </w:r>
      <w:r w:rsidR="00AA7170">
        <w:rPr>
          <w:szCs w:val="24"/>
        </w:rPr>
        <w:t>levant to their remit</w:t>
      </w:r>
      <w:r w:rsidR="005916C8">
        <w:rPr>
          <w:szCs w:val="24"/>
        </w:rPr>
        <w:t xml:space="preserve"> and </w:t>
      </w:r>
      <w:r w:rsidR="00AA7170">
        <w:rPr>
          <w:szCs w:val="24"/>
        </w:rPr>
        <w:t xml:space="preserve">will </w:t>
      </w:r>
      <w:r w:rsidR="00805F68">
        <w:rPr>
          <w:szCs w:val="24"/>
        </w:rPr>
        <w:t>manage the</w:t>
      </w:r>
      <w:r w:rsidR="00075E0F">
        <w:rPr>
          <w:szCs w:val="24"/>
        </w:rPr>
        <w:t xml:space="preserve"> </w:t>
      </w:r>
      <w:r w:rsidR="00422109">
        <w:rPr>
          <w:szCs w:val="24"/>
        </w:rPr>
        <w:t>res</w:t>
      </w:r>
      <w:r w:rsidR="00075E0F">
        <w:rPr>
          <w:szCs w:val="24"/>
        </w:rPr>
        <w:t>ponsibilities of the Board</w:t>
      </w:r>
      <w:r w:rsidR="00144170">
        <w:rPr>
          <w:szCs w:val="24"/>
        </w:rPr>
        <w:t xml:space="preserve"> as set out in 3.6 below. </w:t>
      </w:r>
    </w:p>
    <w:p w:rsidRPr="00B2107E" w:rsidR="00313BB3" w:rsidP="00856130" w:rsidRDefault="00313BB3" w14:paraId="0156A3AA" w14:textId="15C9C832">
      <w:pPr>
        <w:numPr>
          <w:ilvl w:val="0"/>
          <w:numId w:val="12"/>
        </w:numPr>
        <w:tabs>
          <w:tab w:val="clear" w:pos="360"/>
          <w:tab w:val="num" w:pos="993"/>
        </w:tabs>
        <w:ind w:left="993" w:hanging="426"/>
        <w:rPr>
          <w:szCs w:val="24"/>
        </w:rPr>
      </w:pPr>
      <w:r>
        <w:rPr>
          <w:szCs w:val="24"/>
        </w:rPr>
        <w:t xml:space="preserve">Where the Division has not </w:t>
      </w:r>
      <w:r w:rsidR="00646C2B">
        <w:rPr>
          <w:szCs w:val="24"/>
        </w:rPr>
        <w:t xml:space="preserve">appointed Boards of Studies, </w:t>
      </w:r>
      <w:r w:rsidR="005173F7">
        <w:rPr>
          <w:szCs w:val="24"/>
        </w:rPr>
        <w:t xml:space="preserve">the </w:t>
      </w:r>
      <w:r w:rsidR="009D2E79">
        <w:rPr>
          <w:szCs w:val="24"/>
        </w:rPr>
        <w:t>Director of Studies</w:t>
      </w:r>
      <w:r w:rsidR="005173F7">
        <w:rPr>
          <w:szCs w:val="24"/>
        </w:rPr>
        <w:t xml:space="preserve"> will ensure that the </w:t>
      </w:r>
      <w:r w:rsidR="00C403DB">
        <w:rPr>
          <w:szCs w:val="24"/>
        </w:rPr>
        <w:t xml:space="preserve">matters set out in 3.6 below are </w:t>
      </w:r>
      <w:r w:rsidR="00A17662">
        <w:rPr>
          <w:szCs w:val="24"/>
        </w:rPr>
        <w:t xml:space="preserve">taken forward </w:t>
      </w:r>
      <w:r w:rsidR="00F2254F">
        <w:rPr>
          <w:szCs w:val="24"/>
        </w:rPr>
        <w:t xml:space="preserve">via other </w:t>
      </w:r>
      <w:r w:rsidR="00030FDA">
        <w:rPr>
          <w:szCs w:val="24"/>
        </w:rPr>
        <w:t>routes</w:t>
      </w:r>
      <w:r w:rsidR="00F2254F">
        <w:rPr>
          <w:szCs w:val="24"/>
        </w:rPr>
        <w:t xml:space="preserve"> within the Division.</w:t>
      </w:r>
    </w:p>
    <w:p w:rsidRPr="00B2107E" w:rsidR="00D86C82" w:rsidP="00856130" w:rsidRDefault="00D86C82" w14:paraId="504326A7" w14:textId="77777777">
      <w:pPr>
        <w:ind w:left="567" w:firstLine="0"/>
        <w:rPr>
          <w:szCs w:val="24"/>
        </w:rPr>
      </w:pPr>
      <w:r w:rsidRPr="00B2107E">
        <w:rPr>
          <w:szCs w:val="24"/>
        </w:rPr>
        <w:t xml:space="preserve">The above responsibilities may be undertaken in consultation and partnership with relevant professional services staff within the Division. </w:t>
      </w:r>
    </w:p>
    <w:p w:rsidRPr="001F7E70" w:rsidR="00934CA0" w:rsidP="00856130" w:rsidRDefault="00856130" w14:paraId="0D79D9C4" w14:textId="0235F49C">
      <w:pPr>
        <w:pStyle w:val="Heading2"/>
        <w:numPr>
          <w:ilvl w:val="0"/>
          <w:numId w:val="24"/>
        </w:numPr>
        <w:ind w:left="567" w:hanging="567"/>
        <w:rPr>
          <w:rFonts w:cs="Arial"/>
          <w:szCs w:val="24"/>
        </w:rPr>
      </w:pPr>
      <w:bookmarkStart w:name="_Toc114559021" w:id="27"/>
      <w:r>
        <w:rPr>
          <w:rFonts w:cs="Arial"/>
          <w:szCs w:val="24"/>
        </w:rPr>
        <w:t xml:space="preserve">Appointing </w:t>
      </w:r>
      <w:r w:rsidRPr="001F7E70" w:rsidR="00982B64">
        <w:rPr>
          <w:rFonts w:cs="Arial"/>
          <w:szCs w:val="24"/>
        </w:rPr>
        <w:t>Board of Studies</w:t>
      </w:r>
      <w:bookmarkEnd w:id="27"/>
    </w:p>
    <w:p w:rsidRPr="00B2107E" w:rsidR="00D86C82" w:rsidP="00137465" w:rsidRDefault="00F00262" w14:paraId="3B2EC0CA" w14:textId="37E1AC43">
      <w:pPr>
        <w:ind w:left="567" w:firstLine="0"/>
        <w:rPr>
          <w:szCs w:val="24"/>
        </w:rPr>
      </w:pPr>
      <w:r>
        <w:rPr>
          <w:szCs w:val="24"/>
        </w:rPr>
        <w:t xml:space="preserve">The Division may elect to appoint </w:t>
      </w:r>
      <w:r w:rsidR="00934CA0">
        <w:rPr>
          <w:szCs w:val="24"/>
        </w:rPr>
        <w:t>B</w:t>
      </w:r>
      <w:r w:rsidRPr="00B2107E" w:rsidR="00D86C82">
        <w:rPr>
          <w:szCs w:val="24"/>
        </w:rPr>
        <w:t xml:space="preserve">oards of Studies. </w:t>
      </w:r>
      <w:r w:rsidR="00C8016F">
        <w:rPr>
          <w:szCs w:val="24"/>
        </w:rPr>
        <w:t>Where one or more Board of Studies is appointed</w:t>
      </w:r>
      <w:r w:rsidR="00FC066F">
        <w:rPr>
          <w:szCs w:val="24"/>
        </w:rPr>
        <w:t xml:space="preserve">, the Chair will be the </w:t>
      </w:r>
      <w:r w:rsidR="004E419C">
        <w:rPr>
          <w:szCs w:val="24"/>
        </w:rPr>
        <w:t>Director of Studies</w:t>
      </w:r>
      <w:r w:rsidR="00092653">
        <w:rPr>
          <w:szCs w:val="24"/>
        </w:rPr>
        <w:t xml:space="preserve"> for the relevant course</w:t>
      </w:r>
      <w:r w:rsidR="00742837">
        <w:rPr>
          <w:szCs w:val="24"/>
        </w:rPr>
        <w:t>(</w:t>
      </w:r>
      <w:r w:rsidR="00092653">
        <w:rPr>
          <w:szCs w:val="24"/>
        </w:rPr>
        <w:t>s</w:t>
      </w:r>
      <w:r w:rsidR="00742837">
        <w:rPr>
          <w:szCs w:val="24"/>
        </w:rPr>
        <w:t>)</w:t>
      </w:r>
      <w:r w:rsidR="00092653">
        <w:rPr>
          <w:szCs w:val="24"/>
        </w:rPr>
        <w:t xml:space="preserve"> or stage</w:t>
      </w:r>
      <w:r w:rsidR="00742837">
        <w:rPr>
          <w:szCs w:val="24"/>
        </w:rPr>
        <w:t>(s)</w:t>
      </w:r>
      <w:r w:rsidR="00137465">
        <w:rPr>
          <w:szCs w:val="24"/>
        </w:rPr>
        <w:t xml:space="preserve"> and the </w:t>
      </w:r>
      <w:r w:rsidRPr="00B2107E" w:rsidR="00D86C82">
        <w:rPr>
          <w:szCs w:val="24"/>
        </w:rPr>
        <w:t>membership will normally include the convenor of each relevant module offered by the Division and a number of student members which is sufficient to ensure that these members between them have reasonable knowledge of each stage of the course(s). The membership may also include lecturers from other cont</w:t>
      </w:r>
      <w:r w:rsidR="00856130">
        <w:rPr>
          <w:szCs w:val="24"/>
        </w:rPr>
        <w:t xml:space="preserve">ributing subject areas/Schools/ </w:t>
      </w:r>
      <w:r w:rsidRPr="00B2107E" w:rsidR="00D86C82">
        <w:rPr>
          <w:szCs w:val="24"/>
        </w:rPr>
        <w:t xml:space="preserve">Departments. </w:t>
      </w:r>
    </w:p>
    <w:p w:rsidRPr="001F7E70" w:rsidR="00934CA0" w:rsidP="00856130" w:rsidRDefault="00982B64" w14:paraId="10A3C07C" w14:textId="2D1E8FC1">
      <w:pPr>
        <w:pStyle w:val="Heading2"/>
        <w:numPr>
          <w:ilvl w:val="0"/>
          <w:numId w:val="24"/>
        </w:numPr>
        <w:ind w:left="567" w:hanging="567"/>
        <w:rPr>
          <w:rFonts w:cs="Arial"/>
          <w:szCs w:val="24"/>
        </w:rPr>
      </w:pPr>
      <w:bookmarkStart w:name="_Toc114559022" w:id="28"/>
      <w:r w:rsidRPr="001F7E70">
        <w:rPr>
          <w:rFonts w:cs="Arial"/>
          <w:szCs w:val="24"/>
        </w:rPr>
        <w:t xml:space="preserve">Minimum </w:t>
      </w:r>
      <w:r w:rsidR="00856130">
        <w:rPr>
          <w:rFonts w:cs="Arial"/>
          <w:szCs w:val="24"/>
        </w:rPr>
        <w:t>M</w:t>
      </w:r>
      <w:r w:rsidRPr="001F7E70">
        <w:rPr>
          <w:rFonts w:cs="Arial"/>
          <w:szCs w:val="24"/>
        </w:rPr>
        <w:t xml:space="preserve">eeting </w:t>
      </w:r>
      <w:r w:rsidR="00856130">
        <w:rPr>
          <w:rFonts w:cs="Arial"/>
          <w:szCs w:val="24"/>
        </w:rPr>
        <w:t>R</w:t>
      </w:r>
      <w:r w:rsidRPr="001F7E70">
        <w:rPr>
          <w:rFonts w:cs="Arial"/>
          <w:szCs w:val="24"/>
        </w:rPr>
        <w:t>equirements for Board of Studies</w:t>
      </w:r>
      <w:bookmarkEnd w:id="28"/>
      <w:r w:rsidRPr="001F7E70">
        <w:rPr>
          <w:rFonts w:cs="Arial"/>
          <w:szCs w:val="24"/>
        </w:rPr>
        <w:t xml:space="preserve"> </w:t>
      </w:r>
    </w:p>
    <w:p w:rsidRPr="00B2107E" w:rsidR="00D86C82" w:rsidP="00856130" w:rsidRDefault="00FA57BB" w14:paraId="0BA6E359" w14:textId="36B58823">
      <w:pPr>
        <w:ind w:left="567" w:firstLine="0"/>
        <w:rPr>
          <w:szCs w:val="24"/>
        </w:rPr>
      </w:pPr>
      <w:r>
        <w:rPr>
          <w:szCs w:val="24"/>
        </w:rPr>
        <w:t xml:space="preserve">Where appointed, </w:t>
      </w:r>
      <w:r w:rsidRPr="00B2107E" w:rsidR="00D86C82">
        <w:rPr>
          <w:szCs w:val="24"/>
        </w:rPr>
        <w:t xml:space="preserve">Boards of Studies should meet </w:t>
      </w:r>
      <w:r w:rsidR="005108D4">
        <w:rPr>
          <w:szCs w:val="24"/>
        </w:rPr>
        <w:t xml:space="preserve">regularly </w:t>
      </w:r>
      <w:r w:rsidR="007475B3">
        <w:rPr>
          <w:szCs w:val="24"/>
        </w:rPr>
        <w:t xml:space="preserve">and </w:t>
      </w:r>
      <w:r w:rsidRPr="00B2107E" w:rsidR="00D86C82">
        <w:rPr>
          <w:szCs w:val="24"/>
        </w:rPr>
        <w:t xml:space="preserve">at least </w:t>
      </w:r>
      <w:r w:rsidR="007475B3">
        <w:rPr>
          <w:szCs w:val="24"/>
        </w:rPr>
        <w:t>on a sufficient basis to manage the volume of business for which it is responsible</w:t>
      </w:r>
      <w:r w:rsidR="00827E9D">
        <w:rPr>
          <w:szCs w:val="24"/>
        </w:rPr>
        <w:t xml:space="preserve">: </w:t>
      </w:r>
      <w:r w:rsidRPr="00B2107E" w:rsidR="00D86C82">
        <w:rPr>
          <w:szCs w:val="24"/>
        </w:rPr>
        <w:t>once in each term</w:t>
      </w:r>
      <w:r w:rsidR="00827E9D">
        <w:rPr>
          <w:szCs w:val="24"/>
        </w:rPr>
        <w:t xml:space="preserve"> is recommended</w:t>
      </w:r>
      <w:r w:rsidRPr="00B2107E" w:rsidR="00D86C82">
        <w:rPr>
          <w:szCs w:val="24"/>
        </w:rPr>
        <w:t>. Agendas and papers should be circulated to members in advance of meetings and minutes should be made available to all staff and students of the Division.</w:t>
      </w:r>
    </w:p>
    <w:p w:rsidRPr="001F7E70" w:rsidR="00934CA0" w:rsidP="00856130" w:rsidRDefault="00856130" w14:paraId="51A1F5C7" w14:textId="179401CA">
      <w:pPr>
        <w:pStyle w:val="Heading2"/>
        <w:numPr>
          <w:ilvl w:val="0"/>
          <w:numId w:val="24"/>
        </w:numPr>
        <w:ind w:left="567" w:hanging="567"/>
        <w:rPr>
          <w:rFonts w:cs="Arial"/>
          <w:szCs w:val="24"/>
        </w:rPr>
      </w:pPr>
      <w:bookmarkStart w:name="_Toc114559023" w:id="29"/>
      <w:r>
        <w:rPr>
          <w:rFonts w:cs="Arial"/>
          <w:szCs w:val="24"/>
        </w:rPr>
        <w:t xml:space="preserve">Role of </w:t>
      </w:r>
      <w:r w:rsidRPr="001F7E70" w:rsidR="00982B64">
        <w:rPr>
          <w:rFonts w:cs="Arial"/>
          <w:szCs w:val="24"/>
        </w:rPr>
        <w:t>Board of Studie</w:t>
      </w:r>
      <w:r>
        <w:rPr>
          <w:rFonts w:cs="Arial"/>
          <w:szCs w:val="24"/>
        </w:rPr>
        <w:t>s</w:t>
      </w:r>
      <w:bookmarkEnd w:id="29"/>
    </w:p>
    <w:p w:rsidRPr="00B2107E" w:rsidR="00D86C82" w:rsidP="00856130" w:rsidRDefault="00D86C82" w14:paraId="1C6C7845" w14:textId="769D856B">
      <w:pPr>
        <w:ind w:left="567" w:firstLine="0"/>
        <w:rPr>
          <w:szCs w:val="24"/>
        </w:rPr>
      </w:pPr>
      <w:r w:rsidRPr="00B2107E">
        <w:rPr>
          <w:szCs w:val="24"/>
        </w:rPr>
        <w:t xml:space="preserve">The role of a Board of Studies will be to oversee the delivery of the course(s) </w:t>
      </w:r>
      <w:r w:rsidR="00FF6038">
        <w:rPr>
          <w:szCs w:val="24"/>
        </w:rPr>
        <w:t xml:space="preserve">or stage(s) </w:t>
      </w:r>
      <w:r w:rsidRPr="00B2107E">
        <w:rPr>
          <w:szCs w:val="24"/>
        </w:rPr>
        <w:t xml:space="preserve">concerned and reflect and report on relevant areas relating to the quality and standards of the </w:t>
      </w:r>
      <w:r w:rsidR="00FF6038">
        <w:rPr>
          <w:szCs w:val="24"/>
        </w:rPr>
        <w:t>provision</w:t>
      </w:r>
      <w:r w:rsidRPr="00B2107E">
        <w:rPr>
          <w:szCs w:val="24"/>
        </w:rPr>
        <w:t>, in particular:</w:t>
      </w:r>
    </w:p>
    <w:p w:rsidRPr="00B2107E" w:rsidR="00D86C82" w:rsidP="00856130" w:rsidRDefault="00856130" w14:paraId="084EA59E" w14:textId="3E41A159">
      <w:pPr>
        <w:numPr>
          <w:ilvl w:val="0"/>
          <w:numId w:val="13"/>
        </w:numPr>
        <w:tabs>
          <w:tab w:val="clear" w:pos="360"/>
          <w:tab w:val="num" w:pos="993"/>
        </w:tabs>
        <w:ind w:left="993" w:hanging="426"/>
        <w:rPr>
          <w:szCs w:val="24"/>
        </w:rPr>
      </w:pPr>
      <w:r w:rsidRPr="00B2107E">
        <w:rPr>
          <w:szCs w:val="24"/>
        </w:rPr>
        <w:t>To</w:t>
      </w:r>
      <w:r w:rsidRPr="00B2107E" w:rsidR="00D86C82">
        <w:rPr>
          <w:szCs w:val="24"/>
        </w:rPr>
        <w:t xml:space="preserve"> receive and consider regular reports from the Director of Studies on the matters listed in </w:t>
      </w:r>
      <w:r w:rsidR="00A01AEE">
        <w:rPr>
          <w:szCs w:val="24"/>
        </w:rPr>
        <w:t>3</w:t>
      </w:r>
      <w:r w:rsidRPr="00B2107E" w:rsidR="00D86C82">
        <w:rPr>
          <w:szCs w:val="24"/>
        </w:rPr>
        <w:t>.3 above</w:t>
      </w:r>
      <w:r w:rsidR="00E0004F">
        <w:rPr>
          <w:szCs w:val="24"/>
        </w:rPr>
        <w:t>.</w:t>
      </w:r>
    </w:p>
    <w:p w:rsidR="000551AC" w:rsidP="000551AC" w:rsidRDefault="00856130" w14:paraId="6CF08C5C" w14:textId="77777777">
      <w:pPr>
        <w:numPr>
          <w:ilvl w:val="0"/>
          <w:numId w:val="13"/>
        </w:numPr>
        <w:tabs>
          <w:tab w:val="clear" w:pos="360"/>
          <w:tab w:val="num" w:pos="993"/>
        </w:tabs>
        <w:ind w:left="993" w:hanging="426"/>
        <w:rPr>
          <w:szCs w:val="24"/>
        </w:rPr>
      </w:pPr>
      <w:bookmarkStart w:name="_Hlk47436138" w:id="30"/>
      <w:r w:rsidRPr="00B2107E">
        <w:rPr>
          <w:szCs w:val="24"/>
        </w:rPr>
        <w:t>To</w:t>
      </w:r>
      <w:r w:rsidRPr="00B2107E" w:rsidR="00D86C82">
        <w:rPr>
          <w:szCs w:val="24"/>
        </w:rPr>
        <w:t xml:space="preserve"> review the progress of students on the course(s), both generally and with regard to various aspects of student success (retention, attainment gaps, etc.)</w:t>
      </w:r>
      <w:r w:rsidR="00E0004F">
        <w:rPr>
          <w:szCs w:val="24"/>
        </w:rPr>
        <w:t>.</w:t>
      </w:r>
    </w:p>
    <w:p w:rsidRPr="000551AC" w:rsidR="000551AC" w:rsidP="000551AC" w:rsidRDefault="000551AC" w14:paraId="5B6F88EF" w14:textId="5A85929D">
      <w:pPr>
        <w:numPr>
          <w:ilvl w:val="0"/>
          <w:numId w:val="13"/>
        </w:numPr>
        <w:tabs>
          <w:tab w:val="clear" w:pos="360"/>
          <w:tab w:val="num" w:pos="993"/>
        </w:tabs>
        <w:ind w:left="993" w:hanging="426"/>
        <w:rPr>
          <w:szCs w:val="24"/>
        </w:rPr>
      </w:pPr>
      <w:r w:rsidRPr="000551AC">
        <w:rPr>
          <w:szCs w:val="24"/>
        </w:rPr>
        <w:t xml:space="preserve">To reflect </w:t>
      </w:r>
      <w:r>
        <w:rPr>
          <w:szCs w:val="24"/>
        </w:rPr>
        <w:t xml:space="preserve">on grade criteria used for marking on the courses and </w:t>
      </w:r>
      <w:r w:rsidR="005D6D32">
        <w:rPr>
          <w:szCs w:val="24"/>
        </w:rPr>
        <w:t xml:space="preserve">ensure that these map on to </w:t>
      </w:r>
      <w:r w:rsidRPr="000551AC">
        <w:rPr>
          <w:szCs w:val="24"/>
        </w:rPr>
        <w:t xml:space="preserve">the degree classification descriptions for bachelors’ degrees adopted by the </w:t>
      </w:r>
      <w:r w:rsidR="00FE60B8">
        <w:rPr>
          <w:szCs w:val="24"/>
        </w:rPr>
        <w:t xml:space="preserve">University Grade Descriptors and </w:t>
      </w:r>
      <w:proofErr w:type="spellStart"/>
      <w:r w:rsidR="009A518D">
        <w:rPr>
          <w:szCs w:val="24"/>
        </w:rPr>
        <w:t>OfS</w:t>
      </w:r>
      <w:proofErr w:type="spellEnd"/>
      <w:r w:rsidR="00301353">
        <w:rPr>
          <w:szCs w:val="24"/>
        </w:rPr>
        <w:t xml:space="preserve"> (Condition B5)</w:t>
      </w:r>
      <w:r w:rsidRPr="000551AC">
        <w:rPr>
          <w:szCs w:val="24"/>
        </w:rPr>
        <w:t xml:space="preserve">; </w:t>
      </w:r>
    </w:p>
    <w:p w:rsidRPr="00B2107E" w:rsidR="00C167E6" w:rsidP="00856130" w:rsidRDefault="00856130" w14:paraId="203304BA" w14:textId="71DD2903">
      <w:pPr>
        <w:numPr>
          <w:ilvl w:val="0"/>
          <w:numId w:val="13"/>
        </w:numPr>
        <w:tabs>
          <w:tab w:val="clear" w:pos="360"/>
          <w:tab w:val="num" w:pos="993"/>
        </w:tabs>
        <w:ind w:left="993" w:hanging="426"/>
        <w:rPr>
          <w:szCs w:val="24"/>
        </w:rPr>
      </w:pPr>
      <w:r>
        <w:rPr>
          <w:szCs w:val="24"/>
        </w:rPr>
        <w:t>T</w:t>
      </w:r>
      <w:r w:rsidRPr="00B2107E" w:rsidR="00D86C82">
        <w:rP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w:p>
    <w:bookmarkEnd w:id="30"/>
    <w:p w:rsidRPr="00C167E6" w:rsidR="00D86C82" w:rsidP="0034213C" w:rsidRDefault="00856130" w14:paraId="727CD8A0" w14:textId="5EEAF598">
      <w:pPr>
        <w:numPr>
          <w:ilvl w:val="0"/>
          <w:numId w:val="13"/>
        </w:numPr>
        <w:tabs>
          <w:tab w:val="clear" w:pos="360"/>
          <w:tab w:val="num" w:pos="993"/>
        </w:tabs>
        <w:ind w:left="993" w:hanging="426"/>
        <w:rPr>
          <w:szCs w:val="24"/>
        </w:rPr>
      </w:pPr>
      <w:r w:rsidRPr="00C167E6">
        <w:rPr>
          <w:szCs w:val="24"/>
        </w:rPr>
        <w:t>T</w:t>
      </w:r>
      <w:r w:rsidRPr="00C167E6" w:rsidR="00D86C82">
        <w:rPr>
          <w:szCs w:val="24"/>
        </w:rPr>
        <w:t>o consider and take action as appropriate in response to the views of external examiners, students and any other stakeholders (e.g. employers) and report on these to the DESEC</w:t>
      </w:r>
      <w:r w:rsidRPr="00C167E6" w:rsidR="00E0004F">
        <w:rPr>
          <w:szCs w:val="24"/>
        </w:rPr>
        <w:t>.</w:t>
      </w:r>
    </w:p>
    <w:p w:rsidRPr="00B2107E" w:rsidR="00D86C82" w:rsidP="00856130" w:rsidRDefault="00856130" w14:paraId="3A8F6D4F" w14:textId="5E0BBC42">
      <w:pPr>
        <w:numPr>
          <w:ilvl w:val="0"/>
          <w:numId w:val="13"/>
        </w:numPr>
        <w:tabs>
          <w:tab w:val="clear" w:pos="360"/>
          <w:tab w:val="num" w:pos="993"/>
        </w:tabs>
        <w:ind w:left="993" w:hanging="426"/>
        <w:rPr>
          <w:szCs w:val="24"/>
        </w:rPr>
      </w:pPr>
      <w:r w:rsidRPr="00B2107E">
        <w:rPr>
          <w:szCs w:val="24"/>
        </w:rPr>
        <w:t>To</w:t>
      </w:r>
      <w:r w:rsidRPr="00B2107E" w:rsidR="00D86C82">
        <w:rPr>
          <w:szCs w:val="24"/>
        </w:rPr>
        <w:t xml:space="preserve"> prepare and submit an Annual Report on the modules and course(s) to the Divisional Education and Student Experience Committee (see </w:t>
      </w:r>
      <w:hyperlink w:history="1" w:anchor="annex-e" r:id="rId26">
        <w:r w:rsidRPr="00373CE1" w:rsidR="00D86C82">
          <w:rPr>
            <w:rStyle w:val="Hyperlink"/>
            <w:szCs w:val="24"/>
          </w:rPr>
          <w:t xml:space="preserve">Annex E: </w:t>
        </w:r>
        <w:r w:rsidRPr="00373CE1" w:rsidR="00D86C82">
          <w:rPr>
            <w:rStyle w:val="Hyperlink"/>
            <w:i/>
            <w:szCs w:val="24"/>
          </w:rPr>
          <w:t>Annual Monitoring</w:t>
        </w:r>
      </w:hyperlink>
      <w:r w:rsidRPr="00B2107E" w:rsidR="00D86C82">
        <w:rPr>
          <w:szCs w:val="24"/>
        </w:rPr>
        <w:t>)</w:t>
      </w:r>
      <w:r w:rsidR="00E0004F">
        <w:rPr>
          <w:szCs w:val="24"/>
        </w:rPr>
        <w:t>.</w:t>
      </w:r>
    </w:p>
    <w:p w:rsidRPr="00B2107E" w:rsidR="00D86C82" w:rsidP="00856130" w:rsidRDefault="00856130" w14:paraId="2B613ADB" w14:textId="2F5B082E">
      <w:pPr>
        <w:pStyle w:val="ListParagraph"/>
        <w:numPr>
          <w:ilvl w:val="0"/>
          <w:numId w:val="13"/>
        </w:numPr>
        <w:tabs>
          <w:tab w:val="clear" w:pos="360"/>
          <w:tab w:val="num" w:pos="993"/>
        </w:tabs>
        <w:spacing w:after="120"/>
        <w:ind w:left="993" w:hanging="426"/>
        <w:contextualSpacing w:val="0"/>
        <w:rPr>
          <w:rFonts w:ascii="Arial" w:hAnsi="Arial" w:cs="Arial"/>
          <w:sz w:val="24"/>
          <w:szCs w:val="24"/>
        </w:rPr>
      </w:pPr>
      <w:r>
        <w:rPr>
          <w:rFonts w:ascii="Arial" w:hAnsi="Arial" w:cs="Arial"/>
          <w:sz w:val="24"/>
          <w:szCs w:val="24"/>
          <w:lang w:eastAsia="en-GB"/>
        </w:rPr>
        <w:t>T</w:t>
      </w:r>
      <w:r w:rsidRPr="00B2107E" w:rsidR="00D86C82">
        <w:rPr>
          <w:rFonts w:ascii="Arial" w:hAnsi="Arial" w:cs="Arial"/>
          <w:sz w:val="24"/>
          <w:szCs w:val="24"/>
          <w:lang w:eastAsia="en-GB"/>
        </w:rPr>
        <w:t xml:space="preserve">o reflect on how satisfactorily the courses and modules it delivers meet the University requirements for success and sustainability, and report on this to the Divisional Education and Student Experience Committee (see </w:t>
      </w:r>
      <w:hyperlink w:history="1" w:anchor="annex-e" r:id="rId27">
        <w:r w:rsidRPr="00373CE1" w:rsidR="00D86C82">
          <w:rPr>
            <w:rStyle w:val="Hyperlink"/>
            <w:rFonts w:ascii="Arial" w:hAnsi="Arial" w:cs="Arial"/>
            <w:sz w:val="24"/>
            <w:szCs w:val="24"/>
            <w:lang w:eastAsia="en-GB"/>
          </w:rPr>
          <w:t xml:space="preserve">Annex E: </w:t>
        </w:r>
        <w:r w:rsidRPr="00373CE1" w:rsidR="00D86C82">
          <w:rPr>
            <w:rStyle w:val="Hyperlink"/>
            <w:rFonts w:ascii="Arial" w:hAnsi="Arial" w:cs="Arial"/>
            <w:i/>
            <w:iCs/>
            <w:sz w:val="24"/>
            <w:szCs w:val="24"/>
            <w:lang w:eastAsia="en-GB"/>
          </w:rPr>
          <w:t>Annual Monitoring</w:t>
        </w:r>
      </w:hyperlink>
      <w:r w:rsidRPr="00B2107E" w:rsidR="00D86C82">
        <w:rPr>
          <w:rFonts w:ascii="Arial" w:hAnsi="Arial" w:cs="Arial"/>
          <w:sz w:val="24"/>
          <w:szCs w:val="24"/>
          <w:lang w:eastAsia="en-GB"/>
        </w:rPr>
        <w:t>)</w:t>
      </w:r>
      <w:r w:rsidR="00E0004F">
        <w:rPr>
          <w:rFonts w:ascii="Arial" w:hAnsi="Arial" w:cs="Arial"/>
          <w:sz w:val="24"/>
          <w:szCs w:val="24"/>
          <w:lang w:eastAsia="en-GB"/>
        </w:rPr>
        <w:t>.</w:t>
      </w:r>
      <w:r w:rsidRPr="00B2107E" w:rsidR="00D86C82">
        <w:rPr>
          <w:rFonts w:ascii="Arial" w:hAnsi="Arial" w:cs="Arial"/>
          <w:sz w:val="24"/>
          <w:szCs w:val="24"/>
          <w:lang w:eastAsia="en-GB"/>
        </w:rPr>
        <w:t xml:space="preserve"> </w:t>
      </w:r>
    </w:p>
    <w:p w:rsidR="00D86C82" w:rsidP="00856130" w:rsidRDefault="00856130" w14:paraId="4C1B9E27" w14:textId="6A587E7D">
      <w:pPr>
        <w:numPr>
          <w:ilvl w:val="0"/>
          <w:numId w:val="13"/>
        </w:numPr>
        <w:tabs>
          <w:tab w:val="clear" w:pos="360"/>
          <w:tab w:val="num" w:pos="993"/>
        </w:tabs>
        <w:ind w:left="993" w:hanging="426"/>
        <w:rPr>
          <w:szCs w:val="24"/>
        </w:rPr>
      </w:pPr>
      <w:bookmarkStart w:name="_Hlk47436323" w:id="31"/>
      <w:r w:rsidRPr="00B2107E">
        <w:rPr>
          <w:szCs w:val="24"/>
        </w:rPr>
        <w:t>To</w:t>
      </w:r>
      <w:r w:rsidRPr="00B2107E" w:rsidR="00D86C82">
        <w:rPr>
          <w:szCs w:val="24"/>
        </w:rPr>
        <w:t xml:space="preserve"> reflect and report on the performance of the courses as disaggregated in relevant data and league tables throughout the year (e.g. NSS, Complete University Guide, TEF metrics</w:t>
      </w:r>
      <w:r w:rsidR="00914FBD">
        <w:rPr>
          <w:szCs w:val="24"/>
        </w:rPr>
        <w:t xml:space="preserve">, </w:t>
      </w:r>
      <w:proofErr w:type="spellStart"/>
      <w:r w:rsidR="00E71575">
        <w:rPr>
          <w:szCs w:val="24"/>
        </w:rPr>
        <w:t>OfS</w:t>
      </w:r>
      <w:proofErr w:type="spellEnd"/>
      <w:r w:rsidR="00E71575">
        <w:rPr>
          <w:szCs w:val="24"/>
        </w:rPr>
        <w:t xml:space="preserve"> Condition of Registration B3</w:t>
      </w:r>
      <w:r w:rsidRPr="00B2107E" w:rsidR="00D86C82">
        <w:rPr>
          <w:szCs w:val="24"/>
        </w:rPr>
        <w:t>)</w:t>
      </w:r>
      <w:r w:rsidR="00E0004F">
        <w:rPr>
          <w:szCs w:val="24"/>
        </w:rPr>
        <w:t>.</w:t>
      </w:r>
    </w:p>
    <w:p w:rsidRPr="00B34B4A" w:rsidR="00301353" w:rsidP="00B34B4A" w:rsidRDefault="00301353" w14:paraId="5FF96E6E" w14:textId="0ECF49EC">
      <w:pPr>
        <w:numPr>
          <w:ilvl w:val="0"/>
          <w:numId w:val="13"/>
        </w:numPr>
        <w:tabs>
          <w:tab w:val="clear" w:pos="360"/>
          <w:tab w:val="num" w:pos="927"/>
        </w:tabs>
        <w:ind w:left="927"/>
        <w:rPr>
          <w:szCs w:val="24"/>
        </w:rPr>
      </w:pPr>
      <w:r w:rsidRPr="00B2107E">
        <w:rPr>
          <w:szCs w:val="24"/>
        </w:rPr>
        <w:t xml:space="preserve">To </w:t>
      </w:r>
      <w:r>
        <w:rPr>
          <w:szCs w:val="24"/>
        </w:rPr>
        <w:t xml:space="preserve">reflect and report on matters relating to </w:t>
      </w:r>
      <w:r w:rsidRPr="00B2107E">
        <w:rPr>
          <w:szCs w:val="24"/>
        </w:rPr>
        <w:t xml:space="preserve">employability and graduate outcomes, in order to ensure congruence with the </w:t>
      </w:r>
      <w:r>
        <w:rPr>
          <w:szCs w:val="24"/>
        </w:rPr>
        <w:t>Division</w:t>
      </w:r>
      <w:r w:rsidR="006179C3">
        <w:rPr>
          <w:szCs w:val="24"/>
        </w:rPr>
        <w:t>’s work in this area</w:t>
      </w:r>
      <w:r>
        <w:rPr>
          <w:szCs w:val="24"/>
        </w:rPr>
        <w:t xml:space="preserve"> and </w:t>
      </w:r>
      <w:r w:rsidR="006179C3">
        <w:rPr>
          <w:szCs w:val="24"/>
        </w:rPr>
        <w:t xml:space="preserve">the </w:t>
      </w:r>
      <w:r w:rsidRPr="00B2107E">
        <w:rPr>
          <w:szCs w:val="24"/>
        </w:rPr>
        <w:t>University</w:t>
      </w:r>
      <w:r w:rsidR="006179C3">
        <w:rPr>
          <w:szCs w:val="24"/>
        </w:rPr>
        <w:t>’s</w:t>
      </w:r>
      <w:r w:rsidRPr="00B2107E">
        <w:rPr>
          <w:szCs w:val="24"/>
        </w:rPr>
        <w:t xml:space="preserve"> Student Employability Strateg</w:t>
      </w:r>
      <w:r w:rsidR="006179C3">
        <w:rPr>
          <w:szCs w:val="24"/>
        </w:rPr>
        <w:t>y</w:t>
      </w:r>
      <w:r>
        <w:rPr>
          <w:szCs w:val="24"/>
        </w:rPr>
        <w:t>.</w:t>
      </w:r>
      <w:r w:rsidRPr="00B2107E">
        <w:rPr>
          <w:szCs w:val="24"/>
        </w:rPr>
        <w:t xml:space="preserve"> </w:t>
      </w:r>
    </w:p>
    <w:bookmarkEnd w:id="31"/>
    <w:p w:rsidRPr="00B2107E" w:rsidR="00D86C82" w:rsidP="00856130" w:rsidRDefault="00856130" w14:paraId="5A8F19A7" w14:textId="59F62D0A">
      <w:pPr>
        <w:numPr>
          <w:ilvl w:val="0"/>
          <w:numId w:val="13"/>
        </w:numPr>
        <w:tabs>
          <w:tab w:val="clear" w:pos="360"/>
          <w:tab w:val="num" w:pos="993"/>
        </w:tabs>
        <w:ind w:left="993" w:hanging="426"/>
        <w:rPr>
          <w:szCs w:val="24"/>
        </w:rPr>
      </w:pPr>
      <w:r>
        <w:rPr>
          <w:szCs w:val="24"/>
        </w:rPr>
        <w:t>T</w:t>
      </w:r>
      <w:r w:rsidRPr="00B2107E" w:rsidR="00D86C82">
        <w:rPr>
          <w:szCs w:val="24"/>
        </w:rPr>
        <w:t>o consider how the modules and course(s) might be enhanced and to prepare proposals accordingly</w:t>
      </w:r>
      <w:r w:rsidR="00E0004F">
        <w:rPr>
          <w:szCs w:val="24"/>
        </w:rPr>
        <w:t>.</w:t>
      </w:r>
    </w:p>
    <w:p w:rsidRPr="00B2107E" w:rsidR="00D86C82" w:rsidP="00856130" w:rsidRDefault="00856130" w14:paraId="3ED8138E" w14:textId="35C21929">
      <w:pPr>
        <w:numPr>
          <w:ilvl w:val="0"/>
          <w:numId w:val="13"/>
        </w:numPr>
        <w:tabs>
          <w:tab w:val="clear" w:pos="360"/>
          <w:tab w:val="num" w:pos="993"/>
        </w:tabs>
        <w:ind w:left="993" w:hanging="426"/>
        <w:rPr>
          <w:szCs w:val="24"/>
        </w:rPr>
      </w:pPr>
      <w:r w:rsidRPr="00B2107E">
        <w:rPr>
          <w:szCs w:val="24"/>
        </w:rPr>
        <w:t>To</w:t>
      </w:r>
      <w:r w:rsidRPr="00B2107E" w:rsidR="00D86C82">
        <w:rPr>
          <w:szCs w:val="24"/>
        </w:rPr>
        <w:t xml:space="preserve"> propose new and amended modules and courses and recommend these for consideration by the DESEC</w:t>
      </w:r>
      <w:r w:rsidR="00E0004F">
        <w:rPr>
          <w:szCs w:val="24"/>
        </w:rPr>
        <w:t>.</w:t>
      </w:r>
      <w:r w:rsidRPr="00B2107E" w:rsidR="00D86C82">
        <w:rPr>
          <w:szCs w:val="24"/>
        </w:rPr>
        <w:t xml:space="preserve"> </w:t>
      </w:r>
    </w:p>
    <w:p w:rsidRPr="00B2107E" w:rsidR="00D86C82" w:rsidP="00856130" w:rsidRDefault="00856130" w14:paraId="0272FA0B" w14:textId="60451B36">
      <w:pPr>
        <w:numPr>
          <w:ilvl w:val="0"/>
          <w:numId w:val="13"/>
        </w:numPr>
        <w:tabs>
          <w:tab w:val="clear" w:pos="360"/>
          <w:tab w:val="num" w:pos="993"/>
        </w:tabs>
        <w:ind w:left="993" w:hanging="426"/>
        <w:rPr>
          <w:szCs w:val="24"/>
        </w:rPr>
      </w:pPr>
      <w:bookmarkStart w:name="_Hlk50453250" w:id="32"/>
      <w:r>
        <w:rPr>
          <w:szCs w:val="24"/>
        </w:rPr>
        <w:t>T</w:t>
      </w:r>
      <w:r w:rsidRPr="00B2107E" w:rsidR="00D86C82">
        <w:rPr>
          <w:szCs w:val="24"/>
        </w:rPr>
        <w:t xml:space="preserve">o consider and make decisions on applications for the award of credit for those UG modules and courses which the Board of Studies delivers, as submitted under the University’s requirements for </w:t>
      </w:r>
      <w:r w:rsidRPr="00373CE1" w:rsidR="00D86C82">
        <w:rPr>
          <w:szCs w:val="24"/>
        </w:rPr>
        <w:t xml:space="preserve">the </w:t>
      </w:r>
      <w:hyperlink w:history="1" w:anchor="annex-r" r:id="rId28">
        <w:r w:rsidRPr="00373CE1" w:rsidR="00D86C82">
          <w:rPr>
            <w:rStyle w:val="Hyperlink"/>
            <w:szCs w:val="24"/>
          </w:rPr>
          <w:t>Recognition of Prior Learning (Annex R)</w:t>
        </w:r>
      </w:hyperlink>
      <w:r w:rsidRPr="00B2107E" w:rsidR="00D86C82">
        <w:rPr>
          <w:szCs w:val="24"/>
        </w:rPr>
        <w:t xml:space="preserve"> and report these for note by the DESEC. </w:t>
      </w:r>
      <w:bookmarkEnd w:id="21"/>
      <w:bookmarkEnd w:id="32"/>
    </w:p>
    <w:p w:rsidRPr="00B2107E" w:rsidR="002750C2" w:rsidP="008E0611" w:rsidRDefault="002750C2" w14:paraId="2F92BD8A" w14:textId="77777777">
      <w:pPr>
        <w:tabs>
          <w:tab w:val="num" w:pos="993"/>
        </w:tabs>
        <w:ind w:left="993" w:hanging="709"/>
        <w:rPr>
          <w:szCs w:val="24"/>
        </w:rPr>
      </w:pPr>
    </w:p>
    <w:sectPr w:rsidRPr="00B2107E" w:rsidR="002750C2" w:rsidSect="002750C2">
      <w:headerReference w:type="default" r:id="rId29"/>
      <w:footerReference w:type="default" r:id="rId30"/>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8A7" w:rsidP="002750C2" w:rsidRDefault="007638A7" w14:paraId="259A83DF" w14:textId="77777777">
      <w:pPr>
        <w:spacing w:after="0"/>
      </w:pPr>
      <w:r>
        <w:separator/>
      </w:r>
    </w:p>
  </w:endnote>
  <w:endnote w:type="continuationSeparator" w:id="0">
    <w:p w:rsidR="007638A7" w:rsidP="002750C2" w:rsidRDefault="007638A7" w14:paraId="2D9DBD1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lanti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583CBB9" w14:textId="3D733DCC">
    <w:pPr>
      <w:pStyle w:val="Header"/>
      <w:rPr>
        <w:noProof/>
        <w:sz w:val="20"/>
      </w:rPr>
    </w:pPr>
  </w:p>
  <w:p w:rsidR="00D67357" w:rsidP="002F7E36" w:rsidRDefault="002750C2" w14:paraId="2531AA7D" w14:textId="77777777">
    <w:pPr>
      <w:pStyle w:val="Header"/>
      <w:rPr>
        <w:rStyle w:val="normaltextrun"/>
        <w:sz w:val="20"/>
        <w:szCs w:val="20"/>
      </w:rPr>
    </w:pPr>
    <w:r>
      <w:rPr>
        <w:rStyle w:val="normaltextrun"/>
        <w:sz w:val="20"/>
        <w:szCs w:val="20"/>
      </w:rPr>
      <w:t>Author: QACO</w:t>
    </w:r>
  </w:p>
  <w:p w:rsidR="002750C2" w:rsidP="002F7E36" w:rsidRDefault="00D67357" w14:paraId="5C2B5CAF" w14:textId="387F6AB3">
    <w:pPr>
      <w:pStyle w:val="Header"/>
      <w:rPr>
        <w:rFonts w:ascii="Segoe UI" w:hAnsi="Segoe UI" w:cs="Segoe UI"/>
        <w:sz w:val="18"/>
        <w:szCs w:val="18"/>
      </w:rPr>
    </w:pPr>
    <w:r>
      <w:rPr>
        <w:rStyle w:val="normaltextrun"/>
        <w:sz w:val="20"/>
        <w:szCs w:val="20"/>
      </w:rPr>
      <w:t>Applies to: 2022/23</w:t>
    </w:r>
    <w:r w:rsidR="002750C2">
      <w:rPr>
        <w:rStyle w:val="eop"/>
        <w:sz w:val="20"/>
        <w:szCs w:val="20"/>
      </w:rPr>
      <w:t> </w:t>
    </w:r>
  </w:p>
  <w:p w:rsidR="002F7E36" w:rsidP="002F7E36" w:rsidRDefault="002750C2" w14:paraId="068F95BF" w14:textId="0041ADDA">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 xml:space="preserve">Approved </w:t>
    </w:r>
    <w:r w:rsidR="00B34B4A">
      <w:rPr>
        <w:rStyle w:val="normaltextrun"/>
        <w:rFonts w:ascii="Arial" w:hAnsi="Arial" w:cs="Arial"/>
        <w:sz w:val="20"/>
        <w:szCs w:val="20"/>
      </w:rPr>
      <w:t>by</w:t>
    </w:r>
    <w:r w:rsidR="005601BC">
      <w:rPr>
        <w:rStyle w:val="normaltextrun"/>
        <w:rFonts w:ascii="Arial" w:hAnsi="Arial" w:cs="Arial"/>
        <w:sz w:val="20"/>
        <w:szCs w:val="20"/>
      </w:rPr>
      <w:t xml:space="preserve"> Senate</w:t>
    </w:r>
    <w:r>
      <w:rPr>
        <w:rStyle w:val="normaltextrun"/>
        <w:rFonts w:ascii="Arial" w:hAnsi="Arial" w:cs="Arial"/>
        <w:sz w:val="20"/>
        <w:szCs w:val="20"/>
      </w:rPr>
      <w:t>: </w:t>
    </w:r>
    <w:r w:rsidR="005601BC">
      <w:rPr>
        <w:rStyle w:val="normaltextrun"/>
        <w:rFonts w:ascii="Arial" w:hAnsi="Arial" w:cs="Arial"/>
        <w:sz w:val="20"/>
        <w:szCs w:val="20"/>
      </w:rPr>
      <w:t>May</w:t>
    </w:r>
    <w:r>
      <w:rPr>
        <w:rStyle w:val="normaltextrun"/>
        <w:rFonts w:ascii="Arial" w:hAnsi="Arial" w:cs="Arial"/>
        <w:sz w:val="20"/>
        <w:szCs w:val="20"/>
      </w:rPr>
      <w:t xml:space="preserve"> 202</w:t>
    </w:r>
    <w:r w:rsidR="00B34B4A">
      <w:rPr>
        <w:rStyle w:val="normaltextrun"/>
        <w:rFonts w:ascii="Arial" w:hAnsi="Arial" w:cs="Arial"/>
        <w:sz w:val="20"/>
        <w:szCs w:val="20"/>
      </w:rPr>
      <w:t>0</w:t>
    </w:r>
  </w:p>
  <w:p w:rsidRPr="002E0DA9" w:rsidR="002750C2" w:rsidP="1AF2A463" w:rsidRDefault="002750C2" w14:paraId="4D7070A4" w14:textId="0C6ACEC7">
    <w:pPr>
      <w:pStyle w:val="paragraph"/>
      <w:spacing w:before="0" w:beforeAutospacing="off" w:after="0" w:afterAutospacing="off"/>
      <w:textAlignment w:val="baseline"/>
      <w:rPr>
        <w:rStyle w:val="normaltextrun"/>
        <w:rFonts w:ascii="Arial" w:hAnsi="Arial" w:cs="Arial"/>
        <w:sz w:val="20"/>
        <w:szCs w:val="20"/>
      </w:rPr>
    </w:pPr>
    <w:r w:rsidRPr="1AF2A463" w:rsidR="1AF2A463">
      <w:rPr>
        <w:rStyle w:val="normaltextrun"/>
        <w:rFonts w:ascii="Arial" w:hAnsi="Arial" w:cs="Arial"/>
        <w:sz w:val="20"/>
        <w:szCs w:val="20"/>
      </w:rPr>
      <w:t xml:space="preserve">Last Revised: </w:t>
    </w:r>
    <w:r w:rsidRPr="1AF2A463" w:rsidR="1AF2A463">
      <w:rPr>
        <w:rStyle w:val="normaltextrun"/>
        <w:rFonts w:ascii="Arial" w:hAnsi="Arial" w:cs="Arial"/>
        <w:sz w:val="20"/>
        <w:szCs w:val="20"/>
      </w:rPr>
      <w:t>November 2023</w:t>
    </w:r>
  </w:p>
  <w:p w:rsidR="002750C2" w:rsidP="1AF2A463" w:rsidRDefault="002750C2" w14:paraId="6D9E1C84" w14:textId="651E0FB4">
    <w:pPr>
      <w:pStyle w:val="paragraph"/>
      <w:spacing w:before="0" w:beforeAutospacing="off" w:after="0" w:afterAutospacing="off"/>
      <w:textAlignment w:val="baseline"/>
      <w:rPr>
        <w:rStyle w:val="normaltextrun"/>
        <w:rFonts w:ascii="Arial" w:hAnsi="Arial" w:cs="Arial"/>
        <w:sz w:val="20"/>
        <w:szCs w:val="20"/>
        <w:lang w:val="en-US"/>
      </w:rPr>
    </w:pPr>
    <w:r w:rsidRPr="1AF2A463" w:rsidR="1AF2A463">
      <w:rPr>
        <w:rStyle w:val="normaltextrun"/>
        <w:rFonts w:ascii="Arial" w:hAnsi="Arial" w:cs="Arial"/>
        <w:sz w:val="20"/>
        <w:szCs w:val="20"/>
      </w:rPr>
      <w:t>Next review: September 202</w:t>
    </w:r>
    <w:r w:rsidRPr="1AF2A463" w:rsidR="1AF2A463">
      <w:rPr>
        <w:rStyle w:val="normaltextrun"/>
        <w:rFonts w:ascii="Arial" w:hAnsi="Arial" w:cs="Arial"/>
        <w:sz w:val="20"/>
        <w:szCs w:val="20"/>
      </w:rPr>
      <w:t>4</w:t>
    </w:r>
  </w:p>
  <w:p w:rsidR="002750C2" w:rsidP="002750C2" w:rsidRDefault="002750C2" w14:paraId="65B8E518" w14:textId="2BD0C0D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1139C">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1139C">
      <w:rPr>
        <w:rStyle w:val="PageNumber"/>
        <w:noProof/>
        <w:sz w:val="20"/>
      </w:rPr>
      <w:t>12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8A7" w:rsidP="002750C2" w:rsidRDefault="007638A7" w14:paraId="10F34EC9" w14:textId="77777777">
      <w:pPr>
        <w:spacing w:after="0"/>
      </w:pPr>
      <w:r>
        <w:separator/>
      </w:r>
    </w:p>
  </w:footnote>
  <w:footnote w:type="continuationSeparator" w:id="0">
    <w:p w:rsidR="007638A7" w:rsidP="002750C2" w:rsidRDefault="007638A7" w14:paraId="788F09C0" w14:textId="77777777">
      <w:pPr>
        <w:spacing w:after="0"/>
      </w:pPr>
      <w:r>
        <w:continuationSeparator/>
      </w:r>
    </w:p>
  </w:footnote>
  <w:footnote w:id="1">
    <w:p w:rsidRPr="00BF5EA2" w:rsidR="00D86C82" w:rsidP="00366C7E" w:rsidRDefault="00D86C82" w14:paraId="64E23873" w14:textId="77777777">
      <w:pPr>
        <w:pStyle w:val="FootnoteText"/>
        <w:spacing w:before="60" w:after="60"/>
        <w:ind w:right="284"/>
        <w:rPr>
          <w:rFonts w:ascii="Arial" w:hAnsi="Arial" w:cs="Arial"/>
          <w:sz w:val="22"/>
        </w:rPr>
      </w:pPr>
      <w:r w:rsidRPr="00BF5EA2">
        <w:rPr>
          <w:rStyle w:val="FootnoteReference"/>
          <w:rFonts w:ascii="Arial" w:hAnsi="Arial" w:cs="Arial"/>
          <w:sz w:val="22"/>
        </w:rPr>
        <w:footnoteRef/>
      </w:r>
      <w:r w:rsidRPr="00BF5EA2">
        <w:rPr>
          <w:rFonts w:ascii="Arial" w:hAnsi="Arial" w:cs="Arial"/>
          <w:sz w:val="22"/>
        </w:rPr>
        <w:t xml:space="preserve"> For the purposes of this Code, Integrated Master’s Degrees, Graduate Certificates and Graduate Diplomas are regarded as undergraduate courses.</w:t>
      </w:r>
    </w:p>
  </w:footnote>
  <w:footnote w:id="2">
    <w:p w:rsidRPr="00BF5EA2" w:rsidR="00D86C82" w:rsidP="00366C7E" w:rsidRDefault="00D86C82" w14:paraId="559C7DCD" w14:textId="77777777">
      <w:pPr>
        <w:pStyle w:val="FootnoteText"/>
        <w:spacing w:before="60" w:after="60"/>
        <w:ind w:right="284"/>
        <w:rPr>
          <w:rFonts w:ascii="Arial" w:hAnsi="Arial" w:cs="Arial"/>
          <w:sz w:val="22"/>
        </w:rPr>
      </w:pPr>
      <w:r w:rsidRPr="00BF5EA2">
        <w:rPr>
          <w:rStyle w:val="FootnoteReference"/>
          <w:rFonts w:ascii="Arial" w:hAnsi="Arial" w:cs="Arial"/>
          <w:sz w:val="22"/>
        </w:rPr>
        <w:footnoteRef/>
      </w:r>
      <w:r w:rsidRPr="00BF5EA2">
        <w:rPr>
          <w:rFonts w:ascii="Arial" w:hAnsi="Arial" w:cs="Arial"/>
          <w:sz w:val="22"/>
        </w:rPr>
        <w:t xml:space="preserve"> Directors of Graduate Studies and PG Student Experience carry out these responsibilities with respect to taught postgraduate courses.</w:t>
      </w:r>
    </w:p>
  </w:footnote>
  <w:footnote w:id="3">
    <w:p w:rsidRPr="00BF5EA2" w:rsidR="00D86C82" w:rsidP="00366C7E" w:rsidRDefault="00D86C82" w14:paraId="6F92FC22" w14:textId="77777777">
      <w:pPr>
        <w:pStyle w:val="FootnoteText"/>
        <w:spacing w:before="60" w:after="60"/>
        <w:ind w:right="284"/>
        <w:rPr>
          <w:rFonts w:ascii="Arial" w:hAnsi="Arial" w:cs="Arial"/>
          <w:sz w:val="22"/>
        </w:rPr>
      </w:pPr>
      <w:r w:rsidRPr="00BF5EA2">
        <w:rPr>
          <w:rStyle w:val="FootnoteReference"/>
          <w:rFonts w:ascii="Arial" w:hAnsi="Arial" w:cs="Arial"/>
          <w:sz w:val="22"/>
        </w:rPr>
        <w:footnoteRef/>
      </w:r>
      <w:r w:rsidRPr="00BF5EA2">
        <w:rPr>
          <w:rFonts w:ascii="Arial" w:hAnsi="Arial" w:cs="Arial"/>
          <w:sz w:val="22"/>
        </w:rPr>
        <w:t xml:space="preserve"> To co-chair with the Director of Graduate Studies and PG Student Experience where the DQSSC holds responsibility for the QA of UG and PGT courses. </w:t>
      </w:r>
    </w:p>
  </w:footnote>
  <w:footnote w:id="4">
    <w:p w:rsidRPr="0001519D" w:rsidR="00D86C82" w:rsidP="00D86C82" w:rsidRDefault="00D86C82" w14:paraId="184E7BDB" w14:textId="77777777">
      <w:pPr>
        <w:pStyle w:val="FootnoteText"/>
        <w:spacing w:before="60" w:after="60"/>
        <w:rPr>
          <w:rFonts w:ascii="Arial" w:hAnsi="Arial" w:cs="Arial"/>
          <w:sz w:val="22"/>
        </w:rPr>
      </w:pPr>
      <w:r w:rsidRPr="0001519D">
        <w:rPr>
          <w:rStyle w:val="FootnoteReference"/>
          <w:rFonts w:ascii="Arial" w:hAnsi="Arial" w:cs="Arial"/>
          <w:sz w:val="22"/>
        </w:rPr>
        <w:footnoteRef/>
      </w:r>
      <w:r w:rsidRPr="0001519D">
        <w:rPr>
          <w:rFonts w:ascii="Arial" w:hAnsi="Arial" w:cs="Arial"/>
          <w:sz w:val="22"/>
        </w:rPr>
        <w:t xml:space="preserve"> Courses may be grouped according to </w:t>
      </w:r>
      <w:r>
        <w:rPr>
          <w:rFonts w:ascii="Arial" w:hAnsi="Arial" w:cs="Arial"/>
          <w:sz w:val="22"/>
        </w:rPr>
        <w:t>the local needs of the Division</w:t>
      </w:r>
    </w:p>
  </w:footnote>
  <w:footnote w:id="5">
    <w:p w:rsidR="00D86C82" w:rsidP="00D86C82" w:rsidRDefault="00D86C82" w14:paraId="15F24C04" w14:textId="77777777">
      <w:pPr>
        <w:pStyle w:val="FootnoteText"/>
        <w:spacing w:before="60" w:after="60"/>
      </w:pPr>
      <w:r w:rsidRPr="0001519D">
        <w:rPr>
          <w:rStyle w:val="FootnoteReference"/>
          <w:rFonts w:ascii="Arial" w:hAnsi="Arial" w:cs="Arial"/>
          <w:sz w:val="22"/>
        </w:rPr>
        <w:footnoteRef/>
      </w:r>
      <w:r w:rsidRPr="0001519D">
        <w:rPr>
          <w:rFonts w:ascii="Arial" w:hAnsi="Arial" w:cs="Arial"/>
          <w:sz w:val="22"/>
        </w:rPr>
        <w:t xml:space="preserve"> There will be separate Boards of Studies for UG and PGT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F9590D" w14:paraId="69DD7280" w14:textId="1B4A3193">
    <w:pPr>
      <w:pStyle w:val="Header"/>
      <w:jc w:val="right"/>
    </w:pPr>
    <w:r>
      <w:rPr>
        <w:noProof/>
      </w:rPr>
      <w:drawing>
        <wp:anchor distT="0" distB="0" distL="114300" distR="114300" simplePos="0" relativeHeight="251658240" behindDoc="0" locked="0" layoutInCell="1" allowOverlap="1" wp14:anchorId="085C94B2" wp14:editId="5EFAD2E9">
          <wp:simplePos x="0" y="0"/>
          <wp:positionH relativeFrom="column">
            <wp:posOffset>-913765</wp:posOffset>
          </wp:positionH>
          <wp:positionV relativeFrom="paragraph">
            <wp:posOffset>-449580</wp:posOffset>
          </wp:positionV>
          <wp:extent cx="7560000" cy="1116937"/>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937"/>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5EAE47AB">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EC"/>
    <w:multiLevelType w:val="hybridMultilevel"/>
    <w:tmpl w:val="DC6A8B50"/>
    <w:lvl w:ilvl="0" w:tplc="3A042EA6">
      <w:start w:val="1"/>
      <w:numFmt w:val="decimal"/>
      <w:lvlText w:val="2.%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637A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1E12B8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2CB2AF6"/>
    <w:multiLevelType w:val="hybridMultilevel"/>
    <w:tmpl w:val="AAF4E518"/>
    <w:lvl w:ilvl="0" w:tplc="7C6CE02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F6C5B"/>
    <w:multiLevelType w:val="hybridMultilevel"/>
    <w:tmpl w:val="798675AC"/>
    <w:lvl w:ilvl="0" w:tplc="08090001">
      <w:start w:val="1"/>
      <w:numFmt w:val="bullet"/>
      <w:lvlText w:val=""/>
      <w:lvlJc w:val="left"/>
      <w:pPr>
        <w:ind w:left="1356" w:hanging="360"/>
      </w:pPr>
      <w:rPr>
        <w:rFonts w:hint="default" w:ascii="Symbol" w:hAnsi="Symbol"/>
      </w:rPr>
    </w:lvl>
    <w:lvl w:ilvl="1" w:tplc="08090003" w:tentative="1">
      <w:start w:val="1"/>
      <w:numFmt w:val="bullet"/>
      <w:lvlText w:val="o"/>
      <w:lvlJc w:val="left"/>
      <w:pPr>
        <w:ind w:left="2076" w:hanging="360"/>
      </w:pPr>
      <w:rPr>
        <w:rFonts w:hint="default" w:ascii="Courier New" w:hAnsi="Courier New" w:cs="Courier New"/>
      </w:rPr>
    </w:lvl>
    <w:lvl w:ilvl="2" w:tplc="08090005" w:tentative="1">
      <w:start w:val="1"/>
      <w:numFmt w:val="bullet"/>
      <w:lvlText w:val=""/>
      <w:lvlJc w:val="left"/>
      <w:pPr>
        <w:ind w:left="2796" w:hanging="360"/>
      </w:pPr>
      <w:rPr>
        <w:rFonts w:hint="default" w:ascii="Wingdings" w:hAnsi="Wingdings"/>
      </w:rPr>
    </w:lvl>
    <w:lvl w:ilvl="3" w:tplc="08090001" w:tentative="1">
      <w:start w:val="1"/>
      <w:numFmt w:val="bullet"/>
      <w:lvlText w:val=""/>
      <w:lvlJc w:val="left"/>
      <w:pPr>
        <w:ind w:left="3516" w:hanging="360"/>
      </w:pPr>
      <w:rPr>
        <w:rFonts w:hint="default" w:ascii="Symbol" w:hAnsi="Symbol"/>
      </w:rPr>
    </w:lvl>
    <w:lvl w:ilvl="4" w:tplc="08090003" w:tentative="1">
      <w:start w:val="1"/>
      <w:numFmt w:val="bullet"/>
      <w:lvlText w:val="o"/>
      <w:lvlJc w:val="left"/>
      <w:pPr>
        <w:ind w:left="4236" w:hanging="360"/>
      </w:pPr>
      <w:rPr>
        <w:rFonts w:hint="default" w:ascii="Courier New" w:hAnsi="Courier New" w:cs="Courier New"/>
      </w:rPr>
    </w:lvl>
    <w:lvl w:ilvl="5" w:tplc="08090005" w:tentative="1">
      <w:start w:val="1"/>
      <w:numFmt w:val="bullet"/>
      <w:lvlText w:val=""/>
      <w:lvlJc w:val="left"/>
      <w:pPr>
        <w:ind w:left="4956" w:hanging="360"/>
      </w:pPr>
      <w:rPr>
        <w:rFonts w:hint="default" w:ascii="Wingdings" w:hAnsi="Wingdings"/>
      </w:rPr>
    </w:lvl>
    <w:lvl w:ilvl="6" w:tplc="08090001" w:tentative="1">
      <w:start w:val="1"/>
      <w:numFmt w:val="bullet"/>
      <w:lvlText w:val=""/>
      <w:lvlJc w:val="left"/>
      <w:pPr>
        <w:ind w:left="5676" w:hanging="360"/>
      </w:pPr>
      <w:rPr>
        <w:rFonts w:hint="default" w:ascii="Symbol" w:hAnsi="Symbol"/>
      </w:rPr>
    </w:lvl>
    <w:lvl w:ilvl="7" w:tplc="08090003" w:tentative="1">
      <w:start w:val="1"/>
      <w:numFmt w:val="bullet"/>
      <w:lvlText w:val="o"/>
      <w:lvlJc w:val="left"/>
      <w:pPr>
        <w:ind w:left="6396" w:hanging="360"/>
      </w:pPr>
      <w:rPr>
        <w:rFonts w:hint="default" w:ascii="Courier New" w:hAnsi="Courier New" w:cs="Courier New"/>
      </w:rPr>
    </w:lvl>
    <w:lvl w:ilvl="8" w:tplc="08090005" w:tentative="1">
      <w:start w:val="1"/>
      <w:numFmt w:val="bullet"/>
      <w:lvlText w:val=""/>
      <w:lvlJc w:val="left"/>
      <w:pPr>
        <w:ind w:left="7116" w:hanging="360"/>
      </w:pPr>
      <w:rPr>
        <w:rFonts w:hint="default" w:ascii="Wingdings" w:hAnsi="Wingdings"/>
      </w:rPr>
    </w:lvl>
  </w:abstractNum>
  <w:abstractNum w:abstractNumId="5" w15:restartNumberingAfterBreak="0">
    <w:nsid w:val="22A31285"/>
    <w:multiLevelType w:val="hybridMultilevel"/>
    <w:tmpl w:val="481CE7DE"/>
    <w:lvl w:ilvl="0" w:tplc="33F6E1A6">
      <w:start w:val="5"/>
      <w:numFmt w:val="decimal"/>
      <w:lvlText w:val="1.%1"/>
      <w:lvlJc w:val="left"/>
      <w:pPr>
        <w:ind w:left="1713"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453F2"/>
    <w:multiLevelType w:val="hybridMultilevel"/>
    <w:tmpl w:val="C188047E"/>
    <w:lvl w:ilvl="0" w:tplc="0944F9C0">
      <w:start w:val="1"/>
      <w:numFmt w:val="decimal"/>
      <w:lvlText w:val="2.6.%1"/>
      <w:lvlJc w:val="left"/>
      <w:pPr>
        <w:ind w:left="1584" w:hanging="360"/>
      </w:pPr>
      <w:rPr>
        <w:rFonts w:hint="default"/>
        <w:b w:val="0"/>
        <w:sz w:val="24"/>
        <w:szCs w:val="24"/>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29374FA3"/>
    <w:multiLevelType w:val="hybridMultilevel"/>
    <w:tmpl w:val="E3805664"/>
    <w:lvl w:ilvl="0" w:tplc="1C16E98E">
      <w:start w:val="1"/>
      <w:numFmt w:val="decimal"/>
      <w:lvlText w:val="3.%1"/>
      <w:lvlJc w:val="left"/>
      <w:pPr>
        <w:ind w:left="720" w:hanging="360"/>
      </w:pPr>
      <w:rPr>
        <w:rFonts w:hint="default"/>
        <w:b w:val="0"/>
        <w:sz w:val="24"/>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F3E1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5A91A4F"/>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AA904EE"/>
    <w:multiLevelType w:val="hybridMultilevel"/>
    <w:tmpl w:val="A27ABA1C"/>
    <w:lvl w:ilvl="0" w:tplc="C7F22BFA">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4BCA5912"/>
    <w:multiLevelType w:val="hybridMultilevel"/>
    <w:tmpl w:val="288E5116"/>
    <w:lvl w:ilvl="0" w:tplc="47B411AA">
      <w:start w:val="1"/>
      <w:numFmt w:val="decimal"/>
      <w:lvlText w:val="1.%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B3D49"/>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0FD334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55A735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567C0E66"/>
    <w:multiLevelType w:val="hybridMultilevel"/>
    <w:tmpl w:val="D9A054C0"/>
    <w:lvl w:ilvl="0" w:tplc="CEFACA04">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58A33D77"/>
    <w:multiLevelType w:val="hybridMultilevel"/>
    <w:tmpl w:val="57582CD6"/>
    <w:lvl w:ilvl="0" w:tplc="B1F81DD2">
      <w:start w:val="1"/>
      <w:numFmt w:val="decimal"/>
      <w:lvlText w:val="3.%1"/>
      <w:lvlJc w:val="left"/>
      <w:pPr>
        <w:ind w:left="1004" w:hanging="360"/>
      </w:pPr>
      <w:rPr>
        <w:rFonts w:hint="default"/>
        <w:b w:val="0"/>
        <w:sz w:val="24"/>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9DD3CC6"/>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CDE75D9"/>
    <w:multiLevelType w:val="hybridMultilevel"/>
    <w:tmpl w:val="F952849A"/>
    <w:lvl w:ilvl="0" w:tplc="A6664680">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5DFC4858"/>
    <w:multiLevelType w:val="hybridMultilevel"/>
    <w:tmpl w:val="C540DDA2"/>
    <w:lvl w:ilvl="0" w:tplc="26FAD256">
      <w:start w:val="1"/>
      <w:numFmt w:val="decimal"/>
      <w:lvlText w:val="3.%1"/>
      <w:lvlJc w:val="left"/>
      <w:pPr>
        <w:ind w:left="1713" w:hanging="360"/>
      </w:pPr>
      <w:rPr>
        <w:rFonts w:hint="default"/>
        <w:b w:val="0"/>
        <w:sz w:val="24"/>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62082278"/>
    <w:multiLevelType w:val="hybridMultilevel"/>
    <w:tmpl w:val="8AC8B258"/>
    <w:lvl w:ilvl="0" w:tplc="4EF69C86">
      <w:start w:val="1"/>
      <w:numFmt w:val="decimal"/>
      <w:lvlText w:val="%1."/>
      <w:lvlJc w:val="left"/>
      <w:pPr>
        <w:ind w:left="1713" w:hanging="360"/>
      </w:pPr>
      <w:rPr>
        <w:rFonts w:hint="default"/>
        <w:b w:val="0"/>
        <w:sz w:val="24"/>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15:restartNumberingAfterBreak="0">
    <w:nsid w:val="63AF76A4"/>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65E97A39"/>
    <w:multiLevelType w:val="multilevel"/>
    <w:tmpl w:val="47306EDE"/>
    <w:lvl w:ilvl="0">
      <w:start w:val="1"/>
      <w:numFmt w:val="decimal"/>
      <w:lvlText w:val="%1"/>
      <w:lvlJc w:val="left"/>
      <w:pPr>
        <w:tabs>
          <w:tab w:val="num" w:pos="576"/>
        </w:tabs>
        <w:ind w:left="576" w:hanging="576"/>
      </w:pPr>
      <w:rPr>
        <w:rFonts w:hint="default" w:ascii="Arial" w:hAnsi="Arial" w:cs="Arial"/>
        <w:b w:val="0"/>
        <w:i w:val="0"/>
        <w:sz w:val="24"/>
      </w:rPr>
    </w:lvl>
    <w:lvl w:ilvl="1">
      <w:start w:val="1"/>
      <w:numFmt w:val="decimal"/>
      <w:lvlText w:val="3.%2"/>
      <w:lvlJc w:val="left"/>
      <w:pPr>
        <w:tabs>
          <w:tab w:val="num" w:pos="576"/>
        </w:tabs>
        <w:ind w:left="576" w:hanging="576"/>
      </w:pPr>
      <w:rPr>
        <w:rFonts w:hint="default"/>
        <w:b w:val="0"/>
        <w:i w:val="0"/>
        <w:sz w:val="24"/>
        <w:szCs w:val="20"/>
      </w:rPr>
    </w:lvl>
    <w:lvl w:ilvl="2">
      <w:start w:val="1"/>
      <w:numFmt w:val="decimal"/>
      <w:lvlText w:val="%1.%2.%3"/>
      <w:lvlJc w:val="left"/>
      <w:pPr>
        <w:tabs>
          <w:tab w:val="num" w:pos="1152"/>
        </w:tabs>
        <w:ind w:left="1152" w:hanging="1152"/>
      </w:pPr>
      <w:rPr>
        <w:rFonts w:hint="default" w:ascii="Plantin" w:hAnsi="Plantin"/>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8134B3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26" w15:restartNumberingAfterBreak="0">
    <w:nsid w:val="7E2B14F5"/>
    <w:multiLevelType w:val="hybridMultilevel"/>
    <w:tmpl w:val="46020CE8"/>
    <w:lvl w:ilvl="0" w:tplc="5122FF36">
      <w:start w:val="1"/>
      <w:numFmt w:val="decimal"/>
      <w:lvlText w:val="1.%1"/>
      <w:lvlJc w:val="left"/>
      <w:pPr>
        <w:ind w:left="1713"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16cid:durableId="1590499035">
    <w:abstractNumId w:val="11"/>
  </w:num>
  <w:num w:numId="2" w16cid:durableId="1367826729">
    <w:abstractNumId w:val="25"/>
  </w:num>
  <w:num w:numId="3" w16cid:durableId="1373842758">
    <w:abstractNumId w:val="14"/>
  </w:num>
  <w:num w:numId="4" w16cid:durableId="1480609819">
    <w:abstractNumId w:val="15"/>
  </w:num>
  <w:num w:numId="5" w16cid:durableId="1575315001">
    <w:abstractNumId w:val="2"/>
  </w:num>
  <w:num w:numId="6" w16cid:durableId="443380080">
    <w:abstractNumId w:val="1"/>
  </w:num>
  <w:num w:numId="7" w16cid:durableId="1372606747">
    <w:abstractNumId w:val="24"/>
  </w:num>
  <w:num w:numId="8" w16cid:durableId="554781546">
    <w:abstractNumId w:val="8"/>
  </w:num>
  <w:num w:numId="9" w16cid:durableId="1611206425">
    <w:abstractNumId w:val="23"/>
  </w:num>
  <w:num w:numId="10" w16cid:durableId="1360232367">
    <w:abstractNumId w:val="22"/>
  </w:num>
  <w:num w:numId="11" w16cid:durableId="1839884045">
    <w:abstractNumId w:val="13"/>
  </w:num>
  <w:num w:numId="12" w16cid:durableId="526411956">
    <w:abstractNumId w:val="18"/>
  </w:num>
  <w:num w:numId="13" w16cid:durableId="2115663552">
    <w:abstractNumId w:val="9"/>
  </w:num>
  <w:num w:numId="14" w16cid:durableId="2134590846">
    <w:abstractNumId w:val="10"/>
  </w:num>
  <w:num w:numId="15" w16cid:durableId="2051563888">
    <w:abstractNumId w:val="4"/>
  </w:num>
  <w:num w:numId="16" w16cid:durableId="1322539428">
    <w:abstractNumId w:val="19"/>
  </w:num>
  <w:num w:numId="17" w16cid:durableId="52118622">
    <w:abstractNumId w:val="12"/>
  </w:num>
  <w:num w:numId="18" w16cid:durableId="558243886">
    <w:abstractNumId w:val="7"/>
  </w:num>
  <w:num w:numId="19" w16cid:durableId="1563522043">
    <w:abstractNumId w:val="20"/>
  </w:num>
  <w:num w:numId="20" w16cid:durableId="1294016022">
    <w:abstractNumId w:val="21"/>
  </w:num>
  <w:num w:numId="21" w16cid:durableId="675881625">
    <w:abstractNumId w:val="0"/>
  </w:num>
  <w:num w:numId="22" w16cid:durableId="4939857">
    <w:abstractNumId w:val="16"/>
  </w:num>
  <w:num w:numId="23" w16cid:durableId="675038226">
    <w:abstractNumId w:val="6"/>
  </w:num>
  <w:num w:numId="24" w16cid:durableId="657685752">
    <w:abstractNumId w:val="17"/>
  </w:num>
  <w:num w:numId="25" w16cid:durableId="889653535">
    <w:abstractNumId w:val="3"/>
  </w:num>
  <w:num w:numId="26" w16cid:durableId="1789623740">
    <w:abstractNumId w:val="26"/>
  </w:num>
  <w:num w:numId="27" w16cid:durableId="134817227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881"/>
    <w:rsid w:val="00030FDA"/>
    <w:rsid w:val="000551AC"/>
    <w:rsid w:val="00075E0F"/>
    <w:rsid w:val="00092653"/>
    <w:rsid w:val="000C5B61"/>
    <w:rsid w:val="000C5C06"/>
    <w:rsid w:val="000E21A4"/>
    <w:rsid w:val="000F16F7"/>
    <w:rsid w:val="000F4445"/>
    <w:rsid w:val="0010753B"/>
    <w:rsid w:val="00137465"/>
    <w:rsid w:val="00142A6F"/>
    <w:rsid w:val="00143986"/>
    <w:rsid w:val="0014400E"/>
    <w:rsid w:val="00144170"/>
    <w:rsid w:val="00146B68"/>
    <w:rsid w:val="00197120"/>
    <w:rsid w:val="001A00E6"/>
    <w:rsid w:val="001A795D"/>
    <w:rsid w:val="001C58E0"/>
    <w:rsid w:val="001C59FA"/>
    <w:rsid w:val="001D2939"/>
    <w:rsid w:val="001E0FC0"/>
    <w:rsid w:val="001F7E70"/>
    <w:rsid w:val="00211127"/>
    <w:rsid w:val="0021253D"/>
    <w:rsid w:val="00264735"/>
    <w:rsid w:val="002750C2"/>
    <w:rsid w:val="002B6F37"/>
    <w:rsid w:val="002D1DCE"/>
    <w:rsid w:val="002E2660"/>
    <w:rsid w:val="002F7E36"/>
    <w:rsid w:val="00301353"/>
    <w:rsid w:val="00302EDE"/>
    <w:rsid w:val="00313BB3"/>
    <w:rsid w:val="00332A59"/>
    <w:rsid w:val="0034213C"/>
    <w:rsid w:val="00366C7E"/>
    <w:rsid w:val="00373CE1"/>
    <w:rsid w:val="003905E3"/>
    <w:rsid w:val="003A541E"/>
    <w:rsid w:val="003F27C3"/>
    <w:rsid w:val="00415084"/>
    <w:rsid w:val="0041527E"/>
    <w:rsid w:val="00422109"/>
    <w:rsid w:val="0042655B"/>
    <w:rsid w:val="00427466"/>
    <w:rsid w:val="00441238"/>
    <w:rsid w:val="004533FD"/>
    <w:rsid w:val="00472C4F"/>
    <w:rsid w:val="00475A51"/>
    <w:rsid w:val="004B46E4"/>
    <w:rsid w:val="004C62BD"/>
    <w:rsid w:val="004E419C"/>
    <w:rsid w:val="005108D4"/>
    <w:rsid w:val="005125D9"/>
    <w:rsid w:val="00516BB0"/>
    <w:rsid w:val="005173F7"/>
    <w:rsid w:val="005561B7"/>
    <w:rsid w:val="005601BC"/>
    <w:rsid w:val="00563C74"/>
    <w:rsid w:val="00582D34"/>
    <w:rsid w:val="005916C8"/>
    <w:rsid w:val="005B6F73"/>
    <w:rsid w:val="005D6D32"/>
    <w:rsid w:val="005E32D5"/>
    <w:rsid w:val="006179C3"/>
    <w:rsid w:val="00626647"/>
    <w:rsid w:val="006415D1"/>
    <w:rsid w:val="00641B55"/>
    <w:rsid w:val="00646C2B"/>
    <w:rsid w:val="00666EAA"/>
    <w:rsid w:val="00673609"/>
    <w:rsid w:val="00683EB1"/>
    <w:rsid w:val="00693C18"/>
    <w:rsid w:val="006942C1"/>
    <w:rsid w:val="006A039B"/>
    <w:rsid w:val="006A09BC"/>
    <w:rsid w:val="006B54CB"/>
    <w:rsid w:val="006C2991"/>
    <w:rsid w:val="006F60A4"/>
    <w:rsid w:val="00715025"/>
    <w:rsid w:val="00732E62"/>
    <w:rsid w:val="00736F61"/>
    <w:rsid w:val="00742837"/>
    <w:rsid w:val="00745783"/>
    <w:rsid w:val="00745FD7"/>
    <w:rsid w:val="007475B3"/>
    <w:rsid w:val="007638A7"/>
    <w:rsid w:val="007667F4"/>
    <w:rsid w:val="007738C7"/>
    <w:rsid w:val="00777562"/>
    <w:rsid w:val="00794069"/>
    <w:rsid w:val="008033CC"/>
    <w:rsid w:val="00805F68"/>
    <w:rsid w:val="00827E9D"/>
    <w:rsid w:val="008360E1"/>
    <w:rsid w:val="00855788"/>
    <w:rsid w:val="00856130"/>
    <w:rsid w:val="00893920"/>
    <w:rsid w:val="00896422"/>
    <w:rsid w:val="008B0DEB"/>
    <w:rsid w:val="008B1FC4"/>
    <w:rsid w:val="008B73AD"/>
    <w:rsid w:val="008E0611"/>
    <w:rsid w:val="008E0C2A"/>
    <w:rsid w:val="00907366"/>
    <w:rsid w:val="00914FBD"/>
    <w:rsid w:val="009246B1"/>
    <w:rsid w:val="00934CA0"/>
    <w:rsid w:val="00944CF6"/>
    <w:rsid w:val="009540F0"/>
    <w:rsid w:val="00962A0C"/>
    <w:rsid w:val="00977AAB"/>
    <w:rsid w:val="00982B64"/>
    <w:rsid w:val="009A518D"/>
    <w:rsid w:val="009A5322"/>
    <w:rsid w:val="009B1048"/>
    <w:rsid w:val="009B19A0"/>
    <w:rsid w:val="009C4A41"/>
    <w:rsid w:val="009C64CB"/>
    <w:rsid w:val="009D2E79"/>
    <w:rsid w:val="009F062D"/>
    <w:rsid w:val="00A01AEE"/>
    <w:rsid w:val="00A023B7"/>
    <w:rsid w:val="00A17662"/>
    <w:rsid w:val="00A22279"/>
    <w:rsid w:val="00A34A6F"/>
    <w:rsid w:val="00A43D89"/>
    <w:rsid w:val="00A462BE"/>
    <w:rsid w:val="00AA11B0"/>
    <w:rsid w:val="00AA7170"/>
    <w:rsid w:val="00AC1921"/>
    <w:rsid w:val="00AD3675"/>
    <w:rsid w:val="00AF6FE7"/>
    <w:rsid w:val="00B2107E"/>
    <w:rsid w:val="00B27FC4"/>
    <w:rsid w:val="00B32FD7"/>
    <w:rsid w:val="00B34B4A"/>
    <w:rsid w:val="00B9435D"/>
    <w:rsid w:val="00BD59F7"/>
    <w:rsid w:val="00BF53F2"/>
    <w:rsid w:val="00C05A91"/>
    <w:rsid w:val="00C0606D"/>
    <w:rsid w:val="00C167E6"/>
    <w:rsid w:val="00C3106E"/>
    <w:rsid w:val="00C403DB"/>
    <w:rsid w:val="00C6585A"/>
    <w:rsid w:val="00C72FB9"/>
    <w:rsid w:val="00C8016F"/>
    <w:rsid w:val="00C94B39"/>
    <w:rsid w:val="00CA7551"/>
    <w:rsid w:val="00CB5CA1"/>
    <w:rsid w:val="00D05190"/>
    <w:rsid w:val="00D1139C"/>
    <w:rsid w:val="00D15A40"/>
    <w:rsid w:val="00D16743"/>
    <w:rsid w:val="00D67357"/>
    <w:rsid w:val="00D85D86"/>
    <w:rsid w:val="00D86C82"/>
    <w:rsid w:val="00DA243D"/>
    <w:rsid w:val="00DA3A9E"/>
    <w:rsid w:val="00DE4294"/>
    <w:rsid w:val="00E0004F"/>
    <w:rsid w:val="00E07ACA"/>
    <w:rsid w:val="00E13009"/>
    <w:rsid w:val="00E14C0B"/>
    <w:rsid w:val="00E71575"/>
    <w:rsid w:val="00E94E14"/>
    <w:rsid w:val="00EA3DB6"/>
    <w:rsid w:val="00EB0DEF"/>
    <w:rsid w:val="00EB4791"/>
    <w:rsid w:val="00EB5661"/>
    <w:rsid w:val="00EB6A4C"/>
    <w:rsid w:val="00EE7692"/>
    <w:rsid w:val="00EF3C68"/>
    <w:rsid w:val="00EF3CD9"/>
    <w:rsid w:val="00EF53FF"/>
    <w:rsid w:val="00F00262"/>
    <w:rsid w:val="00F15218"/>
    <w:rsid w:val="00F2254F"/>
    <w:rsid w:val="00F31920"/>
    <w:rsid w:val="00F31EB8"/>
    <w:rsid w:val="00F438F4"/>
    <w:rsid w:val="00F9590D"/>
    <w:rsid w:val="00F96739"/>
    <w:rsid w:val="00FA57BB"/>
    <w:rsid w:val="00FC008F"/>
    <w:rsid w:val="00FC066F"/>
    <w:rsid w:val="00FE60B8"/>
    <w:rsid w:val="00FF0521"/>
    <w:rsid w:val="00FF6038"/>
    <w:rsid w:val="1AF2A4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46B1"/>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FF0521"/>
    <w:pPr>
      <w:keepNext/>
      <w:keepLines/>
      <w:numPr>
        <w:numId w:val="25"/>
      </w:numPr>
      <w:shd w:val="clear" w:color="auto" w:fill="FFFFFF"/>
      <w:tabs>
        <w:tab w:val="left" w:pos="993"/>
      </w:tabs>
      <w:ind w:left="567" w:hanging="567"/>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A7551"/>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4C62BD"/>
    <w:pPr>
      <w:keepNext/>
      <w:keepLines/>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0521"/>
    <w:rPr>
      <w:rFonts w:ascii="Arial" w:hAnsi="Arial" w:eastAsiaTheme="majorEastAsia" w:cstheme="majorBidi"/>
      <w:b/>
      <w:bCs/>
      <w:color w:val="000000"/>
      <w:sz w:val="24"/>
      <w:szCs w:val="28"/>
      <w:shd w:val="clear" w:color="auto" w:fill="FFFFFF"/>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H4" w:customStyle="1">
    <w:name w:val="H4"/>
    <w:basedOn w:val="Normal"/>
    <w:next w:val="Normal"/>
    <w:rsid w:val="00D86C82"/>
    <w:pPr>
      <w:keepNext/>
      <w:spacing w:before="100" w:after="100"/>
      <w:ind w:left="0" w:firstLine="0"/>
      <w:outlineLvl w:val="4"/>
    </w:pPr>
    <w:rPr>
      <w:rFonts w:ascii="Times New Roman" w:hAnsi="Times New Roman" w:eastAsia="Times New Roman" w:cs="Times New Roman"/>
      <w:b/>
      <w:snapToGrid w:val="0"/>
      <w:color w:val="auto"/>
      <w:szCs w:val="20"/>
      <w:lang w:eastAsia="en-US"/>
    </w:rPr>
  </w:style>
  <w:style w:type="paragraph" w:styleId="FootnoteText">
    <w:name w:val="footnote text"/>
    <w:basedOn w:val="Normal"/>
    <w:link w:val="FootnoteTextChar"/>
    <w:uiPriority w:val="99"/>
    <w:semiHidden/>
    <w:rsid w:val="00D86C82"/>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D86C8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rsid w:val="00D86C82"/>
    <w:rPr>
      <w:vertAlign w:val="superscript"/>
    </w:rPr>
  </w:style>
  <w:style w:type="paragraph" w:styleId="ListParagraph">
    <w:name w:val="List Paragraph"/>
    <w:basedOn w:val="Normal"/>
    <w:uiPriority w:val="34"/>
    <w:qFormat/>
    <w:rsid w:val="00D86C82"/>
    <w:pPr>
      <w:spacing w:after="0"/>
      <w:ind w:left="720" w:firstLine="0"/>
      <w:contextualSpacing/>
    </w:pPr>
    <w:rPr>
      <w:rFonts w:ascii="Times New Roman" w:hAnsi="Times New Roman" w:eastAsia="Times New Roman" w:cs="Times New Roman"/>
      <w:color w:val="auto"/>
      <w:sz w:val="20"/>
      <w:szCs w:val="20"/>
      <w:lang w:eastAsia="en-US"/>
    </w:rPr>
  </w:style>
  <w:style w:type="character" w:styleId="Strong">
    <w:name w:val="Strong"/>
    <w:basedOn w:val="DefaultParagraphFont"/>
    <w:uiPriority w:val="22"/>
    <w:qFormat/>
    <w:rsid w:val="00D86C82"/>
    <w:rPr>
      <w:b/>
      <w:bCs/>
    </w:rPr>
  </w:style>
  <w:style w:type="paragraph" w:styleId="Title">
    <w:name w:val="Title"/>
    <w:basedOn w:val="Normal"/>
    <w:next w:val="Normal"/>
    <w:link w:val="TitleChar"/>
    <w:uiPriority w:val="10"/>
    <w:qFormat/>
    <w:rsid w:val="00B2107E"/>
    <w:pPr>
      <w:spacing w:after="0"/>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B2107E"/>
    <w:rPr>
      <w:rFonts w:asciiTheme="majorHAnsi" w:hAnsiTheme="majorHAnsi" w:eastAsiaTheme="majorEastAsia" w:cstheme="majorBidi"/>
      <w:spacing w:val="-10"/>
      <w:kern w:val="28"/>
      <w:sz w:val="56"/>
      <w:szCs w:val="56"/>
      <w:lang w:eastAsia="en-GB"/>
    </w:rPr>
  </w:style>
  <w:style w:type="character" w:styleId="UnresolvedMention1" w:customStyle="1">
    <w:name w:val="Unresolved Mention1"/>
    <w:basedOn w:val="DefaultParagraphFont"/>
    <w:uiPriority w:val="99"/>
    <w:semiHidden/>
    <w:unhideWhenUsed/>
    <w:rsid w:val="00E0004F"/>
    <w:rPr>
      <w:color w:val="605E5C"/>
      <w:shd w:val="clear" w:color="auto" w:fill="E1DFDD"/>
    </w:rPr>
  </w:style>
  <w:style w:type="character" w:styleId="Heading2Char" w:customStyle="1">
    <w:name w:val="Heading 2 Char"/>
    <w:basedOn w:val="DefaultParagraphFont"/>
    <w:link w:val="Heading2"/>
    <w:uiPriority w:val="9"/>
    <w:rsid w:val="00CA7551"/>
    <w:rPr>
      <w:rFonts w:ascii="Arial" w:hAnsi="Arial" w:eastAsiaTheme="majorEastAsia" w:cstheme="majorBidi"/>
      <w:b/>
      <w:sz w:val="24"/>
      <w:szCs w:val="26"/>
      <w:lang w:eastAsia="en-GB"/>
    </w:rPr>
  </w:style>
  <w:style w:type="character" w:styleId="Heading3Char" w:customStyle="1">
    <w:name w:val="Heading 3 Char"/>
    <w:basedOn w:val="DefaultParagraphFont"/>
    <w:link w:val="Heading3"/>
    <w:uiPriority w:val="9"/>
    <w:rsid w:val="004C62BD"/>
    <w:rPr>
      <w:rFonts w:ascii="Arial" w:hAnsi="Arial" w:eastAsiaTheme="majorEastAsia" w:cstheme="majorBidi"/>
      <w:b/>
      <w:sz w:val="24"/>
      <w:szCs w:val="24"/>
      <w:lang w:eastAsia="en-GB"/>
    </w:rPr>
  </w:style>
  <w:style w:type="paragraph" w:styleId="TOCHeading">
    <w:name w:val="TOC Heading"/>
    <w:basedOn w:val="Heading1"/>
    <w:next w:val="Normal"/>
    <w:uiPriority w:val="39"/>
    <w:unhideWhenUsed/>
    <w:qFormat/>
    <w:rsid w:val="00007881"/>
    <w:pPr>
      <w:numPr>
        <w:numId w:val="0"/>
      </w:numPr>
      <w:shd w:val="clear" w:color="auto" w:fill="auto"/>
      <w:tabs>
        <w:tab w:val="clear" w:pos="993"/>
      </w:tabs>
      <w:spacing w:before="240" w:after="0" w:line="259" w:lineRule="auto"/>
      <w:outlineLvl w:val="9"/>
    </w:pPr>
    <w:rPr>
      <w:rFonts w:asciiTheme="majorHAnsi" w:hAnsiTheme="majorHAnsi"/>
      <w:bCs w:val="0"/>
      <w:color w:val="2E74B5" w:themeColor="accent1" w:themeShade="BF"/>
      <w:sz w:val="32"/>
      <w:szCs w:val="32"/>
      <w:lang w:val="en-US" w:eastAsia="en-US"/>
    </w:rPr>
  </w:style>
  <w:style w:type="paragraph" w:styleId="TOC1">
    <w:name w:val="toc 1"/>
    <w:basedOn w:val="Normal"/>
    <w:next w:val="Normal"/>
    <w:autoRedefine/>
    <w:uiPriority w:val="39"/>
    <w:unhideWhenUsed/>
    <w:rsid w:val="006A039B"/>
    <w:pPr>
      <w:tabs>
        <w:tab w:val="right" w:leader="dot" w:pos="9016"/>
      </w:tabs>
      <w:spacing w:after="100"/>
      <w:ind w:left="567" w:hanging="567"/>
    </w:pPr>
  </w:style>
  <w:style w:type="paragraph" w:styleId="TOC2">
    <w:name w:val="toc 2"/>
    <w:basedOn w:val="Normal"/>
    <w:next w:val="Normal"/>
    <w:autoRedefine/>
    <w:uiPriority w:val="39"/>
    <w:unhideWhenUsed/>
    <w:rsid w:val="005E32D5"/>
    <w:pPr>
      <w:tabs>
        <w:tab w:val="right" w:leader="dot" w:pos="9016"/>
      </w:tabs>
      <w:spacing w:after="100"/>
      <w:ind w:left="567" w:hanging="567"/>
    </w:pPr>
  </w:style>
  <w:style w:type="paragraph" w:styleId="TOC3">
    <w:name w:val="toc 3"/>
    <w:basedOn w:val="Normal"/>
    <w:next w:val="Normal"/>
    <w:autoRedefine/>
    <w:uiPriority w:val="39"/>
    <w:unhideWhenUsed/>
    <w:rsid w:val="00D67357"/>
    <w:pPr>
      <w:tabs>
        <w:tab w:val="right" w:leader="dot" w:pos="9016"/>
      </w:tabs>
      <w:spacing w:after="100"/>
      <w:ind w:left="440" w:hanging="582"/>
    </w:pPr>
  </w:style>
  <w:style w:type="paragraph" w:styleId="Revision">
    <w:name w:val="Revision"/>
    <w:hidden/>
    <w:uiPriority w:val="99"/>
    <w:semiHidden/>
    <w:rsid w:val="00FC008F"/>
    <w:pPr>
      <w:spacing w:after="0" w:line="240" w:lineRule="auto"/>
    </w:pPr>
    <w:rPr>
      <w:rFonts w:ascii="Arial" w:hAnsi="Arial" w:eastAsia="Arial" w:cs="Arial"/>
      <w:color w:val="000000"/>
      <w:sz w:val="24"/>
      <w:lang w:eastAsia="en-GB"/>
    </w:rPr>
  </w:style>
  <w:style w:type="character" w:styleId="FollowedHyperlink">
    <w:name w:val="FollowedHyperlink"/>
    <w:basedOn w:val="DefaultParagraphFont"/>
    <w:uiPriority w:val="99"/>
    <w:semiHidden/>
    <w:unhideWhenUsed/>
    <w:rsid w:val="00F9590D"/>
    <w:rPr>
      <w:color w:val="954F72" w:themeColor="followedHyperlink"/>
      <w:u w:val="single"/>
    </w:rPr>
  </w:style>
  <w:style w:type="character" w:styleId="UnresolvedMention">
    <w:name w:val="Unresolved Mention"/>
    <w:basedOn w:val="DefaultParagraphFont"/>
    <w:uiPriority w:val="99"/>
    <w:semiHidden/>
    <w:unhideWhenUsed/>
    <w:rsid w:val="0089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hyperlink" Target="https://www.kent.ac.uk/education/regulatory-framework/codes-of-practice-for-taught-courses" TargetMode="External" Id="rId18" /><Relationship Type="http://schemas.openxmlformats.org/officeDocument/2006/relationships/hyperlink" Target="https://www.kent.ac.uk/education/regulatory-framework/codes-of-practice-for-taught-courses" TargetMode="External" Id="rId26" /><Relationship Type="http://schemas.openxmlformats.org/officeDocument/2006/relationships/customXml" Target="../customXml/item3.xml" Id="rId3" /><Relationship Type="http://schemas.openxmlformats.org/officeDocument/2006/relationships/hyperlink" Target="https://www.kent.ac.uk/education/regulatory-framework/codes-of-practice-for-taught-courses" TargetMode="Externa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hyperlink" Target="https://www.kent.ac.uk/education/regulatory-framework/codes-of-practice-for-taught-courses" TargetMode="External" Id="rId25" /><Relationship Type="http://schemas.openxmlformats.org/officeDocument/2006/relationships/customXml" Target="../customXml/item2.xml" Id="rId2" /><Relationship Type="http://schemas.openxmlformats.org/officeDocument/2006/relationships/hyperlink" Target="https://www.kent.ac.uk/education/regulatory-framework/credit-framework" TargetMode="External" Id="rId16" /><Relationship Type="http://schemas.openxmlformats.org/officeDocument/2006/relationships/hyperlink" Target="https://www.kent.ac.uk/education/regulatory-framework/codes-of-practice-for-taught-courses"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hyperlink" Target="https://www.kent.ac.uk/education/regulatory-framework/credit-framework"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kent.ac.uk/education/regulatory-framework/credit-framework" TargetMode="External" Id="rId15" /><Relationship Type="http://schemas.openxmlformats.org/officeDocument/2006/relationships/hyperlink" Target="https://www.kent.ac.uk/education/regulatory-framework/codes-of-practice-for-taught-courses" TargetMode="External" Id="rId23" /><Relationship Type="http://schemas.openxmlformats.org/officeDocument/2006/relationships/hyperlink" Target="https://www.kent.ac.uk/education/regulatory-framework/codes-of-practice-for-taught-courses" TargetMode="External" Id="rId28" /><Relationship Type="http://schemas.openxmlformats.org/officeDocument/2006/relationships/endnotes" Target="endnotes.xml" Id="rId10" /><Relationship Type="http://schemas.openxmlformats.org/officeDocument/2006/relationships/hyperlink" Target="https://www.kent.ac.uk/education/regulatory-framework/codes-of-practice-for-taught-courses"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academic/cma/index.html" TargetMode="External" Id="rId14" /><Relationship Type="http://schemas.openxmlformats.org/officeDocument/2006/relationships/hyperlink" Target="https://www.kent.ac.uk/education/regulatory-framework/codes-of-practice-for-taught-courses" TargetMode="External" Id="rId22" /><Relationship Type="http://schemas.openxmlformats.org/officeDocument/2006/relationships/hyperlink" Target="https://www.kent.ac.uk/education/regulatory-framework/codes-of-practice-for-taught-courses" TargetMode="External" Id="rId27" /><Relationship Type="http://schemas.openxmlformats.org/officeDocument/2006/relationships/footer" Target="footer1.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D980-A812-4FE3-82BF-4F50F1BA1517}"/>
</file>

<file path=customXml/itemProps2.xml><?xml version="1.0" encoding="utf-8"?>
<ds:datastoreItem xmlns:ds="http://schemas.openxmlformats.org/officeDocument/2006/customXml" ds:itemID="{CA756AE1-191D-4FC7-8722-7AD61F4F28E7}">
  <ds:schemaRefs>
    <ds:schemaRef ds:uri="http://schemas.microsoft.com/sharepoint/v3/contenttype/forms"/>
  </ds:schemaRefs>
</ds:datastoreItem>
</file>

<file path=customXml/itemProps3.xml><?xml version="1.0" encoding="utf-8"?>
<ds:datastoreItem xmlns:ds="http://schemas.openxmlformats.org/officeDocument/2006/customXml" ds:itemID="{85971D8D-3445-4E45-B739-527C18475F05}">
  <ds:schemaRefs>
    <ds:schemaRef ds:uri="http://schemas.openxmlformats.org/package/2006/metadata/core-properties"/>
    <ds:schemaRef ds:uri="http://purl.org/dc/dcmitype/"/>
    <ds:schemaRef ds:uri="40d8dcd0-4b95-4e4d-9aa5-be2e8658acc5"/>
    <ds:schemaRef ds:uri="http://schemas.microsoft.com/office/2006/documentManagement/types"/>
    <ds:schemaRef ds:uri="http://schemas.microsoft.com/office/infopath/2007/PartnerControls"/>
    <ds:schemaRef ds:uri="http://purl.org/dc/elements/1.1/"/>
    <ds:schemaRef ds:uri="http://purl.org/dc/terms/"/>
    <ds:schemaRef ds:uri="3244cbb2-9f52-4273-9113-8cc2cecf4979"/>
    <ds:schemaRef ds:uri="http://schemas.microsoft.com/office/2006/metadata/properties"/>
    <ds:schemaRef ds:uri="http://www.w3.org/XML/1998/namespace"/>
    <ds:schemaRef ds:uri="4844a565-d903-479b-8f5d-e7c9db0d7e7d"/>
  </ds:schemaRefs>
</ds:datastoreItem>
</file>

<file path=customXml/itemProps4.xml><?xml version="1.0" encoding="utf-8"?>
<ds:datastoreItem xmlns:ds="http://schemas.openxmlformats.org/officeDocument/2006/customXml" ds:itemID="{C24C6A61-F665-42DD-8422-9E3786319A84}">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2022-09-20T07:57:00Z</dcterms:created>
  <dcterms:modified xsi:type="dcterms:W3CDTF">2023-11-10T10:44:21Z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