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5954" w:rsidR="007044B3" w:rsidP="00F55954" w:rsidRDefault="007044B3" w14:paraId="3F057353" w14:textId="77777777">
      <w:pPr>
        <w:pStyle w:val="Title"/>
        <w:snapToGrid w:val="0"/>
        <w:spacing w:after="120"/>
        <w:ind w:left="284" w:right="95"/>
        <w:contextualSpacing w:val="0"/>
        <w:rPr>
          <w:rFonts w:ascii="Arial" w:hAnsi="Arial" w:cs="Arial"/>
          <w:b/>
          <w:bCs/>
          <w:color w:val="000000" w:themeColor="text1"/>
          <w:sz w:val="32"/>
          <w:szCs w:val="32"/>
        </w:rPr>
      </w:pPr>
      <w:r w:rsidRPr="00F55954">
        <w:rPr>
          <w:rFonts w:ascii="Arial" w:hAnsi="Arial" w:cs="Arial"/>
          <w:b/>
          <w:bCs/>
          <w:color w:val="000000" w:themeColor="text1"/>
          <w:sz w:val="32"/>
          <w:szCs w:val="32"/>
        </w:rPr>
        <w:t>Annex G: Personal Academic Support System</w:t>
      </w:r>
    </w:p>
    <w:p w:rsidRPr="00051E99" w:rsidR="007044B3" w:rsidP="00F55954" w:rsidRDefault="007044B3" w14:paraId="4F261616" w14:textId="77777777">
      <w:pPr>
        <w:snapToGrid w:val="0"/>
        <w:spacing w:after="120" w:line="240" w:lineRule="auto"/>
        <w:ind w:right="95"/>
        <w:jc w:val="left"/>
      </w:pPr>
    </w:p>
    <w:sdt>
      <w:sdtPr>
        <w:rPr>
          <w:rFonts w:ascii="Arial" w:hAnsi="Arial" w:eastAsia="Times New Roman"/>
          <w:b/>
          <w:bCs w:val="0"/>
          <w:color w:val="000000"/>
          <w:sz w:val="20"/>
          <w:szCs w:val="20"/>
          <w:lang w:val="en-GB" w:eastAsia="en-GB"/>
        </w:rPr>
        <w:id w:val="-2114200700"/>
        <w:docPartObj>
          <w:docPartGallery w:val="Table of Contents"/>
          <w:docPartUnique/>
        </w:docPartObj>
      </w:sdtPr>
      <w:sdtEndPr>
        <w:rPr>
          <w:rFonts w:eastAsia="Arial"/>
          <w:b w:val="0"/>
          <w:noProof/>
          <w:sz w:val="22"/>
          <w:szCs w:val="22"/>
        </w:rPr>
      </w:sdtEndPr>
      <w:sdtContent>
        <w:p w:rsidRPr="002D4325" w:rsidR="007044B3" w:rsidP="00F55954" w:rsidRDefault="007044B3" w14:paraId="032A2928" w14:textId="77777777">
          <w:pPr>
            <w:pStyle w:val="TOCHeading"/>
            <w:spacing w:before="0" w:after="120" w:line="240" w:lineRule="auto"/>
            <w:ind w:right="95"/>
            <w:rPr>
              <w:rFonts w:ascii="Arial" w:hAnsi="Arial"/>
              <w:b/>
              <w:bCs w:val="0"/>
              <w:color w:val="auto"/>
              <w:sz w:val="24"/>
              <w:szCs w:val="22"/>
            </w:rPr>
          </w:pPr>
          <w:r w:rsidRPr="002D4325">
            <w:rPr>
              <w:rFonts w:ascii="Arial" w:hAnsi="Arial"/>
              <w:b/>
              <w:bCs w:val="0"/>
              <w:color w:val="auto"/>
              <w:sz w:val="24"/>
              <w:szCs w:val="22"/>
            </w:rPr>
            <w:t>Contents</w:t>
          </w:r>
        </w:p>
        <w:p w:rsidRPr="002D4325" w:rsidR="002D4325" w:rsidP="002D4325" w:rsidRDefault="007044B3" w14:paraId="6D528437" w14:textId="42B46FBA">
          <w:pPr>
            <w:pStyle w:val="TOC1"/>
            <w:tabs>
              <w:tab w:val="left" w:pos="440"/>
              <w:tab w:val="right" w:leader="dot" w:pos="9016"/>
            </w:tabs>
            <w:snapToGrid w:val="0"/>
            <w:spacing w:after="120"/>
            <w:rPr>
              <w:rFonts w:ascii="Arial" w:hAnsi="Arial" w:cs="Arial" w:eastAsiaTheme="minorEastAsia"/>
              <w:noProof/>
              <w:sz w:val="24"/>
              <w:szCs w:val="24"/>
              <w:lang w:eastAsia="zh-CN"/>
            </w:rPr>
          </w:pPr>
          <w:r w:rsidRPr="002D4325">
            <w:rPr>
              <w:rFonts w:ascii="Arial" w:hAnsi="Arial" w:cs="Arial"/>
              <w:color w:val="000000" w:themeColor="text1"/>
              <w:sz w:val="24"/>
              <w:szCs w:val="24"/>
            </w:rPr>
            <w:fldChar w:fldCharType="begin"/>
          </w:r>
          <w:r w:rsidRPr="002D4325">
            <w:rPr>
              <w:rFonts w:ascii="Arial" w:hAnsi="Arial" w:cs="Arial"/>
              <w:color w:val="000000" w:themeColor="text1"/>
              <w:sz w:val="24"/>
              <w:szCs w:val="24"/>
            </w:rPr>
            <w:instrText xml:space="preserve"> TOC \o "1-3" \h \z \u </w:instrText>
          </w:r>
          <w:r w:rsidRPr="002D4325">
            <w:rPr>
              <w:rFonts w:ascii="Arial" w:hAnsi="Arial" w:cs="Arial"/>
              <w:color w:val="000000" w:themeColor="text1"/>
              <w:sz w:val="24"/>
              <w:szCs w:val="24"/>
            </w:rPr>
            <w:fldChar w:fldCharType="separate"/>
          </w:r>
          <w:hyperlink w:history="1" w:anchor="_Toc83221302">
            <w:r w:rsidRPr="002D4325" w:rsidR="002D4325">
              <w:rPr>
                <w:rStyle w:val="Hyperlink"/>
                <w:rFonts w:ascii="Arial" w:hAnsi="Arial" w:cs="Arial"/>
                <w:noProof/>
                <w:sz w:val="24"/>
                <w:szCs w:val="24"/>
              </w:rPr>
              <w:t>1.</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Introduction</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_Toc83221302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2</w:t>
            </w:r>
            <w:r w:rsidRPr="002D4325" w:rsidR="002D4325">
              <w:rPr>
                <w:rFonts w:ascii="Arial" w:hAnsi="Arial" w:cs="Arial"/>
                <w:noProof/>
                <w:webHidden/>
                <w:sz w:val="24"/>
                <w:szCs w:val="24"/>
              </w:rPr>
              <w:fldChar w:fldCharType="end"/>
            </w:r>
          </w:hyperlink>
        </w:p>
        <w:p w:rsidRPr="002D4325" w:rsidR="002D4325" w:rsidP="002D4325" w:rsidRDefault="00C810F1" w14:paraId="11A7132A" w14:textId="679D126D">
          <w:pPr>
            <w:pStyle w:val="TOC1"/>
            <w:tabs>
              <w:tab w:val="left" w:pos="440"/>
              <w:tab w:val="right" w:leader="dot" w:pos="9016"/>
            </w:tabs>
            <w:snapToGrid w:val="0"/>
            <w:spacing w:after="120"/>
            <w:rPr>
              <w:rFonts w:ascii="Arial" w:hAnsi="Arial" w:cs="Arial" w:eastAsiaTheme="minorEastAsia"/>
              <w:noProof/>
              <w:sz w:val="24"/>
              <w:szCs w:val="24"/>
              <w:lang w:eastAsia="zh-CN"/>
            </w:rPr>
          </w:pPr>
          <w:hyperlink w:history="1" w:anchor="_Toc83221303">
            <w:r w:rsidRPr="002D4325" w:rsidR="002D4325">
              <w:rPr>
                <w:rStyle w:val="Hyperlink"/>
                <w:rFonts w:ascii="Arial" w:hAnsi="Arial" w:cs="Arial"/>
                <w:noProof/>
                <w:sz w:val="24"/>
                <w:szCs w:val="24"/>
              </w:rPr>
              <w:t>2.</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Academic Advice</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_Toc83221303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2</w:t>
            </w:r>
            <w:r w:rsidRPr="002D4325" w:rsidR="002D4325">
              <w:rPr>
                <w:rFonts w:ascii="Arial" w:hAnsi="Arial" w:cs="Arial"/>
                <w:noProof/>
                <w:webHidden/>
                <w:sz w:val="24"/>
                <w:szCs w:val="24"/>
              </w:rPr>
              <w:fldChar w:fldCharType="end"/>
            </w:r>
          </w:hyperlink>
        </w:p>
        <w:p w:rsidRPr="002D4325" w:rsidR="002D4325" w:rsidP="002D4325" w:rsidRDefault="00C810F1" w14:paraId="5196FC5C" w14:textId="6FB90034">
          <w:pPr>
            <w:pStyle w:val="TOC2"/>
            <w:tabs>
              <w:tab w:val="left" w:pos="880"/>
              <w:tab w:val="right" w:leader="dot" w:pos="9016"/>
            </w:tabs>
            <w:snapToGrid w:val="0"/>
            <w:spacing w:after="120"/>
            <w:rPr>
              <w:rFonts w:ascii="Arial" w:hAnsi="Arial" w:cs="Arial" w:eastAsiaTheme="minorEastAsia"/>
              <w:noProof/>
              <w:sz w:val="24"/>
              <w:szCs w:val="24"/>
              <w:lang w:eastAsia="zh-CN"/>
            </w:rPr>
          </w:pPr>
          <w:hyperlink w:history="1" w:anchor="_Toc83221304">
            <w:r w:rsidRPr="002D4325" w:rsidR="002D4325">
              <w:rPr>
                <w:rStyle w:val="Hyperlink"/>
                <w:rFonts w:ascii="Arial" w:hAnsi="Arial" w:cs="Arial"/>
                <w:noProof/>
                <w:sz w:val="24"/>
                <w:szCs w:val="24"/>
              </w:rPr>
              <w:t>2.1</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Academic Advisers</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_Toc83221304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2</w:t>
            </w:r>
            <w:r w:rsidRPr="002D4325" w:rsidR="002D4325">
              <w:rPr>
                <w:rFonts w:ascii="Arial" w:hAnsi="Arial" w:cs="Arial"/>
                <w:noProof/>
                <w:webHidden/>
                <w:sz w:val="24"/>
                <w:szCs w:val="24"/>
              </w:rPr>
              <w:fldChar w:fldCharType="end"/>
            </w:r>
          </w:hyperlink>
        </w:p>
        <w:p w:rsidRPr="002D4325" w:rsidR="002D4325" w:rsidP="002D4325" w:rsidRDefault="00C810F1" w14:paraId="285C47EA" w14:textId="528A7E32">
          <w:pPr>
            <w:pStyle w:val="TOC2"/>
            <w:tabs>
              <w:tab w:val="left" w:pos="880"/>
              <w:tab w:val="right" w:leader="dot" w:pos="9016"/>
            </w:tabs>
            <w:snapToGrid w:val="0"/>
            <w:spacing w:after="120"/>
            <w:rPr>
              <w:rFonts w:ascii="Arial" w:hAnsi="Arial" w:cs="Arial" w:eastAsiaTheme="minorEastAsia"/>
              <w:noProof/>
              <w:sz w:val="24"/>
              <w:szCs w:val="24"/>
              <w:lang w:eastAsia="zh-CN"/>
            </w:rPr>
          </w:pPr>
          <w:hyperlink w:history="1" w:anchor="_Toc83221305">
            <w:r w:rsidRPr="002D4325" w:rsidR="002D4325">
              <w:rPr>
                <w:rStyle w:val="Hyperlink"/>
                <w:rFonts w:ascii="Arial" w:hAnsi="Arial" w:cs="Arial"/>
                <w:noProof/>
                <w:sz w:val="24"/>
                <w:szCs w:val="24"/>
              </w:rPr>
              <w:t>2.2</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Personal Development Plans</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_Toc83221305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2</w:t>
            </w:r>
            <w:r w:rsidRPr="002D4325" w:rsidR="002D4325">
              <w:rPr>
                <w:rFonts w:ascii="Arial" w:hAnsi="Arial" w:cs="Arial"/>
                <w:noProof/>
                <w:webHidden/>
                <w:sz w:val="24"/>
                <w:szCs w:val="24"/>
              </w:rPr>
              <w:fldChar w:fldCharType="end"/>
            </w:r>
          </w:hyperlink>
        </w:p>
        <w:p w:rsidRPr="002D4325" w:rsidR="002D4325" w:rsidP="002D4325" w:rsidRDefault="00C810F1" w14:paraId="773FA476" w14:textId="445A5A25">
          <w:pPr>
            <w:pStyle w:val="TOC2"/>
            <w:tabs>
              <w:tab w:val="left" w:pos="880"/>
              <w:tab w:val="right" w:leader="dot" w:pos="9016"/>
            </w:tabs>
            <w:snapToGrid w:val="0"/>
            <w:spacing w:after="120"/>
            <w:rPr>
              <w:rFonts w:ascii="Arial" w:hAnsi="Arial" w:cs="Arial" w:eastAsiaTheme="minorEastAsia"/>
              <w:noProof/>
              <w:sz w:val="24"/>
              <w:szCs w:val="24"/>
              <w:lang w:eastAsia="zh-CN"/>
            </w:rPr>
          </w:pPr>
          <w:hyperlink w:history="1" w:anchor="_Toc83221306">
            <w:r w:rsidRPr="002D4325" w:rsidR="002D4325">
              <w:rPr>
                <w:rStyle w:val="Hyperlink"/>
                <w:rFonts w:ascii="Arial" w:hAnsi="Arial" w:cs="Arial"/>
                <w:noProof/>
                <w:sz w:val="24"/>
                <w:szCs w:val="24"/>
              </w:rPr>
              <w:t>2.3</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Specialist Advice</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_Toc83221306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2</w:t>
            </w:r>
            <w:r w:rsidRPr="002D4325" w:rsidR="002D4325">
              <w:rPr>
                <w:rFonts w:ascii="Arial" w:hAnsi="Arial" w:cs="Arial"/>
                <w:noProof/>
                <w:webHidden/>
                <w:sz w:val="24"/>
                <w:szCs w:val="24"/>
              </w:rPr>
              <w:fldChar w:fldCharType="end"/>
            </w:r>
          </w:hyperlink>
        </w:p>
        <w:p w:rsidRPr="002D4325" w:rsidR="002D4325" w:rsidP="002D4325" w:rsidRDefault="00C810F1" w14:paraId="5F953582" w14:textId="6F523B86">
          <w:pPr>
            <w:pStyle w:val="TOC2"/>
            <w:tabs>
              <w:tab w:val="left" w:pos="880"/>
              <w:tab w:val="right" w:leader="dot" w:pos="9016"/>
            </w:tabs>
            <w:snapToGrid w:val="0"/>
            <w:spacing w:after="120"/>
            <w:rPr>
              <w:rFonts w:ascii="Arial" w:hAnsi="Arial" w:cs="Arial" w:eastAsiaTheme="minorEastAsia"/>
              <w:noProof/>
              <w:sz w:val="24"/>
              <w:szCs w:val="24"/>
              <w:lang w:eastAsia="zh-CN"/>
            </w:rPr>
          </w:pPr>
          <w:hyperlink w:history="1" w:anchor="_Toc83221307">
            <w:r w:rsidRPr="002D4325" w:rsidR="002D4325">
              <w:rPr>
                <w:rStyle w:val="Hyperlink"/>
                <w:rFonts w:ascii="Arial" w:hAnsi="Arial" w:cs="Arial"/>
                <w:noProof/>
                <w:sz w:val="24"/>
                <w:szCs w:val="24"/>
              </w:rPr>
              <w:t>2.4</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Further Guidance</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_Toc83221307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2</w:t>
            </w:r>
            <w:r w:rsidRPr="002D4325" w:rsidR="002D4325">
              <w:rPr>
                <w:rFonts w:ascii="Arial" w:hAnsi="Arial" w:cs="Arial"/>
                <w:noProof/>
                <w:webHidden/>
                <w:sz w:val="24"/>
                <w:szCs w:val="24"/>
              </w:rPr>
              <w:fldChar w:fldCharType="end"/>
            </w:r>
          </w:hyperlink>
        </w:p>
        <w:p w:rsidRPr="002D4325" w:rsidR="002D4325" w:rsidP="002D4325" w:rsidRDefault="00C810F1" w14:paraId="7A3292C4" w14:textId="19B6C213">
          <w:pPr>
            <w:pStyle w:val="TOC1"/>
            <w:tabs>
              <w:tab w:val="left" w:pos="440"/>
              <w:tab w:val="right" w:leader="dot" w:pos="9016"/>
            </w:tabs>
            <w:snapToGrid w:val="0"/>
            <w:spacing w:after="120"/>
            <w:rPr>
              <w:rFonts w:ascii="Arial" w:hAnsi="Arial" w:cs="Arial" w:eastAsiaTheme="minorEastAsia"/>
              <w:noProof/>
              <w:sz w:val="24"/>
              <w:szCs w:val="24"/>
              <w:lang w:eastAsia="zh-CN"/>
            </w:rPr>
          </w:pPr>
          <w:hyperlink w:history="1" w:anchor="_Toc83221308">
            <w:r w:rsidRPr="002D4325" w:rsidR="002D4325">
              <w:rPr>
                <w:rStyle w:val="Hyperlink"/>
                <w:rFonts w:ascii="Arial" w:hAnsi="Arial" w:cs="Arial"/>
                <w:noProof/>
                <w:sz w:val="24"/>
                <w:szCs w:val="24"/>
              </w:rPr>
              <w:t>3.</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Academic Support and Progress Monitoring</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_Toc83221308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2</w:t>
            </w:r>
            <w:r w:rsidRPr="002D4325" w:rsidR="002D4325">
              <w:rPr>
                <w:rFonts w:ascii="Arial" w:hAnsi="Arial" w:cs="Arial"/>
                <w:noProof/>
                <w:webHidden/>
                <w:sz w:val="24"/>
                <w:szCs w:val="24"/>
              </w:rPr>
              <w:fldChar w:fldCharType="end"/>
            </w:r>
          </w:hyperlink>
        </w:p>
        <w:p w:rsidRPr="002D4325" w:rsidR="002D4325" w:rsidP="002D4325" w:rsidRDefault="00C810F1" w14:paraId="0135618B" w14:textId="6D63B800">
          <w:pPr>
            <w:pStyle w:val="TOC2"/>
            <w:tabs>
              <w:tab w:val="left" w:pos="880"/>
              <w:tab w:val="right" w:leader="dot" w:pos="9016"/>
            </w:tabs>
            <w:snapToGrid w:val="0"/>
            <w:spacing w:after="120"/>
            <w:rPr>
              <w:rFonts w:ascii="Arial" w:hAnsi="Arial" w:cs="Arial" w:eastAsiaTheme="minorEastAsia"/>
              <w:noProof/>
              <w:sz w:val="24"/>
              <w:szCs w:val="24"/>
              <w:lang w:eastAsia="zh-CN"/>
            </w:rPr>
          </w:pPr>
          <w:hyperlink w:history="1" w:anchor="_Toc83221309">
            <w:r w:rsidRPr="002D4325" w:rsidR="002D4325">
              <w:rPr>
                <w:rStyle w:val="Hyperlink"/>
                <w:rFonts w:ascii="Arial" w:hAnsi="Arial" w:cs="Arial"/>
                <w:noProof/>
                <w:sz w:val="24"/>
                <w:szCs w:val="24"/>
              </w:rPr>
              <w:t>3.1</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Division Responsibility</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_Toc83221309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2</w:t>
            </w:r>
            <w:r w:rsidRPr="002D4325" w:rsidR="002D4325">
              <w:rPr>
                <w:rFonts w:ascii="Arial" w:hAnsi="Arial" w:cs="Arial"/>
                <w:noProof/>
                <w:webHidden/>
                <w:sz w:val="24"/>
                <w:szCs w:val="24"/>
              </w:rPr>
              <w:fldChar w:fldCharType="end"/>
            </w:r>
          </w:hyperlink>
        </w:p>
        <w:p w:rsidRPr="002D4325" w:rsidR="002D4325" w:rsidP="002D4325" w:rsidRDefault="00C810F1" w14:paraId="77EBBA2E" w14:textId="1918B483">
          <w:pPr>
            <w:pStyle w:val="TOC2"/>
            <w:tabs>
              <w:tab w:val="left" w:pos="880"/>
              <w:tab w:val="right" w:leader="dot" w:pos="9016"/>
            </w:tabs>
            <w:snapToGrid w:val="0"/>
            <w:spacing w:after="120"/>
            <w:rPr>
              <w:rFonts w:ascii="Arial" w:hAnsi="Arial" w:cs="Arial" w:eastAsiaTheme="minorEastAsia"/>
              <w:noProof/>
              <w:sz w:val="24"/>
              <w:szCs w:val="24"/>
              <w:lang w:eastAsia="zh-CN"/>
            </w:rPr>
          </w:pPr>
          <w:hyperlink w:history="1" w:anchor="_Toc83221310">
            <w:r w:rsidRPr="002D4325" w:rsidR="002D4325">
              <w:rPr>
                <w:rStyle w:val="Hyperlink"/>
                <w:rFonts w:ascii="Arial" w:hAnsi="Arial" w:cs="Arial"/>
                <w:noProof/>
                <w:sz w:val="24"/>
                <w:szCs w:val="24"/>
              </w:rPr>
              <w:t>3.2</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Minimum Areas of Support by Named Divisional Officer</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_Toc83221310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2</w:t>
            </w:r>
            <w:r w:rsidRPr="002D4325" w:rsidR="002D4325">
              <w:rPr>
                <w:rFonts w:ascii="Arial" w:hAnsi="Arial" w:cs="Arial"/>
                <w:noProof/>
                <w:webHidden/>
                <w:sz w:val="24"/>
                <w:szCs w:val="24"/>
              </w:rPr>
              <w:fldChar w:fldCharType="end"/>
            </w:r>
          </w:hyperlink>
        </w:p>
        <w:p w:rsidRPr="002D4325" w:rsidR="002D4325" w:rsidP="002D4325" w:rsidRDefault="00C810F1" w14:paraId="295268C1" w14:textId="40272CED">
          <w:pPr>
            <w:pStyle w:val="TOC2"/>
            <w:tabs>
              <w:tab w:val="left" w:pos="880"/>
              <w:tab w:val="right" w:leader="dot" w:pos="9016"/>
            </w:tabs>
            <w:snapToGrid w:val="0"/>
            <w:spacing w:after="120"/>
            <w:rPr>
              <w:rFonts w:ascii="Arial" w:hAnsi="Arial" w:cs="Arial" w:eastAsiaTheme="minorEastAsia"/>
              <w:noProof/>
              <w:sz w:val="24"/>
              <w:szCs w:val="24"/>
              <w:lang w:eastAsia="zh-CN"/>
            </w:rPr>
          </w:pPr>
          <w:hyperlink w:history="1" w:anchor="_Toc83221311">
            <w:r w:rsidRPr="002D4325" w:rsidR="002D4325">
              <w:rPr>
                <w:rStyle w:val="Hyperlink"/>
                <w:rFonts w:ascii="Arial" w:hAnsi="Arial" w:cs="Arial"/>
                <w:noProof/>
                <w:sz w:val="24"/>
                <w:szCs w:val="24"/>
              </w:rPr>
              <w:t>3.3</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Guidelines for monitoring student attendance:</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_Toc83221311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3</w:t>
            </w:r>
            <w:r w:rsidRPr="002D4325" w:rsidR="002D4325">
              <w:rPr>
                <w:rFonts w:ascii="Arial" w:hAnsi="Arial" w:cs="Arial"/>
                <w:noProof/>
                <w:webHidden/>
                <w:sz w:val="24"/>
                <w:szCs w:val="24"/>
              </w:rPr>
              <w:fldChar w:fldCharType="end"/>
            </w:r>
          </w:hyperlink>
        </w:p>
        <w:p w:rsidRPr="002D4325" w:rsidR="002D4325" w:rsidP="002D4325" w:rsidRDefault="00C810F1" w14:paraId="598984A9" w14:textId="07D1D27C">
          <w:pPr>
            <w:pStyle w:val="TOC2"/>
            <w:tabs>
              <w:tab w:val="left" w:pos="880"/>
              <w:tab w:val="right" w:leader="dot" w:pos="9016"/>
            </w:tabs>
            <w:snapToGrid w:val="0"/>
            <w:spacing w:after="120"/>
            <w:rPr>
              <w:rFonts w:ascii="Arial" w:hAnsi="Arial" w:cs="Arial" w:eastAsiaTheme="minorEastAsia"/>
              <w:noProof/>
              <w:sz w:val="24"/>
              <w:szCs w:val="24"/>
              <w:lang w:eastAsia="zh-CN"/>
            </w:rPr>
          </w:pPr>
          <w:hyperlink w:history="1" w:anchor="_Toc83221312">
            <w:r w:rsidRPr="002D4325" w:rsidR="002D4325">
              <w:rPr>
                <w:rStyle w:val="Hyperlink"/>
                <w:rFonts w:ascii="Arial" w:hAnsi="Arial" w:cs="Arial"/>
                <w:noProof/>
                <w:sz w:val="24"/>
                <w:szCs w:val="24"/>
              </w:rPr>
              <w:t>3.4</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Monitoring Student Academic Progress</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_Toc83221312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4</w:t>
            </w:r>
            <w:r w:rsidRPr="002D4325" w:rsidR="002D4325">
              <w:rPr>
                <w:rFonts w:ascii="Arial" w:hAnsi="Arial" w:cs="Arial"/>
                <w:noProof/>
                <w:webHidden/>
                <w:sz w:val="24"/>
                <w:szCs w:val="24"/>
              </w:rPr>
              <w:fldChar w:fldCharType="end"/>
            </w:r>
          </w:hyperlink>
        </w:p>
        <w:p w:rsidRPr="002D4325" w:rsidR="002D4325" w:rsidP="002D4325" w:rsidRDefault="00C810F1" w14:paraId="0BB32B5A" w14:textId="2421F183">
          <w:pPr>
            <w:pStyle w:val="TOC1"/>
            <w:tabs>
              <w:tab w:val="left" w:pos="440"/>
              <w:tab w:val="right" w:leader="dot" w:pos="9016"/>
            </w:tabs>
            <w:snapToGrid w:val="0"/>
            <w:spacing w:after="120"/>
            <w:rPr>
              <w:rFonts w:ascii="Arial" w:hAnsi="Arial" w:cs="Arial" w:eastAsiaTheme="minorEastAsia"/>
              <w:noProof/>
              <w:sz w:val="24"/>
              <w:szCs w:val="24"/>
              <w:lang w:eastAsia="zh-CN"/>
            </w:rPr>
          </w:pPr>
          <w:hyperlink w:history="1" w:anchor="_Toc83221313">
            <w:r w:rsidRPr="002D4325" w:rsidR="002D4325">
              <w:rPr>
                <w:rStyle w:val="Hyperlink"/>
                <w:rFonts w:ascii="Arial" w:hAnsi="Arial" w:cs="Arial"/>
                <w:noProof/>
                <w:sz w:val="24"/>
                <w:szCs w:val="24"/>
              </w:rPr>
              <w:t>4.</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References</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_Toc83221313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4</w:t>
            </w:r>
            <w:r w:rsidRPr="002D4325" w:rsidR="002D4325">
              <w:rPr>
                <w:rFonts w:ascii="Arial" w:hAnsi="Arial" w:cs="Arial"/>
                <w:noProof/>
                <w:webHidden/>
                <w:sz w:val="24"/>
                <w:szCs w:val="24"/>
              </w:rPr>
              <w:fldChar w:fldCharType="end"/>
            </w:r>
          </w:hyperlink>
        </w:p>
        <w:p w:rsidRPr="002D4325" w:rsidR="002D4325" w:rsidP="002D4325" w:rsidRDefault="00C810F1" w14:paraId="7392DB02" w14:textId="61C64D9D">
          <w:pPr>
            <w:pStyle w:val="TOC1"/>
            <w:tabs>
              <w:tab w:val="left" w:pos="440"/>
              <w:tab w:val="right" w:leader="dot" w:pos="9016"/>
            </w:tabs>
            <w:snapToGrid w:val="0"/>
            <w:spacing w:after="120"/>
            <w:rPr>
              <w:rFonts w:ascii="Arial" w:hAnsi="Arial" w:cs="Arial" w:eastAsiaTheme="minorEastAsia"/>
              <w:noProof/>
              <w:sz w:val="24"/>
              <w:szCs w:val="24"/>
              <w:lang w:eastAsia="zh-CN"/>
            </w:rPr>
          </w:pPr>
          <w:hyperlink w:history="1" w:anchor="_Toc83221314">
            <w:r w:rsidRPr="002D4325" w:rsidR="002D4325">
              <w:rPr>
                <w:rStyle w:val="Hyperlink"/>
                <w:rFonts w:ascii="Arial" w:hAnsi="Arial" w:cs="Arial"/>
                <w:noProof/>
                <w:sz w:val="24"/>
                <w:szCs w:val="24"/>
              </w:rPr>
              <w:t>5.</w:t>
            </w:r>
            <w:r w:rsidRPr="002D4325" w:rsidR="002D4325">
              <w:rPr>
                <w:rFonts w:ascii="Arial" w:hAnsi="Arial" w:cs="Arial" w:eastAsiaTheme="minorEastAsia"/>
                <w:noProof/>
                <w:sz w:val="24"/>
                <w:szCs w:val="24"/>
                <w:lang w:eastAsia="zh-CN"/>
              </w:rPr>
              <w:tab/>
            </w:r>
            <w:r w:rsidRPr="002D4325" w:rsidR="002D4325">
              <w:rPr>
                <w:rStyle w:val="Hyperlink"/>
                <w:rFonts w:ascii="Arial" w:hAnsi="Arial" w:cs="Arial"/>
                <w:noProof/>
                <w:sz w:val="24"/>
                <w:szCs w:val="24"/>
              </w:rPr>
              <w:t>University Services</w:t>
            </w:r>
            <w:r w:rsidRPr="002D4325" w:rsidR="002D4325">
              <w:rPr>
                <w:rFonts w:ascii="Arial" w:hAnsi="Arial" w:cs="Arial"/>
                <w:noProof/>
                <w:webHidden/>
                <w:sz w:val="24"/>
                <w:szCs w:val="24"/>
              </w:rPr>
              <w:tab/>
            </w:r>
            <w:r w:rsidRPr="002D4325" w:rsidR="002D4325">
              <w:rPr>
                <w:rFonts w:ascii="Arial" w:hAnsi="Arial" w:cs="Arial"/>
                <w:noProof/>
                <w:webHidden/>
                <w:sz w:val="24"/>
                <w:szCs w:val="24"/>
              </w:rPr>
              <w:fldChar w:fldCharType="begin"/>
            </w:r>
            <w:r w:rsidRPr="002D4325" w:rsidR="002D4325">
              <w:rPr>
                <w:rFonts w:ascii="Arial" w:hAnsi="Arial" w:cs="Arial"/>
                <w:noProof/>
                <w:webHidden/>
                <w:sz w:val="24"/>
                <w:szCs w:val="24"/>
              </w:rPr>
              <w:instrText xml:space="preserve"> PAGEREF _Toc83221314 \h </w:instrText>
            </w:r>
            <w:r w:rsidRPr="002D4325" w:rsidR="002D4325">
              <w:rPr>
                <w:rFonts w:ascii="Arial" w:hAnsi="Arial" w:cs="Arial"/>
                <w:noProof/>
                <w:webHidden/>
                <w:sz w:val="24"/>
                <w:szCs w:val="24"/>
              </w:rPr>
            </w:r>
            <w:r w:rsidRPr="002D4325" w:rsidR="002D4325">
              <w:rPr>
                <w:rFonts w:ascii="Arial" w:hAnsi="Arial" w:cs="Arial"/>
                <w:noProof/>
                <w:webHidden/>
                <w:sz w:val="24"/>
                <w:szCs w:val="24"/>
              </w:rPr>
              <w:fldChar w:fldCharType="separate"/>
            </w:r>
            <w:r w:rsidR="00C91046">
              <w:rPr>
                <w:rFonts w:ascii="Arial" w:hAnsi="Arial" w:cs="Arial"/>
                <w:noProof/>
                <w:webHidden/>
                <w:sz w:val="24"/>
                <w:szCs w:val="24"/>
              </w:rPr>
              <w:t>4</w:t>
            </w:r>
            <w:r w:rsidRPr="002D4325" w:rsidR="002D4325">
              <w:rPr>
                <w:rFonts w:ascii="Arial" w:hAnsi="Arial" w:cs="Arial"/>
                <w:noProof/>
                <w:webHidden/>
                <w:sz w:val="24"/>
                <w:szCs w:val="24"/>
              </w:rPr>
              <w:fldChar w:fldCharType="end"/>
            </w:r>
          </w:hyperlink>
        </w:p>
        <w:p w:rsidRPr="00051E99" w:rsidR="007044B3" w:rsidP="002D4325" w:rsidRDefault="007044B3" w14:paraId="144341C9" w14:textId="63E8C839">
          <w:pPr>
            <w:snapToGrid w:val="0"/>
            <w:spacing w:after="120" w:line="240" w:lineRule="auto"/>
            <w:ind w:right="95"/>
            <w:jc w:val="left"/>
          </w:pPr>
          <w:r w:rsidRPr="002D4325">
            <w:rPr>
              <w:b/>
              <w:bCs/>
              <w:noProof/>
              <w:color w:val="000000" w:themeColor="text1"/>
              <w:sz w:val="24"/>
              <w:szCs w:val="24"/>
            </w:rPr>
            <w:fldChar w:fldCharType="end"/>
          </w:r>
        </w:p>
      </w:sdtContent>
    </w:sdt>
    <w:p w:rsidRPr="00051E99" w:rsidR="007044B3" w:rsidP="00F55954" w:rsidRDefault="007044B3" w14:paraId="733F6F31" w14:textId="77777777">
      <w:pPr>
        <w:snapToGrid w:val="0"/>
        <w:spacing w:after="120" w:line="240" w:lineRule="auto"/>
        <w:ind w:right="95"/>
        <w:jc w:val="left"/>
      </w:pPr>
      <w:r w:rsidRPr="00051E99">
        <w:br w:type="page"/>
      </w:r>
    </w:p>
    <w:p w:rsidRPr="00051E99" w:rsidR="007044B3" w:rsidP="00F55954" w:rsidRDefault="00F55954" w14:paraId="199B332E" w14:textId="24CAA9CB">
      <w:pPr>
        <w:pStyle w:val="Heading1"/>
        <w:ind w:right="95"/>
      </w:pPr>
      <w:bookmarkStart w:name="_Toc83221302" w:id="0"/>
      <w:r>
        <w:t>Introduction</w:t>
      </w:r>
      <w:bookmarkEnd w:id="0"/>
      <w:r>
        <w:t xml:space="preserve"> </w:t>
      </w:r>
    </w:p>
    <w:p w:rsidRPr="00051E99" w:rsidR="007044B3" w:rsidP="00F55954" w:rsidRDefault="007044B3" w14:paraId="72072002" w14:textId="77777777">
      <w:pPr>
        <w:snapToGrid w:val="0"/>
        <w:spacing w:after="120" w:line="240" w:lineRule="auto"/>
        <w:ind w:left="567" w:right="95" w:firstLine="0"/>
        <w:jc w:val="left"/>
        <w:rPr>
          <w:sz w:val="24"/>
          <w:szCs w:val="24"/>
        </w:rPr>
      </w:pPr>
      <w:r w:rsidRPr="00051E99">
        <w:rPr>
          <w:sz w:val="24"/>
          <w:szCs w:val="24"/>
        </w:rPr>
        <w:t xml:space="preserve">The Personal Academic Support System (PASS) at Kent provides academic and personal advice, </w:t>
      </w:r>
      <w:proofErr w:type="gramStart"/>
      <w:r w:rsidRPr="00051E99">
        <w:rPr>
          <w:sz w:val="24"/>
          <w:szCs w:val="24"/>
        </w:rPr>
        <w:t>guidance</w:t>
      </w:r>
      <w:proofErr w:type="gramEnd"/>
      <w:r w:rsidRPr="00051E99">
        <w:rPr>
          <w:sz w:val="24"/>
          <w:szCs w:val="24"/>
        </w:rPr>
        <w:t xml:space="preserve"> and support for students throughout their period of study, both within Divisions and through central University services.</w:t>
      </w:r>
    </w:p>
    <w:p w:rsidRPr="00051E99" w:rsidR="007044B3" w:rsidP="00F55954" w:rsidRDefault="007044B3" w14:paraId="1663E4B1" w14:textId="77777777">
      <w:pPr>
        <w:snapToGrid w:val="0"/>
        <w:spacing w:after="120" w:line="240" w:lineRule="auto"/>
        <w:ind w:left="283" w:right="95"/>
        <w:jc w:val="left"/>
        <w:rPr>
          <w:bCs/>
          <w:sz w:val="24"/>
          <w:szCs w:val="24"/>
        </w:rPr>
      </w:pPr>
    </w:p>
    <w:p w:rsidRPr="00051E99" w:rsidR="007044B3" w:rsidP="00F55954" w:rsidRDefault="007044B3" w14:paraId="11490670" w14:textId="77777777">
      <w:pPr>
        <w:pStyle w:val="Heading1"/>
        <w:ind w:right="95"/>
      </w:pPr>
      <w:bookmarkStart w:name="_Toc83221303" w:id="1"/>
      <w:r w:rsidRPr="00051E99">
        <w:t>Academic Advice</w:t>
      </w:r>
      <w:bookmarkEnd w:id="1"/>
      <w:r w:rsidRPr="00051E99">
        <w:t xml:space="preserve"> </w:t>
      </w:r>
    </w:p>
    <w:p w:rsidRPr="00051E99" w:rsidR="007044B3" w:rsidP="00F55954" w:rsidRDefault="007044B3" w14:paraId="3988A9A4" w14:textId="4DB758A7">
      <w:pPr>
        <w:pStyle w:val="Heading2"/>
        <w:numPr>
          <w:ilvl w:val="0"/>
          <w:numId w:val="9"/>
        </w:numPr>
        <w:ind w:left="567" w:right="95" w:hanging="567"/>
        <w:rPr>
          <w:rFonts w:cs="Arial"/>
          <w:szCs w:val="24"/>
        </w:rPr>
      </w:pPr>
      <w:bookmarkStart w:name="_Toc83221304" w:id="2"/>
      <w:r w:rsidRPr="00051E99">
        <w:rPr>
          <w:rFonts w:cs="Arial"/>
          <w:szCs w:val="24"/>
        </w:rPr>
        <w:t>Academic Advisers</w:t>
      </w:r>
      <w:bookmarkEnd w:id="2"/>
    </w:p>
    <w:p w:rsidRPr="00051E99" w:rsidR="007044B3" w:rsidP="00F55954" w:rsidRDefault="007044B3" w14:paraId="4AE0BFD6" w14:textId="77777777">
      <w:pPr>
        <w:pStyle w:val="Heading9"/>
        <w:snapToGrid w:val="0"/>
        <w:spacing w:before="0" w:after="120" w:line="240" w:lineRule="auto"/>
        <w:ind w:left="567" w:right="95" w:firstLine="0"/>
        <w:jc w:val="left"/>
        <w:rPr>
          <w:rFonts w:ascii="Arial" w:hAnsi="Arial" w:cs="Arial"/>
          <w:b/>
          <w:i w:val="0"/>
          <w:iCs w:val="0"/>
          <w:sz w:val="24"/>
          <w:szCs w:val="24"/>
        </w:rPr>
      </w:pPr>
      <w:r w:rsidRPr="00051E99">
        <w:rPr>
          <w:rFonts w:ascii="Arial" w:hAnsi="Arial" w:cs="Arial"/>
          <w:i w:val="0"/>
          <w:iCs w:val="0"/>
          <w:sz w:val="24"/>
          <w:szCs w:val="24"/>
        </w:rPr>
        <w:t>All students will be assigned an Academic Adviser at the beginning of their period of study who will be an academic member of the teaching staff. The Academic Adviser will play a proactive role in supporting the academic development of students by providing academic advice and guidance at key stages, reviewing overall academic progress and skills development, and advising on opportunities for development.</w:t>
      </w:r>
    </w:p>
    <w:p w:rsidRPr="00051E99" w:rsidR="007044B3" w:rsidP="00F55954" w:rsidRDefault="007044B3" w14:paraId="2B2C449E" w14:textId="0458CA12">
      <w:pPr>
        <w:pStyle w:val="Heading2"/>
        <w:numPr>
          <w:ilvl w:val="0"/>
          <w:numId w:val="9"/>
        </w:numPr>
        <w:ind w:left="567" w:right="95" w:hanging="567"/>
        <w:rPr>
          <w:rFonts w:cs="Arial"/>
          <w:szCs w:val="24"/>
        </w:rPr>
      </w:pPr>
      <w:bookmarkStart w:name="_Toc83221305" w:id="3"/>
      <w:r w:rsidRPr="00051E99">
        <w:rPr>
          <w:rFonts w:cs="Arial"/>
          <w:szCs w:val="24"/>
        </w:rPr>
        <w:t>Personal Development Plans</w:t>
      </w:r>
      <w:bookmarkEnd w:id="3"/>
    </w:p>
    <w:p w:rsidRPr="00051E99" w:rsidR="007044B3" w:rsidP="00F55954" w:rsidRDefault="007044B3" w14:paraId="5C512D00" w14:textId="77777777">
      <w:pPr>
        <w:pStyle w:val="Heading9"/>
        <w:snapToGrid w:val="0"/>
        <w:spacing w:before="0" w:after="120" w:line="240" w:lineRule="auto"/>
        <w:ind w:left="567" w:right="95" w:firstLine="0"/>
        <w:jc w:val="left"/>
        <w:rPr>
          <w:rFonts w:ascii="Arial" w:hAnsi="Arial" w:cs="Arial"/>
          <w:b/>
          <w:i w:val="0"/>
          <w:iCs w:val="0"/>
          <w:sz w:val="24"/>
          <w:szCs w:val="24"/>
        </w:rPr>
      </w:pPr>
      <w:r w:rsidRPr="00051E99">
        <w:rPr>
          <w:rFonts w:ascii="Arial" w:hAnsi="Arial" w:cs="Arial"/>
          <w:i w:val="0"/>
          <w:iCs w:val="0"/>
          <w:sz w:val="24"/>
          <w:szCs w:val="24"/>
        </w:rPr>
        <w:t>The Academic Adviser will assist students with planning their academic development (Personal Development Plan - PDP) by advising on constructive strategies for improvement, wider opportunities for engagement and professional development.</w:t>
      </w:r>
    </w:p>
    <w:p w:rsidRPr="00051E99" w:rsidR="007044B3" w:rsidP="00F55954" w:rsidRDefault="007044B3" w14:paraId="31383D68" w14:textId="4ADF3243">
      <w:pPr>
        <w:pStyle w:val="Heading2"/>
        <w:numPr>
          <w:ilvl w:val="0"/>
          <w:numId w:val="9"/>
        </w:numPr>
        <w:ind w:left="567" w:right="95" w:hanging="567"/>
        <w:rPr>
          <w:rFonts w:cs="Arial"/>
          <w:szCs w:val="24"/>
        </w:rPr>
      </w:pPr>
      <w:bookmarkStart w:name="_Toc83221306" w:id="4"/>
      <w:r w:rsidRPr="00051E99">
        <w:rPr>
          <w:rFonts w:cs="Arial"/>
          <w:szCs w:val="24"/>
        </w:rPr>
        <w:t xml:space="preserve">Specialist </w:t>
      </w:r>
      <w:r w:rsidR="00F55954">
        <w:rPr>
          <w:rFonts w:cs="Arial"/>
          <w:szCs w:val="24"/>
        </w:rPr>
        <w:t>A</w:t>
      </w:r>
      <w:r w:rsidRPr="00051E99">
        <w:rPr>
          <w:rFonts w:cs="Arial"/>
          <w:szCs w:val="24"/>
        </w:rPr>
        <w:t>dvice</w:t>
      </w:r>
      <w:bookmarkEnd w:id="4"/>
    </w:p>
    <w:p w:rsidRPr="00051E99" w:rsidR="007044B3" w:rsidP="00F55954" w:rsidRDefault="007044B3" w14:paraId="5598818B" w14:textId="0606B673">
      <w:pPr>
        <w:pStyle w:val="Heading9"/>
        <w:snapToGrid w:val="0"/>
        <w:spacing w:before="0" w:after="120" w:line="240" w:lineRule="auto"/>
        <w:ind w:left="567" w:right="95" w:firstLine="0"/>
        <w:jc w:val="left"/>
        <w:rPr>
          <w:rFonts w:ascii="Arial" w:hAnsi="Arial" w:cs="Arial"/>
          <w:b/>
          <w:i w:val="0"/>
          <w:iCs w:val="0"/>
          <w:sz w:val="24"/>
          <w:szCs w:val="24"/>
        </w:rPr>
      </w:pPr>
      <w:r w:rsidRPr="00051E99">
        <w:rPr>
          <w:rFonts w:ascii="Arial" w:hAnsi="Arial" w:cs="Arial"/>
          <w:i w:val="0"/>
          <w:iCs w:val="0"/>
          <w:sz w:val="24"/>
          <w:szCs w:val="24"/>
        </w:rPr>
        <w:t xml:space="preserve">The Academic Adviser will refer students to specialist sources of advice, pastoral and/or support provided in Divisions (see section </w:t>
      </w:r>
      <w:r w:rsidR="00F55954">
        <w:rPr>
          <w:rFonts w:ascii="Arial" w:hAnsi="Arial" w:cs="Arial"/>
          <w:i w:val="0"/>
          <w:iCs w:val="0"/>
          <w:sz w:val="24"/>
          <w:szCs w:val="24"/>
        </w:rPr>
        <w:t>3</w:t>
      </w:r>
      <w:r w:rsidRPr="00051E99">
        <w:rPr>
          <w:rFonts w:ascii="Arial" w:hAnsi="Arial" w:cs="Arial"/>
          <w:i w:val="0"/>
          <w:iCs w:val="0"/>
          <w:sz w:val="24"/>
          <w:szCs w:val="24"/>
        </w:rPr>
        <w:t xml:space="preserve"> below) and University services (see section </w:t>
      </w:r>
      <w:r w:rsidR="00F55954">
        <w:rPr>
          <w:rFonts w:ascii="Arial" w:hAnsi="Arial" w:cs="Arial"/>
          <w:i w:val="0"/>
          <w:iCs w:val="0"/>
          <w:sz w:val="24"/>
          <w:szCs w:val="24"/>
        </w:rPr>
        <w:t>4</w:t>
      </w:r>
      <w:r w:rsidRPr="00051E99">
        <w:rPr>
          <w:rFonts w:ascii="Arial" w:hAnsi="Arial" w:cs="Arial"/>
          <w:i w:val="0"/>
          <w:iCs w:val="0"/>
          <w:sz w:val="24"/>
          <w:szCs w:val="24"/>
        </w:rPr>
        <w:t xml:space="preserve"> below), as required. </w:t>
      </w:r>
    </w:p>
    <w:p w:rsidRPr="00051E99" w:rsidR="007044B3" w:rsidP="00F55954" w:rsidRDefault="007044B3" w14:paraId="56AE8544" w14:textId="396EE1A1">
      <w:pPr>
        <w:pStyle w:val="Heading2"/>
        <w:numPr>
          <w:ilvl w:val="0"/>
          <w:numId w:val="9"/>
        </w:numPr>
        <w:ind w:left="567" w:right="95" w:hanging="567"/>
        <w:rPr>
          <w:rFonts w:cs="Arial"/>
          <w:szCs w:val="24"/>
        </w:rPr>
      </w:pPr>
      <w:bookmarkStart w:name="_Toc83221307" w:id="5"/>
      <w:r w:rsidRPr="00051E99">
        <w:rPr>
          <w:rFonts w:cs="Arial"/>
          <w:szCs w:val="24"/>
        </w:rPr>
        <w:t xml:space="preserve">Further </w:t>
      </w:r>
      <w:r w:rsidR="00F55954">
        <w:rPr>
          <w:rFonts w:cs="Arial"/>
          <w:szCs w:val="24"/>
        </w:rPr>
        <w:t>G</w:t>
      </w:r>
      <w:r w:rsidRPr="00051E99">
        <w:rPr>
          <w:rFonts w:cs="Arial"/>
          <w:szCs w:val="24"/>
        </w:rPr>
        <w:t>uidance</w:t>
      </w:r>
      <w:bookmarkEnd w:id="5"/>
    </w:p>
    <w:p w:rsidRPr="00051E99" w:rsidR="007044B3" w:rsidP="7A65809C" w:rsidRDefault="007044B3" w14:paraId="003B5E65" w14:textId="6FC5E2FE">
      <w:pPr>
        <w:pStyle w:val="Heading9"/>
        <w:snapToGrid w:val="0"/>
        <w:spacing w:before="0" w:after="120" w:line="240" w:lineRule="auto"/>
        <w:ind w:left="567" w:right="95" w:firstLine="0"/>
        <w:jc w:val="left"/>
        <w:rPr>
          <w:rFonts w:ascii="Arial" w:hAnsi="Arial" w:cs="Arial"/>
          <w:b w:val="1"/>
          <w:bCs w:val="1"/>
          <w:i w:val="0"/>
          <w:iCs w:val="0"/>
        </w:rPr>
      </w:pPr>
      <w:r w:rsidRPr="7A65809C" w:rsidR="007044B3">
        <w:rPr>
          <w:rFonts w:ascii="Arial" w:hAnsi="Arial" w:cs="Arial"/>
          <w:i w:val="0"/>
          <w:iCs w:val="0"/>
          <w:sz w:val="24"/>
          <w:szCs w:val="24"/>
        </w:rPr>
        <w:t xml:space="preserve">Further guidance </w:t>
      </w:r>
      <w:r w:rsidRPr="7A65809C" w:rsidR="007044B3">
        <w:rPr>
          <w:rFonts w:ascii="Arial" w:hAnsi="Arial" w:cs="Arial"/>
          <w:i w:val="0"/>
          <w:iCs w:val="0"/>
          <w:sz w:val="24"/>
          <w:szCs w:val="24"/>
        </w:rPr>
        <w:t>regarding</w:t>
      </w:r>
      <w:r w:rsidRPr="7A65809C" w:rsidR="007044B3">
        <w:rPr>
          <w:rFonts w:ascii="Arial" w:hAnsi="Arial" w:cs="Arial"/>
          <w:i w:val="0"/>
          <w:iCs w:val="0"/>
          <w:sz w:val="24"/>
          <w:szCs w:val="24"/>
        </w:rPr>
        <w:t xml:space="preserve"> the role of Academic Advisers is available at </w:t>
      </w:r>
      <w:hyperlink r:id="R64efebfcfac44e9d">
        <w:r w:rsidRPr="7A65809C" w:rsidR="007044B3">
          <w:rPr>
            <w:rStyle w:val="Hyperlink"/>
            <w:rFonts w:ascii="Arial" w:hAnsi="Arial" w:cs="Arial"/>
            <w:i w:val="0"/>
            <w:iCs w:val="0"/>
            <w:sz w:val="24"/>
            <w:szCs w:val="24"/>
          </w:rPr>
          <w:t>UKC Academic Advisers</w:t>
        </w:r>
        <w:r w:rsidRPr="7A65809C" w:rsidR="007044B3">
          <w:rPr>
            <w:rStyle w:val="Hyperlink"/>
            <w:rFonts w:ascii="Arial" w:hAnsi="Arial" w:cs="Arial"/>
            <w:i w:val="0"/>
            <w:iCs w:val="0"/>
          </w:rPr>
          <w:t>.</w:t>
        </w:r>
      </w:hyperlink>
      <w:r w:rsidRPr="7A65809C" w:rsidR="007044B3">
        <w:rPr>
          <w:rFonts w:ascii="Arial" w:hAnsi="Arial" w:cs="Arial"/>
          <w:i w:val="0"/>
          <w:iCs w:val="0"/>
          <w:color w:val="1F497D"/>
        </w:rPr>
        <w:t xml:space="preserve"> </w:t>
      </w:r>
    </w:p>
    <w:p w:rsidRPr="00051E99" w:rsidR="007044B3" w:rsidP="00F55954" w:rsidRDefault="007044B3" w14:paraId="00A0F042" w14:textId="77777777">
      <w:pPr>
        <w:snapToGrid w:val="0"/>
        <w:spacing w:after="120" w:line="240" w:lineRule="auto"/>
        <w:ind w:right="95"/>
        <w:jc w:val="left"/>
        <w:rPr>
          <w:sz w:val="24"/>
          <w:szCs w:val="24"/>
        </w:rPr>
      </w:pPr>
    </w:p>
    <w:p w:rsidRPr="00051E99" w:rsidR="007044B3" w:rsidP="00F55954" w:rsidRDefault="007044B3" w14:paraId="392DC3DC" w14:textId="77777777">
      <w:pPr>
        <w:pStyle w:val="Heading1"/>
        <w:ind w:right="95"/>
      </w:pPr>
      <w:bookmarkStart w:name="_Toc83221308" w:id="6"/>
      <w:r w:rsidRPr="00051E99">
        <w:t>Academic Support and Progress Monitoring</w:t>
      </w:r>
      <w:bookmarkEnd w:id="6"/>
    </w:p>
    <w:p w:rsidRPr="00051E99" w:rsidR="007044B3" w:rsidP="00F55954" w:rsidRDefault="007044B3" w14:paraId="2BBF9365" w14:textId="1658953F">
      <w:pPr>
        <w:pStyle w:val="Heading2"/>
        <w:numPr>
          <w:ilvl w:val="1"/>
          <w:numId w:val="3"/>
        </w:numPr>
        <w:tabs>
          <w:tab w:val="clear" w:pos="576"/>
        </w:tabs>
        <w:ind w:left="567" w:right="95" w:hanging="567"/>
        <w:rPr>
          <w:rFonts w:cs="Arial"/>
          <w:color w:val="000000" w:themeColor="text1"/>
          <w:szCs w:val="24"/>
        </w:rPr>
      </w:pPr>
      <w:bookmarkStart w:name="_Toc83221309" w:id="7"/>
      <w:r w:rsidRPr="00051E99">
        <w:rPr>
          <w:rFonts w:cs="Arial"/>
          <w:color w:val="000000" w:themeColor="text1"/>
          <w:szCs w:val="24"/>
        </w:rPr>
        <w:t xml:space="preserve">Division </w:t>
      </w:r>
      <w:r w:rsidR="00F55954">
        <w:rPr>
          <w:rFonts w:cs="Arial"/>
          <w:color w:val="000000" w:themeColor="text1"/>
          <w:szCs w:val="24"/>
        </w:rPr>
        <w:t>R</w:t>
      </w:r>
      <w:r w:rsidRPr="00051E99">
        <w:rPr>
          <w:rFonts w:cs="Arial"/>
          <w:color w:val="000000" w:themeColor="text1"/>
          <w:szCs w:val="24"/>
        </w:rPr>
        <w:t>esponsibility</w:t>
      </w:r>
      <w:bookmarkEnd w:id="7"/>
    </w:p>
    <w:p w:rsidRPr="00051E99" w:rsidR="007044B3" w:rsidP="00F55954" w:rsidRDefault="007044B3" w14:paraId="6F8658E3" w14:textId="77777777">
      <w:pPr>
        <w:snapToGrid w:val="0"/>
        <w:spacing w:after="120" w:line="240" w:lineRule="auto"/>
        <w:ind w:left="567" w:right="95" w:firstLine="0"/>
        <w:jc w:val="left"/>
        <w:rPr>
          <w:sz w:val="24"/>
          <w:szCs w:val="24"/>
        </w:rPr>
      </w:pPr>
      <w:r w:rsidRPr="00051E99">
        <w:rPr>
          <w:sz w:val="24"/>
          <w:szCs w:val="24"/>
        </w:rPr>
        <w:t>Each Division will establish and publicise a clear system of academic support and progress monitoring for all its students (full- and part-time). Any part of this system may be operated at a subject level, as appropriate.</w:t>
      </w:r>
    </w:p>
    <w:p w:rsidRPr="00051E99" w:rsidR="007044B3" w:rsidP="00F55954" w:rsidRDefault="007044B3" w14:paraId="100CFC72" w14:textId="5A67FAC6">
      <w:pPr>
        <w:pStyle w:val="Heading2"/>
        <w:numPr>
          <w:ilvl w:val="1"/>
          <w:numId w:val="3"/>
        </w:numPr>
        <w:tabs>
          <w:tab w:val="clear" w:pos="576"/>
        </w:tabs>
        <w:ind w:left="567" w:right="95" w:hanging="567"/>
        <w:rPr>
          <w:rFonts w:cs="Arial"/>
          <w:color w:val="000000" w:themeColor="text1"/>
          <w:szCs w:val="24"/>
        </w:rPr>
      </w:pPr>
      <w:bookmarkStart w:name="_Toc83221310" w:id="8"/>
      <w:r w:rsidRPr="00051E99">
        <w:rPr>
          <w:rFonts w:cs="Arial"/>
          <w:color w:val="000000" w:themeColor="text1"/>
          <w:szCs w:val="24"/>
        </w:rPr>
        <w:t xml:space="preserve">Minimum </w:t>
      </w:r>
      <w:r w:rsidRPr="00051E99" w:rsidR="00F55954">
        <w:rPr>
          <w:rFonts w:cs="Arial"/>
          <w:color w:val="000000" w:themeColor="text1"/>
          <w:szCs w:val="24"/>
        </w:rPr>
        <w:t xml:space="preserve">Areas </w:t>
      </w:r>
      <w:r w:rsidR="00F55954">
        <w:rPr>
          <w:rFonts w:cs="Arial"/>
          <w:color w:val="000000" w:themeColor="text1"/>
          <w:szCs w:val="24"/>
        </w:rPr>
        <w:t>o</w:t>
      </w:r>
      <w:r w:rsidRPr="00051E99" w:rsidR="00F55954">
        <w:rPr>
          <w:rFonts w:cs="Arial"/>
          <w:color w:val="000000" w:themeColor="text1"/>
          <w:szCs w:val="24"/>
        </w:rPr>
        <w:t xml:space="preserve">f Support </w:t>
      </w:r>
      <w:r w:rsidR="00F55954">
        <w:rPr>
          <w:rFonts w:cs="Arial"/>
          <w:color w:val="000000" w:themeColor="text1"/>
          <w:szCs w:val="24"/>
        </w:rPr>
        <w:t>b</w:t>
      </w:r>
      <w:r w:rsidRPr="00051E99" w:rsidR="00F55954">
        <w:rPr>
          <w:rFonts w:cs="Arial"/>
          <w:color w:val="000000" w:themeColor="text1"/>
          <w:szCs w:val="24"/>
        </w:rPr>
        <w:t xml:space="preserve">y Named </w:t>
      </w:r>
      <w:r w:rsidRPr="00051E99">
        <w:rPr>
          <w:rFonts w:cs="Arial"/>
          <w:color w:val="000000" w:themeColor="text1"/>
          <w:szCs w:val="24"/>
        </w:rPr>
        <w:t xml:space="preserve">Divisional </w:t>
      </w:r>
      <w:r w:rsidRPr="00051E99" w:rsidR="00F55954">
        <w:rPr>
          <w:rFonts w:cs="Arial"/>
          <w:color w:val="000000" w:themeColor="text1"/>
          <w:szCs w:val="24"/>
        </w:rPr>
        <w:t>Officer</w:t>
      </w:r>
      <w:bookmarkEnd w:id="8"/>
    </w:p>
    <w:p w:rsidRPr="00051E99" w:rsidR="007044B3" w:rsidP="00F55954" w:rsidRDefault="007044B3" w14:paraId="5D3D5E2E" w14:textId="77777777">
      <w:pPr>
        <w:snapToGrid w:val="0"/>
        <w:spacing w:after="120" w:line="240" w:lineRule="auto"/>
        <w:ind w:left="567" w:right="95" w:firstLine="0"/>
        <w:jc w:val="left"/>
        <w:rPr>
          <w:sz w:val="24"/>
          <w:szCs w:val="24"/>
        </w:rPr>
      </w:pPr>
      <w:r w:rsidRPr="00051E99">
        <w:rPr>
          <w:sz w:val="24"/>
          <w:szCs w:val="24"/>
        </w:rPr>
        <w:t>The arrangements for academic support and monitoring provided by each Division</w:t>
      </w:r>
      <w:r w:rsidRPr="00051E99" w:rsidDel="002B2E52">
        <w:rPr>
          <w:sz w:val="24"/>
          <w:szCs w:val="24"/>
        </w:rPr>
        <w:t xml:space="preserve"> </w:t>
      </w:r>
      <w:r w:rsidRPr="00051E99">
        <w:rPr>
          <w:sz w:val="24"/>
          <w:szCs w:val="24"/>
        </w:rPr>
        <w:t xml:space="preserve">should be communicated clearly and fully to students and, while reflecting the range and detail of support available, should at a minimum </w:t>
      </w:r>
      <w:r w:rsidRPr="00051E99">
        <w:rPr>
          <w:sz w:val="24"/>
          <w:szCs w:val="24"/>
        </w:rPr>
        <w:t xml:space="preserve">ensure that students can consult named officers in the Division for </w:t>
      </w:r>
      <w:proofErr w:type="gramStart"/>
      <w:r w:rsidRPr="00051E99">
        <w:rPr>
          <w:sz w:val="24"/>
          <w:szCs w:val="24"/>
        </w:rPr>
        <w:t>all of</w:t>
      </w:r>
      <w:proofErr w:type="gramEnd"/>
      <w:r w:rsidRPr="00051E99">
        <w:rPr>
          <w:sz w:val="24"/>
          <w:szCs w:val="24"/>
        </w:rPr>
        <w:t xml:space="preserve"> the following areas:</w:t>
      </w:r>
    </w:p>
    <w:p w:rsidRPr="00051E99" w:rsidR="007044B3" w:rsidP="00F55954" w:rsidRDefault="007044B3" w14:paraId="1652F077" w14:textId="77777777">
      <w:pPr>
        <w:snapToGrid w:val="0"/>
        <w:spacing w:after="120" w:line="240" w:lineRule="auto"/>
        <w:ind w:left="993" w:right="95" w:hanging="426"/>
        <w:jc w:val="left"/>
        <w:rPr>
          <w:sz w:val="24"/>
          <w:szCs w:val="24"/>
        </w:rPr>
      </w:pPr>
      <w:r w:rsidRPr="00051E99">
        <w:rPr>
          <w:sz w:val="24"/>
          <w:szCs w:val="24"/>
        </w:rPr>
        <w:t>(</w:t>
      </w:r>
      <w:proofErr w:type="spellStart"/>
      <w:r w:rsidRPr="00051E99">
        <w:rPr>
          <w:sz w:val="24"/>
          <w:szCs w:val="24"/>
        </w:rPr>
        <w:t>i</w:t>
      </w:r>
      <w:proofErr w:type="spellEnd"/>
      <w:r w:rsidRPr="00051E99">
        <w:rPr>
          <w:sz w:val="24"/>
          <w:szCs w:val="24"/>
        </w:rPr>
        <w:t>)</w:t>
      </w:r>
      <w:r w:rsidRPr="00051E99">
        <w:rPr>
          <w:sz w:val="24"/>
          <w:szCs w:val="24"/>
        </w:rPr>
        <w:tab/>
      </w:r>
      <w:r w:rsidRPr="00051E99">
        <w:rPr>
          <w:sz w:val="24"/>
          <w:szCs w:val="24"/>
        </w:rPr>
        <w:t xml:space="preserve">Academic course of study, including: </w:t>
      </w:r>
    </w:p>
    <w:p w:rsidRPr="00051E99" w:rsidR="007044B3" w:rsidP="00F55954" w:rsidRDefault="007044B3" w14:paraId="06DFD256" w14:textId="77777777">
      <w:pPr>
        <w:numPr>
          <w:ilvl w:val="0"/>
          <w:numId w:val="4"/>
        </w:numPr>
        <w:tabs>
          <w:tab w:val="clear" w:pos="2160"/>
          <w:tab w:val="num" w:pos="1418"/>
        </w:tabs>
        <w:snapToGrid w:val="0"/>
        <w:spacing w:after="120" w:line="240" w:lineRule="auto"/>
        <w:ind w:left="993" w:right="95" w:firstLine="0"/>
        <w:jc w:val="left"/>
        <w:rPr>
          <w:sz w:val="24"/>
          <w:szCs w:val="24"/>
        </w:rPr>
      </w:pPr>
      <w:r w:rsidRPr="00051E99">
        <w:rPr>
          <w:sz w:val="24"/>
          <w:szCs w:val="24"/>
        </w:rPr>
        <w:t>Module choice and course structure.</w:t>
      </w:r>
    </w:p>
    <w:p w:rsidRPr="00051E99" w:rsidR="007044B3" w:rsidP="00F55954" w:rsidRDefault="007044B3" w14:paraId="5394DD32" w14:textId="77777777">
      <w:pPr>
        <w:numPr>
          <w:ilvl w:val="0"/>
          <w:numId w:val="4"/>
        </w:numPr>
        <w:tabs>
          <w:tab w:val="clear" w:pos="2160"/>
          <w:tab w:val="num" w:pos="1418"/>
        </w:tabs>
        <w:snapToGrid w:val="0"/>
        <w:spacing w:after="120" w:line="240" w:lineRule="auto"/>
        <w:ind w:left="993" w:right="95" w:firstLine="0"/>
        <w:jc w:val="left"/>
        <w:rPr>
          <w:sz w:val="24"/>
          <w:szCs w:val="24"/>
        </w:rPr>
      </w:pPr>
      <w:r w:rsidRPr="00051E99">
        <w:rPr>
          <w:sz w:val="24"/>
          <w:szCs w:val="24"/>
        </w:rPr>
        <w:t>Change of module or course.</w:t>
      </w:r>
    </w:p>
    <w:p w:rsidRPr="00051E99" w:rsidR="007044B3" w:rsidP="00F55954" w:rsidRDefault="007044B3" w14:paraId="10F6AA99" w14:textId="77777777">
      <w:pPr>
        <w:numPr>
          <w:ilvl w:val="0"/>
          <w:numId w:val="4"/>
        </w:numPr>
        <w:tabs>
          <w:tab w:val="clear" w:pos="2160"/>
          <w:tab w:val="num" w:pos="1418"/>
        </w:tabs>
        <w:snapToGrid w:val="0"/>
        <w:spacing w:after="120" w:line="240" w:lineRule="auto"/>
        <w:ind w:left="993" w:right="95" w:firstLine="0"/>
        <w:jc w:val="left"/>
        <w:rPr>
          <w:sz w:val="24"/>
          <w:szCs w:val="24"/>
        </w:rPr>
      </w:pPr>
      <w:r w:rsidRPr="00051E99">
        <w:rPr>
          <w:sz w:val="24"/>
          <w:szCs w:val="24"/>
        </w:rPr>
        <w:t>Progression routes.</w:t>
      </w:r>
    </w:p>
    <w:p w:rsidRPr="00051E99" w:rsidR="007044B3" w:rsidP="00F55954" w:rsidRDefault="007044B3" w14:paraId="61FB647B" w14:textId="77777777">
      <w:pPr>
        <w:numPr>
          <w:ilvl w:val="0"/>
          <w:numId w:val="4"/>
        </w:numPr>
        <w:tabs>
          <w:tab w:val="clear" w:pos="2160"/>
          <w:tab w:val="num" w:pos="1418"/>
        </w:tabs>
        <w:snapToGrid w:val="0"/>
        <w:spacing w:after="120" w:line="240" w:lineRule="auto"/>
        <w:ind w:left="993" w:right="95" w:firstLine="0"/>
        <w:jc w:val="left"/>
        <w:rPr>
          <w:sz w:val="24"/>
          <w:szCs w:val="24"/>
        </w:rPr>
      </w:pPr>
      <w:r w:rsidRPr="00051E99">
        <w:rPr>
          <w:sz w:val="24"/>
          <w:szCs w:val="24"/>
        </w:rPr>
        <w:t>Further/advanced study.</w:t>
      </w:r>
    </w:p>
    <w:p w:rsidRPr="00051E99" w:rsidR="007044B3" w:rsidP="00F55954" w:rsidRDefault="007044B3" w14:paraId="044AA5AB" w14:textId="77777777">
      <w:pPr>
        <w:tabs>
          <w:tab w:val="left" w:pos="1134"/>
        </w:tabs>
        <w:snapToGrid w:val="0"/>
        <w:spacing w:after="120" w:line="240" w:lineRule="auto"/>
        <w:ind w:left="993" w:right="95" w:hanging="426"/>
        <w:jc w:val="left"/>
        <w:rPr>
          <w:sz w:val="24"/>
          <w:szCs w:val="24"/>
        </w:rPr>
      </w:pPr>
      <w:r w:rsidRPr="00051E99">
        <w:rPr>
          <w:sz w:val="24"/>
          <w:szCs w:val="24"/>
        </w:rPr>
        <w:t>(ii)</w:t>
      </w:r>
      <w:r w:rsidRPr="00051E99">
        <w:rPr>
          <w:sz w:val="24"/>
          <w:szCs w:val="24"/>
        </w:rPr>
        <w:tab/>
      </w:r>
      <w:r w:rsidRPr="00051E99">
        <w:rPr>
          <w:sz w:val="24"/>
          <w:szCs w:val="24"/>
        </w:rPr>
        <w:t xml:space="preserve">Academic support, including: </w:t>
      </w:r>
    </w:p>
    <w:p w:rsidRPr="00051E99" w:rsidR="007044B3" w:rsidP="00F55954" w:rsidRDefault="007044B3" w14:paraId="3EC24293" w14:textId="77777777">
      <w:pPr>
        <w:numPr>
          <w:ilvl w:val="0"/>
          <w:numId w:val="5"/>
        </w:numPr>
        <w:tabs>
          <w:tab w:val="clear" w:pos="2160"/>
          <w:tab w:val="num" w:pos="1560"/>
        </w:tabs>
        <w:snapToGrid w:val="0"/>
        <w:spacing w:after="120" w:line="240" w:lineRule="auto"/>
        <w:ind w:left="1418" w:right="95" w:hanging="425"/>
        <w:jc w:val="left"/>
        <w:rPr>
          <w:sz w:val="24"/>
          <w:szCs w:val="24"/>
        </w:rPr>
      </w:pPr>
      <w:r w:rsidRPr="00051E99">
        <w:rPr>
          <w:sz w:val="24"/>
          <w:szCs w:val="24"/>
        </w:rPr>
        <w:t>Study skills.</w:t>
      </w:r>
    </w:p>
    <w:p w:rsidRPr="00051E99" w:rsidR="007044B3" w:rsidP="00F55954" w:rsidRDefault="007044B3" w14:paraId="3D80D6BF" w14:textId="77777777">
      <w:pPr>
        <w:numPr>
          <w:ilvl w:val="0"/>
          <w:numId w:val="5"/>
        </w:numPr>
        <w:tabs>
          <w:tab w:val="clear" w:pos="2160"/>
          <w:tab w:val="num" w:pos="1560"/>
        </w:tabs>
        <w:snapToGrid w:val="0"/>
        <w:spacing w:after="120" w:line="240" w:lineRule="auto"/>
        <w:ind w:left="1418" w:right="95" w:hanging="425"/>
        <w:jc w:val="left"/>
        <w:rPr>
          <w:sz w:val="24"/>
          <w:szCs w:val="24"/>
        </w:rPr>
      </w:pPr>
      <w:r w:rsidRPr="00051E99">
        <w:rPr>
          <w:sz w:val="24"/>
          <w:szCs w:val="24"/>
        </w:rPr>
        <w:t>Academic integrity/discipline.</w:t>
      </w:r>
    </w:p>
    <w:p w:rsidRPr="00051E99" w:rsidR="007044B3" w:rsidP="00F55954" w:rsidRDefault="007044B3" w14:paraId="12BB32F5" w14:textId="77777777">
      <w:pPr>
        <w:numPr>
          <w:ilvl w:val="0"/>
          <w:numId w:val="5"/>
        </w:numPr>
        <w:tabs>
          <w:tab w:val="clear" w:pos="2160"/>
          <w:tab w:val="num" w:pos="1560"/>
        </w:tabs>
        <w:snapToGrid w:val="0"/>
        <w:spacing w:after="120" w:line="240" w:lineRule="auto"/>
        <w:ind w:left="1418" w:right="95" w:hanging="425"/>
        <w:jc w:val="left"/>
        <w:rPr>
          <w:sz w:val="24"/>
          <w:szCs w:val="24"/>
        </w:rPr>
      </w:pPr>
      <w:r w:rsidRPr="00051E99">
        <w:rPr>
          <w:sz w:val="24"/>
          <w:szCs w:val="24"/>
        </w:rPr>
        <w:t>Learning resources.</w:t>
      </w:r>
    </w:p>
    <w:p w:rsidRPr="00051E99" w:rsidR="007044B3" w:rsidP="00F55954" w:rsidRDefault="007044B3" w14:paraId="329EA51D" w14:textId="77777777">
      <w:pPr>
        <w:numPr>
          <w:ilvl w:val="0"/>
          <w:numId w:val="5"/>
        </w:numPr>
        <w:tabs>
          <w:tab w:val="clear" w:pos="2160"/>
          <w:tab w:val="num" w:pos="1560"/>
        </w:tabs>
        <w:snapToGrid w:val="0"/>
        <w:spacing w:after="120" w:line="240" w:lineRule="auto"/>
        <w:ind w:left="1418" w:right="95" w:hanging="425"/>
        <w:jc w:val="left"/>
        <w:rPr>
          <w:sz w:val="24"/>
          <w:szCs w:val="24"/>
        </w:rPr>
      </w:pPr>
      <w:r w:rsidRPr="00051E99">
        <w:rPr>
          <w:sz w:val="24"/>
          <w:szCs w:val="24"/>
        </w:rPr>
        <w:t>Academic problems/difficulties.</w:t>
      </w:r>
    </w:p>
    <w:p w:rsidRPr="00051E99" w:rsidR="007044B3" w:rsidP="00F55954" w:rsidRDefault="007044B3" w14:paraId="0B3127A6" w14:textId="77777777">
      <w:pPr>
        <w:snapToGrid w:val="0"/>
        <w:spacing w:after="120" w:line="240" w:lineRule="auto"/>
        <w:ind w:left="567" w:right="95" w:firstLine="0"/>
        <w:jc w:val="left"/>
        <w:rPr>
          <w:sz w:val="24"/>
          <w:szCs w:val="24"/>
        </w:rPr>
      </w:pPr>
      <w:r w:rsidRPr="00051E99">
        <w:rPr>
          <w:sz w:val="24"/>
          <w:szCs w:val="24"/>
        </w:rPr>
        <w:t>Divisions are responsible for ensuring that a list of named officers, their roles and contact details are made available to students online, including a single point of contact (email) for enquiries on these matters outside office hours. Enquiries should be responded to by the next working day, where possible.</w:t>
      </w:r>
    </w:p>
    <w:p w:rsidRPr="00051E99" w:rsidR="007044B3" w:rsidP="00F55954" w:rsidRDefault="007044B3" w14:paraId="38D4C704" w14:textId="77777777">
      <w:pPr>
        <w:pStyle w:val="Heading2"/>
        <w:numPr>
          <w:ilvl w:val="1"/>
          <w:numId w:val="3"/>
        </w:numPr>
        <w:tabs>
          <w:tab w:val="clear" w:pos="576"/>
        </w:tabs>
        <w:ind w:left="567" w:right="95" w:hanging="567"/>
        <w:rPr>
          <w:rFonts w:cs="Arial"/>
          <w:color w:val="000000" w:themeColor="text1"/>
          <w:szCs w:val="24"/>
        </w:rPr>
      </w:pPr>
      <w:bookmarkStart w:name="_Toc83221311" w:id="9"/>
      <w:r w:rsidRPr="00051E99">
        <w:rPr>
          <w:rFonts w:cs="Arial"/>
          <w:color w:val="000000" w:themeColor="text1"/>
          <w:szCs w:val="24"/>
        </w:rPr>
        <w:t>Guidelines for monitoring student attendance:</w:t>
      </w:r>
      <w:bookmarkEnd w:id="9"/>
      <w:r w:rsidRPr="00051E99">
        <w:rPr>
          <w:rFonts w:cs="Arial"/>
          <w:color w:val="000000" w:themeColor="text1"/>
          <w:szCs w:val="24"/>
        </w:rPr>
        <w:t xml:space="preserve"> </w:t>
      </w:r>
    </w:p>
    <w:p w:rsidRPr="00051E99" w:rsidR="007044B3" w:rsidP="00F55954" w:rsidRDefault="007044B3" w14:paraId="55E3C82F" w14:textId="77777777">
      <w:pPr>
        <w:snapToGrid w:val="0"/>
        <w:spacing w:after="120" w:line="240" w:lineRule="auto"/>
        <w:ind w:left="567" w:right="95" w:firstLine="0"/>
        <w:jc w:val="left"/>
        <w:rPr>
          <w:sz w:val="24"/>
          <w:szCs w:val="24"/>
        </w:rPr>
      </w:pPr>
      <w:r w:rsidRPr="00051E99">
        <w:rPr>
          <w:sz w:val="24"/>
          <w:szCs w:val="24"/>
        </w:rPr>
        <w:t>Each Division will establish and publicise a regular system of monitoring student attendance for formal teaching sessions (as appropriate, lectures, supervisions, seminars, laboratory classes) and individual student progress, including the submission of required coursework. In addition, Divisions should consider how best to stimulate improved performances in all students. The monitoring system must ensure:</w:t>
      </w:r>
    </w:p>
    <w:p w:rsidRPr="00051E99" w:rsidR="007044B3" w:rsidP="00F55954" w:rsidRDefault="007044B3" w14:paraId="1E8383D9" w14:textId="77777777">
      <w:pPr>
        <w:numPr>
          <w:ilvl w:val="2"/>
          <w:numId w:val="3"/>
        </w:numPr>
        <w:tabs>
          <w:tab w:val="clear" w:pos="576"/>
          <w:tab w:val="num" w:pos="1418"/>
        </w:tabs>
        <w:snapToGrid w:val="0"/>
        <w:spacing w:after="120" w:line="240" w:lineRule="auto"/>
        <w:ind w:left="1418" w:right="95" w:hanging="851"/>
        <w:jc w:val="left"/>
        <w:rPr>
          <w:sz w:val="24"/>
          <w:szCs w:val="24"/>
        </w:rPr>
      </w:pPr>
      <w:r w:rsidRPr="00051E99">
        <w:rPr>
          <w:sz w:val="24"/>
          <w:szCs w:val="24"/>
        </w:rPr>
        <w:t>That lack of attendance at required teaching is identified at an early stage.</w:t>
      </w:r>
    </w:p>
    <w:p w:rsidRPr="00051E99" w:rsidR="007044B3" w:rsidP="00F55954" w:rsidRDefault="007044B3" w14:paraId="3665EE54" w14:textId="77777777">
      <w:pPr>
        <w:numPr>
          <w:ilvl w:val="2"/>
          <w:numId w:val="3"/>
        </w:numPr>
        <w:tabs>
          <w:tab w:val="clear" w:pos="576"/>
          <w:tab w:val="num" w:pos="284"/>
          <w:tab w:val="num" w:pos="1418"/>
        </w:tabs>
        <w:snapToGrid w:val="0"/>
        <w:spacing w:after="120" w:line="240" w:lineRule="auto"/>
        <w:ind w:left="1418" w:right="95" w:hanging="851"/>
        <w:jc w:val="left"/>
        <w:rPr>
          <w:sz w:val="24"/>
          <w:szCs w:val="24"/>
        </w:rPr>
      </w:pPr>
      <w:r w:rsidRPr="00051E99">
        <w:rPr>
          <w:sz w:val="24"/>
          <w:szCs w:val="24"/>
        </w:rPr>
        <w:t>That academic progress is monitored at least once, normally at the halfway stage of a module.</w:t>
      </w:r>
    </w:p>
    <w:p w:rsidRPr="00051E99" w:rsidR="007044B3" w:rsidP="00F55954" w:rsidRDefault="007044B3" w14:paraId="7F74E5D4" w14:textId="77777777">
      <w:pPr>
        <w:numPr>
          <w:ilvl w:val="2"/>
          <w:numId w:val="3"/>
        </w:numPr>
        <w:tabs>
          <w:tab w:val="clear" w:pos="576"/>
          <w:tab w:val="num" w:pos="1418"/>
        </w:tabs>
        <w:snapToGrid w:val="0"/>
        <w:spacing w:after="120" w:line="240" w:lineRule="auto"/>
        <w:ind w:left="1418" w:right="95" w:hanging="851"/>
        <w:jc w:val="left"/>
        <w:rPr>
          <w:sz w:val="24"/>
          <w:szCs w:val="24"/>
        </w:rPr>
      </w:pPr>
      <w:r w:rsidRPr="00051E99">
        <w:rPr>
          <w:sz w:val="24"/>
          <w:szCs w:val="24"/>
        </w:rPr>
        <w:t>That academic progress for each student is monitored across all modules.</w:t>
      </w:r>
    </w:p>
    <w:p w:rsidRPr="00051E99" w:rsidR="007044B3" w:rsidP="00F55954" w:rsidRDefault="007044B3" w14:paraId="42A1E3A3" w14:textId="77777777">
      <w:pPr>
        <w:numPr>
          <w:ilvl w:val="2"/>
          <w:numId w:val="3"/>
        </w:numPr>
        <w:tabs>
          <w:tab w:val="clear" w:pos="576"/>
          <w:tab w:val="num" w:pos="284"/>
          <w:tab w:val="num" w:pos="1418"/>
        </w:tabs>
        <w:snapToGrid w:val="0"/>
        <w:spacing w:after="120" w:line="240" w:lineRule="auto"/>
        <w:ind w:left="1418" w:right="95" w:hanging="851"/>
        <w:jc w:val="left"/>
        <w:rPr>
          <w:sz w:val="24"/>
          <w:szCs w:val="24"/>
        </w:rPr>
      </w:pPr>
      <w:r w:rsidRPr="00051E99">
        <w:rPr>
          <w:sz w:val="24"/>
          <w:szCs w:val="24"/>
        </w:rPr>
        <w:t>That students whose progress is not adequate are interviewed by a Divisional officer.</w:t>
      </w:r>
    </w:p>
    <w:p w:rsidRPr="00051E99" w:rsidR="007044B3" w:rsidP="00F55954" w:rsidRDefault="007044B3" w14:paraId="57A6B42A" w14:textId="77777777">
      <w:pPr>
        <w:snapToGrid w:val="0"/>
        <w:spacing w:after="120" w:line="240" w:lineRule="auto"/>
        <w:ind w:left="284" w:right="95"/>
        <w:jc w:val="left"/>
        <w:rPr>
          <w:sz w:val="24"/>
          <w:szCs w:val="24"/>
        </w:rPr>
      </w:pPr>
    </w:p>
    <w:p w:rsidRPr="00051E99" w:rsidR="007044B3" w:rsidP="00F55954" w:rsidRDefault="007044B3" w14:paraId="315A81D4" w14:textId="2BC5733A">
      <w:pPr>
        <w:pStyle w:val="Heading2"/>
        <w:numPr>
          <w:ilvl w:val="1"/>
          <w:numId w:val="3"/>
        </w:numPr>
        <w:tabs>
          <w:tab w:val="clear" w:pos="576"/>
        </w:tabs>
        <w:ind w:left="567" w:right="95" w:hanging="567"/>
        <w:rPr>
          <w:rFonts w:cs="Arial"/>
          <w:color w:val="000000" w:themeColor="text1"/>
          <w:szCs w:val="24"/>
        </w:rPr>
      </w:pPr>
      <w:bookmarkStart w:name="_Toc83221312" w:id="10"/>
      <w:r w:rsidRPr="00051E99">
        <w:rPr>
          <w:rFonts w:cs="Arial"/>
          <w:color w:val="000000" w:themeColor="text1"/>
          <w:szCs w:val="24"/>
        </w:rPr>
        <w:t xml:space="preserve">Monitoring </w:t>
      </w:r>
      <w:r w:rsidR="002D4325">
        <w:rPr>
          <w:rFonts w:cs="Arial"/>
          <w:color w:val="000000" w:themeColor="text1"/>
          <w:szCs w:val="24"/>
        </w:rPr>
        <w:t>S</w:t>
      </w:r>
      <w:r w:rsidRPr="00051E99">
        <w:rPr>
          <w:rFonts w:cs="Arial"/>
          <w:color w:val="000000" w:themeColor="text1"/>
          <w:szCs w:val="24"/>
        </w:rPr>
        <w:t xml:space="preserve">tudent </w:t>
      </w:r>
      <w:r w:rsidR="002D4325">
        <w:rPr>
          <w:rFonts w:cs="Arial"/>
          <w:color w:val="000000" w:themeColor="text1"/>
          <w:szCs w:val="24"/>
        </w:rPr>
        <w:t>A</w:t>
      </w:r>
      <w:r w:rsidRPr="00051E99">
        <w:rPr>
          <w:rFonts w:cs="Arial"/>
          <w:color w:val="000000" w:themeColor="text1"/>
          <w:szCs w:val="24"/>
        </w:rPr>
        <w:t xml:space="preserve">cademic </w:t>
      </w:r>
      <w:r w:rsidR="002D4325">
        <w:rPr>
          <w:rFonts w:cs="Arial"/>
          <w:color w:val="000000" w:themeColor="text1"/>
          <w:szCs w:val="24"/>
        </w:rPr>
        <w:t>P</w:t>
      </w:r>
      <w:r w:rsidRPr="00051E99">
        <w:rPr>
          <w:rFonts w:cs="Arial"/>
          <w:color w:val="000000" w:themeColor="text1"/>
          <w:szCs w:val="24"/>
        </w:rPr>
        <w:t>rogress</w:t>
      </w:r>
      <w:bookmarkEnd w:id="10"/>
    </w:p>
    <w:p w:rsidRPr="00051E99" w:rsidR="007044B3" w:rsidP="002D4325" w:rsidRDefault="007044B3" w14:paraId="7833824C" w14:textId="77777777">
      <w:pPr>
        <w:snapToGrid w:val="0"/>
        <w:spacing w:after="120" w:line="240" w:lineRule="auto"/>
        <w:ind w:left="567" w:right="95" w:firstLine="0"/>
        <w:jc w:val="left"/>
        <w:rPr>
          <w:sz w:val="24"/>
          <w:szCs w:val="24"/>
        </w:rPr>
      </w:pPr>
      <w:r w:rsidRPr="00051E99">
        <w:rPr>
          <w:sz w:val="24"/>
          <w:szCs w:val="24"/>
        </w:rPr>
        <w:t xml:space="preserve">Each Board of Studies will review </w:t>
      </w:r>
      <w:r w:rsidRPr="002D4325">
        <w:rPr>
          <w:iCs/>
          <w:sz w:val="24"/>
          <w:szCs w:val="24"/>
        </w:rPr>
        <w:t>at least</w:t>
      </w:r>
      <w:r w:rsidRPr="00051E99">
        <w:rPr>
          <w:sz w:val="24"/>
          <w:szCs w:val="24"/>
        </w:rPr>
        <w:t xml:space="preserve"> once a term any general issues thrown up by the monitoring of individual students' progress and inform the Academic Adviser, who may wish to refer the student to specialist advice and/or support.</w:t>
      </w:r>
    </w:p>
    <w:p w:rsidRPr="00051E99" w:rsidR="007044B3" w:rsidP="00F55954" w:rsidRDefault="007044B3" w14:paraId="6B1A871B" w14:textId="77777777">
      <w:pPr>
        <w:snapToGrid w:val="0"/>
        <w:spacing w:after="120" w:line="240" w:lineRule="auto"/>
        <w:ind w:left="993" w:right="95" w:hanging="709"/>
        <w:jc w:val="left"/>
        <w:rPr>
          <w:sz w:val="24"/>
          <w:szCs w:val="24"/>
        </w:rPr>
      </w:pPr>
    </w:p>
    <w:p w:rsidRPr="00051E99" w:rsidR="007044B3" w:rsidP="00F55954" w:rsidRDefault="007044B3" w14:paraId="73BE0D6B" w14:textId="77777777">
      <w:pPr>
        <w:pStyle w:val="Heading1"/>
        <w:ind w:right="95"/>
      </w:pPr>
      <w:bookmarkStart w:name="_Toc83221313" w:id="11"/>
      <w:r w:rsidRPr="00051E99">
        <w:t>References</w:t>
      </w:r>
      <w:bookmarkEnd w:id="11"/>
    </w:p>
    <w:p w:rsidRPr="00051E99" w:rsidR="007044B3" w:rsidP="002D4325" w:rsidRDefault="007044B3" w14:paraId="5D15B064" w14:textId="77777777">
      <w:pPr>
        <w:snapToGrid w:val="0"/>
        <w:spacing w:after="120" w:line="240" w:lineRule="auto"/>
        <w:ind w:left="567" w:right="95" w:firstLine="0"/>
        <w:jc w:val="left"/>
        <w:rPr>
          <w:sz w:val="24"/>
          <w:szCs w:val="24"/>
        </w:rPr>
      </w:pPr>
      <w:r w:rsidRPr="00051E99">
        <w:rPr>
          <w:sz w:val="24"/>
          <w:szCs w:val="24"/>
        </w:rPr>
        <w:t>Each Division will have responsibility for ensuring that an appropriate mechanism is in place to provide references upon request. Students will be responsible for completing and making available to their Division</w:t>
      </w:r>
      <w:r w:rsidRPr="00051E99">
        <w:rPr>
          <w:b/>
          <w:i/>
          <w:sz w:val="24"/>
          <w:szCs w:val="24"/>
        </w:rPr>
        <w:t xml:space="preserve"> </w:t>
      </w:r>
      <w:r w:rsidRPr="00051E99">
        <w:rPr>
          <w:sz w:val="24"/>
          <w:szCs w:val="24"/>
        </w:rPr>
        <w:t>a Personal Development statement, so that an accurate reference may be written.</w:t>
      </w:r>
    </w:p>
    <w:p w:rsidRPr="00051E99" w:rsidR="007044B3" w:rsidP="00F55954" w:rsidRDefault="007044B3" w14:paraId="241CC32C" w14:textId="77777777">
      <w:pPr>
        <w:snapToGrid w:val="0"/>
        <w:spacing w:after="120" w:line="240" w:lineRule="auto"/>
        <w:ind w:left="284" w:right="95"/>
        <w:jc w:val="left"/>
        <w:rPr>
          <w:sz w:val="24"/>
          <w:szCs w:val="24"/>
        </w:rPr>
      </w:pPr>
    </w:p>
    <w:p w:rsidRPr="00051E99" w:rsidR="007044B3" w:rsidP="00F55954" w:rsidRDefault="007044B3" w14:paraId="7E783676" w14:textId="77777777">
      <w:pPr>
        <w:pStyle w:val="Heading1"/>
        <w:ind w:right="95"/>
      </w:pPr>
      <w:bookmarkStart w:name="_Toc83221314" w:id="12"/>
      <w:r w:rsidRPr="00051E99">
        <w:t>University Services</w:t>
      </w:r>
      <w:bookmarkEnd w:id="12"/>
    </w:p>
    <w:p w:rsidRPr="00051E99" w:rsidR="007044B3" w:rsidP="002D4325" w:rsidRDefault="007044B3" w14:paraId="64CE5802" w14:textId="77777777">
      <w:pPr>
        <w:snapToGrid w:val="0"/>
        <w:spacing w:after="120" w:line="240" w:lineRule="auto"/>
        <w:ind w:left="567" w:right="95" w:firstLine="0"/>
        <w:jc w:val="left"/>
        <w:rPr>
          <w:sz w:val="24"/>
          <w:szCs w:val="24"/>
        </w:rPr>
      </w:pPr>
      <w:r w:rsidRPr="00051E99">
        <w:rPr>
          <w:sz w:val="24"/>
          <w:szCs w:val="24"/>
        </w:rPr>
        <w:t xml:space="preserve">As part of the Personal Academic Support System, the University provides professional services for students to meet a diversity of needs. The University will ensure that the range and availability of these services is well publicised to students and staff. Divisional officers responsible for PASS should </w:t>
      </w:r>
      <w:proofErr w:type="gramStart"/>
      <w:r w:rsidRPr="00051E99">
        <w:rPr>
          <w:sz w:val="24"/>
          <w:szCs w:val="24"/>
        </w:rPr>
        <w:t>in particular be</w:t>
      </w:r>
      <w:proofErr w:type="gramEnd"/>
      <w:r w:rsidRPr="00051E99">
        <w:rPr>
          <w:sz w:val="24"/>
          <w:szCs w:val="24"/>
        </w:rPr>
        <w:t xml:space="preserve"> aware of the full range so that they can refer students as appropriate to the relevant service. These services include:</w:t>
      </w:r>
    </w:p>
    <w:p w:rsidRPr="00051E99" w:rsidR="007044B3" w:rsidP="002D4325" w:rsidRDefault="007044B3" w14:paraId="5B132A67" w14:textId="6812FE3D">
      <w:pPr>
        <w:numPr>
          <w:ilvl w:val="0"/>
          <w:numId w:val="6"/>
        </w:numPr>
        <w:tabs>
          <w:tab w:val="clear" w:pos="720"/>
          <w:tab w:val="num" w:pos="993"/>
        </w:tabs>
        <w:snapToGrid w:val="0"/>
        <w:spacing w:after="120" w:line="240" w:lineRule="auto"/>
        <w:ind w:left="993" w:right="95" w:hanging="426"/>
        <w:jc w:val="left"/>
        <w:rPr>
          <w:sz w:val="24"/>
          <w:szCs w:val="24"/>
        </w:rPr>
      </w:pPr>
      <w:r w:rsidRPr="00051E99">
        <w:rPr>
          <w:sz w:val="24"/>
          <w:szCs w:val="24"/>
        </w:rPr>
        <w:t>The Accommodation Office</w:t>
      </w:r>
    </w:p>
    <w:p w:rsidRPr="00051E99" w:rsidR="007044B3" w:rsidP="002D4325" w:rsidRDefault="007044B3" w14:paraId="094E9DEB" w14:textId="751EFACE">
      <w:pPr>
        <w:numPr>
          <w:ilvl w:val="0"/>
          <w:numId w:val="6"/>
        </w:numPr>
        <w:tabs>
          <w:tab w:val="clear" w:pos="720"/>
          <w:tab w:val="num" w:pos="993"/>
        </w:tabs>
        <w:snapToGrid w:val="0"/>
        <w:spacing w:after="120" w:line="240" w:lineRule="auto"/>
        <w:ind w:left="993" w:right="95" w:hanging="426"/>
        <w:jc w:val="left"/>
        <w:rPr>
          <w:sz w:val="24"/>
          <w:szCs w:val="24"/>
        </w:rPr>
      </w:pPr>
      <w:r w:rsidRPr="00051E99">
        <w:rPr>
          <w:sz w:val="24"/>
          <w:szCs w:val="24"/>
        </w:rPr>
        <w:t>Information Services (including the Computing Service and Library)</w:t>
      </w:r>
    </w:p>
    <w:p w:rsidRPr="00051E99" w:rsidR="007044B3" w:rsidP="002D4325" w:rsidRDefault="007044B3" w14:paraId="280CF473" w14:textId="56C8E0B5">
      <w:pPr>
        <w:numPr>
          <w:ilvl w:val="0"/>
          <w:numId w:val="6"/>
        </w:numPr>
        <w:tabs>
          <w:tab w:val="clear" w:pos="720"/>
          <w:tab w:val="num" w:pos="993"/>
        </w:tabs>
        <w:snapToGrid w:val="0"/>
        <w:spacing w:after="120" w:line="240" w:lineRule="auto"/>
        <w:ind w:left="993" w:right="95" w:hanging="426"/>
        <w:jc w:val="left"/>
        <w:rPr>
          <w:sz w:val="24"/>
          <w:szCs w:val="24"/>
        </w:rPr>
      </w:pPr>
      <w:r w:rsidRPr="00051E99">
        <w:rPr>
          <w:sz w:val="24"/>
          <w:szCs w:val="24"/>
        </w:rPr>
        <w:t>The Academic Practice department</w:t>
      </w:r>
    </w:p>
    <w:p w:rsidRPr="00051E99" w:rsidR="007044B3" w:rsidP="002D4325" w:rsidRDefault="007044B3" w14:paraId="140A9C79" w14:textId="73615D90">
      <w:pPr>
        <w:numPr>
          <w:ilvl w:val="0"/>
          <w:numId w:val="6"/>
        </w:numPr>
        <w:tabs>
          <w:tab w:val="clear" w:pos="720"/>
          <w:tab w:val="num" w:pos="993"/>
        </w:tabs>
        <w:snapToGrid w:val="0"/>
        <w:spacing w:after="120" w:line="240" w:lineRule="auto"/>
        <w:ind w:left="993" w:right="95" w:hanging="426"/>
        <w:jc w:val="left"/>
        <w:rPr>
          <w:sz w:val="24"/>
          <w:szCs w:val="24"/>
        </w:rPr>
      </w:pPr>
      <w:r w:rsidRPr="00051E99">
        <w:rPr>
          <w:sz w:val="24"/>
          <w:szCs w:val="24"/>
        </w:rPr>
        <w:t>Registry offices such as International Partnerships, Financial Aid, Central Student Administration, Outreach, Marketing and Student Recruitment</w:t>
      </w:r>
    </w:p>
    <w:p w:rsidRPr="00051E99" w:rsidR="007044B3" w:rsidP="002D4325" w:rsidRDefault="007044B3" w14:paraId="76218660" w14:textId="794F4708">
      <w:pPr>
        <w:numPr>
          <w:ilvl w:val="0"/>
          <w:numId w:val="6"/>
        </w:numPr>
        <w:tabs>
          <w:tab w:val="clear" w:pos="720"/>
          <w:tab w:val="num" w:pos="993"/>
        </w:tabs>
        <w:snapToGrid w:val="0"/>
        <w:spacing w:after="120" w:line="240" w:lineRule="auto"/>
        <w:ind w:left="993" w:right="95" w:hanging="426"/>
        <w:jc w:val="left"/>
        <w:rPr>
          <w:sz w:val="24"/>
          <w:szCs w:val="24"/>
        </w:rPr>
      </w:pPr>
      <w:r w:rsidRPr="00051E99">
        <w:rPr>
          <w:sz w:val="24"/>
          <w:szCs w:val="24"/>
        </w:rPr>
        <w:t>Kent Union Student Advice Service</w:t>
      </w:r>
    </w:p>
    <w:p w:rsidRPr="00051E99" w:rsidR="007044B3" w:rsidP="002D4325" w:rsidRDefault="007044B3" w14:paraId="7F2D0875" w14:textId="7165097F">
      <w:pPr>
        <w:numPr>
          <w:ilvl w:val="0"/>
          <w:numId w:val="6"/>
        </w:numPr>
        <w:tabs>
          <w:tab w:val="clear" w:pos="720"/>
          <w:tab w:val="num" w:pos="993"/>
        </w:tabs>
        <w:snapToGrid w:val="0"/>
        <w:spacing w:after="120" w:line="240" w:lineRule="auto"/>
        <w:ind w:left="993" w:right="95" w:hanging="426"/>
        <w:jc w:val="left"/>
        <w:rPr>
          <w:sz w:val="24"/>
          <w:szCs w:val="24"/>
        </w:rPr>
      </w:pPr>
      <w:r w:rsidRPr="00051E99">
        <w:rPr>
          <w:sz w:val="24"/>
          <w:szCs w:val="24"/>
        </w:rPr>
        <w:t>GKSU Advice Service</w:t>
      </w:r>
    </w:p>
    <w:p w:rsidRPr="00051E99" w:rsidR="007044B3" w:rsidP="002D4325" w:rsidRDefault="007044B3" w14:paraId="7DAA6CCE" w14:textId="77777777">
      <w:pPr>
        <w:numPr>
          <w:ilvl w:val="0"/>
          <w:numId w:val="6"/>
        </w:numPr>
        <w:tabs>
          <w:tab w:val="clear" w:pos="720"/>
          <w:tab w:val="num" w:pos="993"/>
        </w:tabs>
        <w:snapToGrid w:val="0"/>
        <w:spacing w:after="120" w:line="240" w:lineRule="auto"/>
        <w:ind w:left="993" w:right="95" w:hanging="426"/>
        <w:jc w:val="left"/>
        <w:rPr>
          <w:sz w:val="24"/>
          <w:szCs w:val="24"/>
        </w:rPr>
      </w:pPr>
      <w:r w:rsidRPr="00051E99">
        <w:rPr>
          <w:sz w:val="24"/>
          <w:szCs w:val="24"/>
        </w:rPr>
        <w:t xml:space="preserve">Student Services, including: </w:t>
      </w:r>
    </w:p>
    <w:p w:rsidRPr="00051E99" w:rsidR="007044B3" w:rsidP="002D4325" w:rsidRDefault="007044B3" w14:paraId="0E1D283B" w14:textId="0BB3681D">
      <w:pPr>
        <w:numPr>
          <w:ilvl w:val="0"/>
          <w:numId w:val="7"/>
        </w:numPr>
        <w:snapToGrid w:val="0"/>
        <w:spacing w:after="120" w:line="240" w:lineRule="auto"/>
        <w:ind w:left="993" w:right="95" w:firstLine="0"/>
        <w:jc w:val="left"/>
        <w:rPr>
          <w:sz w:val="24"/>
          <w:szCs w:val="24"/>
        </w:rPr>
      </w:pPr>
      <w:r w:rsidRPr="00051E99">
        <w:rPr>
          <w:sz w:val="24"/>
          <w:szCs w:val="24"/>
        </w:rPr>
        <w:t>Careers and Employability Service</w:t>
      </w:r>
    </w:p>
    <w:p w:rsidRPr="00051E99" w:rsidR="007044B3" w:rsidP="002D4325" w:rsidRDefault="007044B3" w14:paraId="0F9D099F" w14:textId="3241190F">
      <w:pPr>
        <w:numPr>
          <w:ilvl w:val="0"/>
          <w:numId w:val="7"/>
        </w:numPr>
        <w:snapToGrid w:val="0"/>
        <w:spacing w:after="120" w:line="240" w:lineRule="auto"/>
        <w:ind w:left="993" w:right="95" w:firstLine="0"/>
        <w:jc w:val="left"/>
        <w:rPr>
          <w:sz w:val="24"/>
          <w:szCs w:val="24"/>
        </w:rPr>
      </w:pPr>
      <w:r w:rsidRPr="00051E99">
        <w:rPr>
          <w:sz w:val="24"/>
          <w:szCs w:val="24"/>
        </w:rPr>
        <w:t>Student Support and Wellbeing</w:t>
      </w:r>
    </w:p>
    <w:p w:rsidRPr="00051E99" w:rsidR="007044B3" w:rsidP="002D4325" w:rsidRDefault="007044B3" w14:paraId="1686D65B" w14:textId="066B1C02">
      <w:pPr>
        <w:numPr>
          <w:ilvl w:val="0"/>
          <w:numId w:val="7"/>
        </w:numPr>
        <w:snapToGrid w:val="0"/>
        <w:spacing w:after="120" w:line="240" w:lineRule="auto"/>
        <w:ind w:left="993" w:right="95" w:firstLine="0"/>
        <w:jc w:val="left"/>
        <w:rPr>
          <w:sz w:val="24"/>
          <w:szCs w:val="24"/>
        </w:rPr>
      </w:pPr>
      <w:r w:rsidRPr="00051E99">
        <w:rPr>
          <w:sz w:val="24"/>
          <w:szCs w:val="24"/>
        </w:rPr>
        <w:t>Counselling</w:t>
      </w:r>
    </w:p>
    <w:p w:rsidRPr="00051E99" w:rsidR="007044B3" w:rsidP="002D4325" w:rsidRDefault="007044B3" w14:paraId="4DDA205F" w14:textId="614199A7">
      <w:pPr>
        <w:numPr>
          <w:ilvl w:val="0"/>
          <w:numId w:val="7"/>
        </w:numPr>
        <w:snapToGrid w:val="0"/>
        <w:spacing w:after="120" w:line="240" w:lineRule="auto"/>
        <w:ind w:left="993" w:right="95" w:firstLine="0"/>
        <w:jc w:val="left"/>
        <w:rPr>
          <w:sz w:val="24"/>
          <w:szCs w:val="24"/>
        </w:rPr>
      </w:pPr>
      <w:r w:rsidRPr="00051E99">
        <w:rPr>
          <w:sz w:val="24"/>
          <w:szCs w:val="24"/>
        </w:rPr>
        <w:t>Colleges and Community Life</w:t>
      </w:r>
    </w:p>
    <w:p w:rsidRPr="00051E99" w:rsidR="007044B3" w:rsidP="002D4325" w:rsidRDefault="007044B3" w14:paraId="4418C902" w14:textId="2CB08192">
      <w:pPr>
        <w:numPr>
          <w:ilvl w:val="0"/>
          <w:numId w:val="7"/>
        </w:numPr>
        <w:snapToGrid w:val="0"/>
        <w:spacing w:after="120" w:line="240" w:lineRule="auto"/>
        <w:ind w:left="993" w:right="95" w:firstLine="0"/>
        <w:jc w:val="left"/>
        <w:rPr>
          <w:sz w:val="24"/>
          <w:szCs w:val="24"/>
        </w:rPr>
      </w:pPr>
      <w:r w:rsidRPr="00051E99">
        <w:rPr>
          <w:sz w:val="24"/>
          <w:szCs w:val="24"/>
        </w:rPr>
        <w:t>Conduct and Complaints</w:t>
      </w:r>
    </w:p>
    <w:p w:rsidRPr="00051E99" w:rsidR="007044B3" w:rsidP="002D4325" w:rsidRDefault="007044B3" w14:paraId="05E42C2B" w14:textId="0A679915">
      <w:pPr>
        <w:numPr>
          <w:ilvl w:val="0"/>
          <w:numId w:val="7"/>
        </w:numPr>
        <w:snapToGrid w:val="0"/>
        <w:spacing w:after="120" w:line="240" w:lineRule="auto"/>
        <w:ind w:left="993" w:right="95" w:firstLine="0"/>
        <w:jc w:val="left"/>
        <w:rPr>
          <w:sz w:val="24"/>
          <w:szCs w:val="24"/>
        </w:rPr>
      </w:pPr>
      <w:r w:rsidRPr="00051E99">
        <w:rPr>
          <w:sz w:val="24"/>
          <w:szCs w:val="24"/>
        </w:rPr>
        <w:t>The University Medical Centre</w:t>
      </w:r>
    </w:p>
    <w:p w:rsidRPr="00051E99" w:rsidR="007044B3" w:rsidP="002D4325" w:rsidRDefault="007044B3" w14:paraId="1D7F2A51" w14:textId="43686257">
      <w:pPr>
        <w:numPr>
          <w:ilvl w:val="0"/>
          <w:numId w:val="7"/>
        </w:numPr>
        <w:snapToGrid w:val="0"/>
        <w:spacing w:after="120" w:line="240" w:lineRule="auto"/>
        <w:ind w:left="993" w:right="95" w:firstLine="0"/>
        <w:jc w:val="left"/>
        <w:rPr>
          <w:sz w:val="24"/>
          <w:szCs w:val="24"/>
        </w:rPr>
      </w:pPr>
      <w:r w:rsidRPr="00051E99">
        <w:rPr>
          <w:sz w:val="24"/>
          <w:szCs w:val="24"/>
        </w:rPr>
        <w:t>Chaplaincy</w:t>
      </w:r>
    </w:p>
    <w:p w:rsidRPr="00051E99" w:rsidR="007044B3" w:rsidP="002D4325" w:rsidRDefault="007044B3" w14:paraId="32871DD9" w14:textId="71F5F4D0">
      <w:pPr>
        <w:numPr>
          <w:ilvl w:val="0"/>
          <w:numId w:val="6"/>
        </w:numPr>
        <w:tabs>
          <w:tab w:val="clear" w:pos="720"/>
          <w:tab w:val="num" w:pos="1134"/>
        </w:tabs>
        <w:snapToGrid w:val="0"/>
        <w:spacing w:after="120" w:line="240" w:lineRule="auto"/>
        <w:ind w:left="993" w:right="95" w:hanging="426"/>
        <w:jc w:val="left"/>
        <w:rPr>
          <w:sz w:val="24"/>
          <w:szCs w:val="24"/>
        </w:rPr>
      </w:pPr>
      <w:r w:rsidRPr="00051E99">
        <w:rPr>
          <w:sz w:val="24"/>
          <w:szCs w:val="24"/>
        </w:rPr>
        <w:t>Equality and Diversity</w:t>
      </w:r>
    </w:p>
    <w:p w:rsidRPr="00051E99" w:rsidR="007044B3" w:rsidP="002D4325" w:rsidRDefault="007044B3" w14:paraId="0490DF0F" w14:textId="77777777">
      <w:pPr>
        <w:numPr>
          <w:ilvl w:val="0"/>
          <w:numId w:val="6"/>
        </w:numPr>
        <w:tabs>
          <w:tab w:val="clear" w:pos="720"/>
          <w:tab w:val="num" w:pos="1134"/>
        </w:tabs>
        <w:snapToGrid w:val="0"/>
        <w:spacing w:after="120" w:line="240" w:lineRule="auto"/>
        <w:ind w:left="993" w:right="95" w:hanging="426"/>
        <w:jc w:val="left"/>
        <w:rPr>
          <w:sz w:val="24"/>
          <w:szCs w:val="24"/>
        </w:rPr>
      </w:pPr>
      <w:r w:rsidRPr="00051E99">
        <w:rPr>
          <w:sz w:val="24"/>
          <w:szCs w:val="24"/>
        </w:rPr>
        <w:t xml:space="preserve">The Graduate and Researcher College. </w:t>
      </w:r>
    </w:p>
    <w:p w:rsidRPr="00051E99" w:rsidR="002750C2" w:rsidP="00F55954" w:rsidRDefault="002750C2" w14:paraId="2F92BD8A" w14:textId="77777777">
      <w:pPr>
        <w:snapToGrid w:val="0"/>
        <w:spacing w:after="120" w:line="240" w:lineRule="auto"/>
        <w:ind w:right="95"/>
        <w:jc w:val="left"/>
      </w:pPr>
    </w:p>
    <w:sectPr w:rsidRPr="00051E99" w:rsidR="002750C2" w:rsidSect="002750C2">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A6F" w:rsidP="002750C2" w:rsidRDefault="009A5A6F" w14:paraId="51E20272" w14:textId="77777777">
      <w:pPr>
        <w:spacing w:after="0" w:line="240" w:lineRule="auto"/>
      </w:pPr>
      <w:r>
        <w:separator/>
      </w:r>
    </w:p>
  </w:endnote>
  <w:endnote w:type="continuationSeparator" w:id="0">
    <w:p w:rsidR="009A5A6F" w:rsidP="002750C2" w:rsidRDefault="009A5A6F" w14:paraId="0AB71048" w14:textId="77777777">
      <w:pPr>
        <w:spacing w:after="0" w:line="240" w:lineRule="auto"/>
      </w:pPr>
      <w:r>
        <w:continuationSeparator/>
      </w:r>
    </w:p>
  </w:endnote>
  <w:endnote w:type="continuationNotice" w:id="1">
    <w:p w:rsidR="00F76DCF" w:rsidRDefault="00F76DCF" w14:paraId="14E52BC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2750C2" w14:paraId="5C2B5CAF" w14:textId="77777777">
    <w:pPr>
      <w:pStyle w:val="Header"/>
      <w:jc w:val="left"/>
      <w:rPr>
        <w:rStyle w:val="eop"/>
        <w:sz w:val="20"/>
        <w:szCs w:val="20"/>
      </w:rPr>
    </w:pPr>
    <w:r>
      <w:rPr>
        <w:rStyle w:val="normaltextrun"/>
        <w:sz w:val="20"/>
        <w:szCs w:val="20"/>
      </w:rPr>
      <w:t>Author: QACO</w:t>
    </w:r>
    <w:r>
      <w:rPr>
        <w:rStyle w:val="eop"/>
        <w:sz w:val="20"/>
        <w:szCs w:val="20"/>
      </w:rPr>
      <w:t> </w:t>
    </w:r>
  </w:p>
  <w:p w:rsidR="00DC7EF3" w:rsidP="002F7E36" w:rsidRDefault="00DC7EF3" w14:paraId="23F5702E" w14:textId="7F984A1F">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8F0CCF">
      <w:rPr>
        <w:rStyle w:val="eop"/>
        <w:sz w:val="20"/>
        <w:szCs w:val="20"/>
      </w:rPr>
      <w:t>2</w:t>
    </w:r>
    <w:r>
      <w:rPr>
        <w:rStyle w:val="eop"/>
        <w:sz w:val="20"/>
        <w:szCs w:val="20"/>
      </w:rPr>
      <w:t>/2</w:t>
    </w:r>
    <w:r w:rsidR="008F0CCF">
      <w:rPr>
        <w:rStyle w:val="eop"/>
        <w:sz w:val="20"/>
        <w:szCs w:val="20"/>
      </w:rPr>
      <w:t>3</w:t>
    </w:r>
  </w:p>
  <w:p w:rsidR="002F7E36" w:rsidP="002F7E36" w:rsidRDefault="002750C2" w14:paraId="068F95BF"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7A65809C" w:rsidRDefault="002750C2" w14:paraId="4D7070A4" w14:textId="5B8D0FEB">
    <w:pPr>
      <w:pStyle w:val="paragraph"/>
      <w:spacing w:before="0" w:beforeAutospacing="off" w:after="0" w:afterAutospacing="off"/>
      <w:jc w:val="left"/>
      <w:textAlignment w:val="baseline"/>
      <w:rPr>
        <w:rStyle w:val="normaltextrun"/>
        <w:rFonts w:ascii="Arial" w:hAnsi="Arial" w:cs="Arial"/>
        <w:sz w:val="20"/>
        <w:szCs w:val="20"/>
      </w:rPr>
    </w:pPr>
    <w:r w:rsidRPr="7A65809C" w:rsidR="7A65809C">
      <w:rPr>
        <w:rStyle w:val="normaltextrun"/>
        <w:rFonts w:ascii="Arial" w:hAnsi="Arial" w:cs="Arial"/>
        <w:sz w:val="20"/>
        <w:szCs w:val="20"/>
      </w:rPr>
      <w:t xml:space="preserve">Last Revised: </w:t>
    </w:r>
    <w:r w:rsidRPr="7A65809C" w:rsidR="7A65809C">
      <w:rPr>
        <w:rStyle w:val="normaltextrun"/>
        <w:rFonts w:ascii="Arial" w:hAnsi="Arial" w:cs="Arial"/>
        <w:sz w:val="20"/>
        <w:szCs w:val="20"/>
      </w:rPr>
      <w:t>November 2023</w:t>
    </w:r>
  </w:p>
  <w:p w:rsidR="002750C2" w:rsidP="7A65809C" w:rsidRDefault="002750C2" w14:paraId="6D9E1C84" w14:textId="72D8C0FC">
    <w:pPr>
      <w:pStyle w:val="paragraph"/>
      <w:spacing w:before="0" w:beforeAutospacing="off" w:after="0" w:afterAutospacing="off"/>
      <w:jc w:val="left"/>
      <w:textAlignment w:val="baseline"/>
      <w:rPr>
        <w:rStyle w:val="normaltextrun"/>
        <w:rFonts w:ascii="Arial" w:hAnsi="Arial" w:cs="Arial"/>
        <w:sz w:val="20"/>
        <w:szCs w:val="20"/>
        <w:lang w:val="en-US"/>
      </w:rPr>
    </w:pPr>
    <w:r w:rsidRPr="7A65809C" w:rsidR="7A65809C">
      <w:rPr>
        <w:rStyle w:val="normaltextrun"/>
        <w:rFonts w:ascii="Arial" w:hAnsi="Arial" w:cs="Arial"/>
        <w:sz w:val="20"/>
        <w:szCs w:val="20"/>
      </w:rPr>
      <w:t>Next review: September 202</w:t>
    </w:r>
    <w:r w:rsidRPr="7A65809C" w:rsidR="7A65809C">
      <w:rPr>
        <w:rStyle w:val="normaltextrun"/>
        <w:rFonts w:ascii="Arial" w:hAnsi="Arial" w:cs="Arial"/>
        <w:sz w:val="20"/>
        <w:szCs w:val="20"/>
      </w:rPr>
      <w:t>4</w:t>
    </w:r>
  </w:p>
  <w:p w:rsidR="002750C2" w:rsidP="002750C2" w:rsidRDefault="002750C2" w14:paraId="65B8E51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A6F" w:rsidP="002750C2" w:rsidRDefault="009A5A6F" w14:paraId="3CCCFB0B" w14:textId="77777777">
      <w:pPr>
        <w:spacing w:after="0" w:line="240" w:lineRule="auto"/>
      </w:pPr>
      <w:r>
        <w:separator/>
      </w:r>
    </w:p>
  </w:footnote>
  <w:footnote w:type="continuationSeparator" w:id="0">
    <w:p w:rsidR="009A5A6F" w:rsidP="002750C2" w:rsidRDefault="009A5A6F" w14:paraId="6B94100B" w14:textId="77777777">
      <w:pPr>
        <w:spacing w:after="0" w:line="240" w:lineRule="auto"/>
      </w:pPr>
      <w:r>
        <w:continuationSeparator/>
      </w:r>
    </w:p>
  </w:footnote>
  <w:footnote w:type="continuationNotice" w:id="1">
    <w:p w:rsidR="00F76DCF" w:rsidRDefault="00F76DCF" w14:paraId="638AEFE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8F0CCF" w14:paraId="69DD7280" w14:textId="2C9A6527">
    <w:pPr>
      <w:pStyle w:val="Header"/>
      <w:jc w:val="right"/>
    </w:pPr>
    <w:r>
      <w:rPr>
        <w:noProof/>
      </w:rPr>
      <w:drawing>
        <wp:anchor distT="0" distB="0" distL="114300" distR="114300" simplePos="0" relativeHeight="251658240" behindDoc="0" locked="0" layoutInCell="1" allowOverlap="1" wp14:anchorId="3A2757C5" wp14:editId="76BA9A1A">
          <wp:simplePos x="0" y="0"/>
          <wp:positionH relativeFrom="column">
            <wp:posOffset>-913130</wp:posOffset>
          </wp:positionH>
          <wp:positionV relativeFrom="paragraph">
            <wp:posOffset>-450215</wp:posOffset>
          </wp:positionV>
          <wp:extent cx="7560000" cy="111751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518"/>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F7E88AA" w14:textId="7E838F68">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644DD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8F3"/>
    <w:multiLevelType w:val="hybridMultilevel"/>
    <w:tmpl w:val="A36049DC"/>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1" w15:restartNumberingAfterBreak="0">
    <w:nsid w:val="2E7D2A71"/>
    <w:multiLevelType w:val="multilevel"/>
    <w:tmpl w:val="B34259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6686BAB"/>
    <w:multiLevelType w:val="hybridMultilevel"/>
    <w:tmpl w:val="9792453E"/>
    <w:lvl w:ilvl="0" w:tplc="08090003">
      <w:start w:val="1"/>
      <w:numFmt w:val="bullet"/>
      <w:lvlText w:val="o"/>
      <w:lvlJc w:val="left"/>
      <w:pPr>
        <w:ind w:left="1080" w:hanging="360"/>
      </w:pPr>
      <w:rPr>
        <w:rFonts w:hint="default" w:ascii="Courier New" w:hAnsi="Courier New" w:cs="Courier New"/>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3FDE7488"/>
    <w:multiLevelType w:val="multilevel"/>
    <w:tmpl w:val="3050FA86"/>
    <w:lvl w:ilvl="0">
      <w:start w:val="1"/>
      <w:numFmt w:val="decimal"/>
      <w:lvlText w:val="%1"/>
      <w:lvlJc w:val="left"/>
      <w:pPr>
        <w:tabs>
          <w:tab w:val="num" w:pos="576"/>
        </w:tabs>
        <w:ind w:left="576" w:hanging="576"/>
      </w:pPr>
      <w:rPr>
        <w:rFonts w:hint="default" w:ascii="Arial" w:hAnsi="Arial" w:cs="Arial"/>
        <w:b/>
        <w:i w:val="0"/>
        <w:sz w:val="22"/>
      </w:rPr>
    </w:lvl>
    <w:lvl w:ilvl="1">
      <w:start w:val="1"/>
      <w:numFmt w:val="decimal"/>
      <w:lvlText w:val="3.%2"/>
      <w:lvlJc w:val="left"/>
      <w:pPr>
        <w:tabs>
          <w:tab w:val="num" w:pos="576"/>
        </w:tabs>
        <w:ind w:left="576" w:hanging="576"/>
      </w:pPr>
      <w:rPr>
        <w:rFonts w:hint="default"/>
        <w:b w:val="0"/>
        <w:i w:val="0"/>
        <w:sz w:val="24"/>
        <w:szCs w:val="20"/>
      </w:rPr>
    </w:lvl>
    <w:lvl w:ilvl="2">
      <w:start w:val="1"/>
      <w:numFmt w:val="decimal"/>
      <w:lvlText w:val="2.3.%3"/>
      <w:lvlJc w:val="left"/>
      <w:pPr>
        <w:tabs>
          <w:tab w:val="num" w:pos="576"/>
        </w:tabs>
        <w:ind w:left="576" w:hanging="576"/>
      </w:pPr>
      <w:rPr>
        <w:rFonts w:hint="default"/>
        <w:b w:val="0"/>
        <w:sz w:val="22"/>
        <w:szCs w:val="22"/>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5EF16D2"/>
    <w:multiLevelType w:val="hybridMultilevel"/>
    <w:tmpl w:val="C394C1F8"/>
    <w:lvl w:ilvl="0" w:tplc="BBE83B1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71AD58E4"/>
    <w:multiLevelType w:val="hybridMultilevel"/>
    <w:tmpl w:val="FC00261E"/>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7" w15:restartNumberingAfterBreak="0">
    <w:nsid w:val="794A5E82"/>
    <w:multiLevelType w:val="hybridMultilevel"/>
    <w:tmpl w:val="D9B0BE12"/>
    <w:lvl w:ilvl="0" w:tplc="A4C0F050">
      <w:start w:val="1"/>
      <w:numFmt w:val="decimal"/>
      <w:lvlText w:val="2.%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128429690">
    <w:abstractNumId w:val="5"/>
  </w:num>
  <w:num w:numId="2" w16cid:durableId="1519344334">
    <w:abstractNumId w:val="8"/>
  </w:num>
  <w:num w:numId="3" w16cid:durableId="765733049">
    <w:abstractNumId w:val="3"/>
  </w:num>
  <w:num w:numId="4" w16cid:durableId="493765109">
    <w:abstractNumId w:val="0"/>
  </w:num>
  <w:num w:numId="5" w16cid:durableId="1039476932">
    <w:abstractNumId w:val="6"/>
  </w:num>
  <w:num w:numId="6" w16cid:durableId="964001597">
    <w:abstractNumId w:val="1"/>
  </w:num>
  <w:num w:numId="7" w16cid:durableId="184288823">
    <w:abstractNumId w:val="2"/>
  </w:num>
  <w:num w:numId="8" w16cid:durableId="428280202">
    <w:abstractNumId w:val="4"/>
  </w:num>
  <w:num w:numId="9" w16cid:durableId="69790084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51E99"/>
    <w:rsid w:val="00146B68"/>
    <w:rsid w:val="001A795D"/>
    <w:rsid w:val="002750C2"/>
    <w:rsid w:val="002D4325"/>
    <w:rsid w:val="002E2660"/>
    <w:rsid w:val="002F7E36"/>
    <w:rsid w:val="003A3D9E"/>
    <w:rsid w:val="00516767"/>
    <w:rsid w:val="00516BB0"/>
    <w:rsid w:val="00670359"/>
    <w:rsid w:val="006942C1"/>
    <w:rsid w:val="006F60A4"/>
    <w:rsid w:val="007044B3"/>
    <w:rsid w:val="00725BB2"/>
    <w:rsid w:val="00796182"/>
    <w:rsid w:val="007E39F7"/>
    <w:rsid w:val="008F0CCF"/>
    <w:rsid w:val="0091236D"/>
    <w:rsid w:val="009A5A6F"/>
    <w:rsid w:val="00C810F1"/>
    <w:rsid w:val="00C91046"/>
    <w:rsid w:val="00DC7EF3"/>
    <w:rsid w:val="00EE7692"/>
    <w:rsid w:val="00F55954"/>
    <w:rsid w:val="00F76DCF"/>
    <w:rsid w:val="00FF085C"/>
    <w:rsid w:val="723461A1"/>
    <w:rsid w:val="7A6580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852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F55954"/>
    <w:pPr>
      <w:keepNext/>
      <w:keepLines/>
      <w:numPr>
        <w:numId w:val="8"/>
      </w:numPr>
      <w:tabs>
        <w:tab w:val="num" w:pos="567"/>
      </w:tabs>
      <w:snapToGrid w:val="0"/>
      <w:spacing w:after="120" w:line="240" w:lineRule="auto"/>
      <w:ind w:left="567" w:right="0" w:hanging="567"/>
      <w:jc w:val="left"/>
      <w:outlineLvl w:val="0"/>
    </w:pPr>
    <w:rPr>
      <w:rFonts w:eastAsiaTheme="majorEastAsia"/>
      <w:b/>
      <w:bCs/>
      <w:color w:val="000000" w:themeColor="text1"/>
      <w:sz w:val="24"/>
      <w:szCs w:val="28"/>
    </w:rPr>
  </w:style>
  <w:style w:type="paragraph" w:styleId="Heading2">
    <w:name w:val="heading 2"/>
    <w:basedOn w:val="Normal"/>
    <w:next w:val="Normal"/>
    <w:link w:val="Heading2Char"/>
    <w:uiPriority w:val="9"/>
    <w:unhideWhenUsed/>
    <w:qFormat/>
    <w:rsid w:val="00F55954"/>
    <w:pPr>
      <w:keepNext/>
      <w:keepLines/>
      <w:snapToGrid w:val="0"/>
      <w:spacing w:after="120" w:line="240" w:lineRule="auto"/>
      <w:ind w:left="0" w:right="0" w:firstLine="0"/>
      <w:jc w:val="left"/>
      <w:outlineLvl w:val="1"/>
    </w:pPr>
    <w:rPr>
      <w:rFonts w:eastAsiaTheme="majorEastAsia" w:cstheme="majorBidi"/>
      <w:b/>
      <w:color w:val="auto"/>
      <w:sz w:val="24"/>
      <w:szCs w:val="26"/>
      <w:lang w:eastAsia="en-US"/>
    </w:rPr>
  </w:style>
  <w:style w:type="paragraph" w:styleId="Heading9">
    <w:name w:val="heading 9"/>
    <w:basedOn w:val="Normal"/>
    <w:next w:val="Normal"/>
    <w:link w:val="Heading9Char"/>
    <w:unhideWhenUsed/>
    <w:qFormat/>
    <w:rsid w:val="007044B3"/>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55954"/>
    <w:rPr>
      <w:rFonts w:ascii="Arial" w:hAnsi="Arial" w:cs="Arial" w:eastAsiaTheme="majorEastAsia"/>
      <w:b/>
      <w:bCs/>
      <w:color w:val="000000" w:themeColor="text1"/>
      <w:sz w:val="24"/>
      <w:szCs w:val="28"/>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9Char" w:customStyle="1">
    <w:name w:val="Heading 9 Char"/>
    <w:basedOn w:val="DefaultParagraphFont"/>
    <w:link w:val="Heading9"/>
    <w:uiPriority w:val="9"/>
    <w:semiHidden/>
    <w:rsid w:val="007044B3"/>
    <w:rPr>
      <w:rFonts w:asciiTheme="majorHAnsi" w:hAnsiTheme="majorHAnsi" w:eastAsiaTheme="majorEastAsia" w:cstheme="majorBidi"/>
      <w:i/>
      <w:iCs/>
      <w:color w:val="272727" w:themeColor="text1" w:themeTint="D8"/>
      <w:sz w:val="21"/>
      <w:szCs w:val="21"/>
      <w:lang w:eastAsia="en-GB"/>
    </w:rPr>
  </w:style>
  <w:style w:type="character" w:styleId="Heading2Char" w:customStyle="1">
    <w:name w:val="Heading 2 Char"/>
    <w:basedOn w:val="DefaultParagraphFont"/>
    <w:link w:val="Heading2"/>
    <w:uiPriority w:val="9"/>
    <w:rsid w:val="00F55954"/>
    <w:rPr>
      <w:rFonts w:ascii="Arial" w:hAnsi="Arial" w:eastAsiaTheme="majorEastAsia" w:cstheme="majorBidi"/>
      <w:b/>
      <w:sz w:val="24"/>
      <w:szCs w:val="26"/>
    </w:rPr>
  </w:style>
  <w:style w:type="paragraph" w:styleId="Title">
    <w:name w:val="Title"/>
    <w:basedOn w:val="Normal"/>
    <w:next w:val="Normal"/>
    <w:link w:val="TitleChar"/>
    <w:uiPriority w:val="10"/>
    <w:qFormat/>
    <w:rsid w:val="007044B3"/>
    <w:pPr>
      <w:spacing w:after="0" w:line="240" w:lineRule="auto"/>
      <w:ind w:left="0" w:right="0" w:firstLine="0"/>
      <w:contextualSpacing/>
      <w:jc w:val="left"/>
    </w:pPr>
    <w:rPr>
      <w:rFonts w:asciiTheme="majorHAnsi" w:hAnsiTheme="majorHAnsi" w:eastAsiaTheme="majorEastAsia" w:cstheme="majorBidi"/>
      <w:color w:val="auto"/>
      <w:spacing w:val="-10"/>
      <w:kern w:val="28"/>
      <w:sz w:val="56"/>
      <w:szCs w:val="56"/>
      <w:lang w:eastAsia="en-US"/>
    </w:rPr>
  </w:style>
  <w:style w:type="character" w:styleId="TitleChar" w:customStyle="1">
    <w:name w:val="Title Char"/>
    <w:basedOn w:val="DefaultParagraphFont"/>
    <w:link w:val="Title"/>
    <w:uiPriority w:val="10"/>
    <w:rsid w:val="007044B3"/>
    <w:rPr>
      <w:rFonts w:asciiTheme="majorHAnsi" w:hAnsiTheme="majorHAnsi" w:eastAsiaTheme="majorEastAsia" w:cstheme="majorBidi"/>
      <w:spacing w:val="-10"/>
      <w:kern w:val="28"/>
      <w:sz w:val="56"/>
      <w:szCs w:val="56"/>
    </w:rPr>
  </w:style>
  <w:style w:type="paragraph" w:styleId="TOCHeading">
    <w:name w:val="TOC Heading"/>
    <w:basedOn w:val="Heading1"/>
    <w:next w:val="Normal"/>
    <w:uiPriority w:val="39"/>
    <w:unhideWhenUsed/>
    <w:qFormat/>
    <w:rsid w:val="007044B3"/>
    <w:pPr>
      <w:numPr>
        <w:numId w:val="0"/>
      </w:numPr>
      <w:spacing w:before="240"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7044B3"/>
    <w:pPr>
      <w:spacing w:after="100" w:line="240" w:lineRule="auto"/>
      <w:ind w:left="0" w:right="0" w:firstLine="0"/>
      <w:jc w:val="left"/>
    </w:pPr>
    <w:rPr>
      <w:rFonts w:ascii="Times New Roman" w:hAnsi="Times New Roman" w:eastAsia="Times New Roman" w:cs="Times New Roman"/>
      <w:color w:val="auto"/>
      <w:sz w:val="20"/>
      <w:szCs w:val="20"/>
      <w:lang w:eastAsia="en-US"/>
    </w:rPr>
  </w:style>
  <w:style w:type="paragraph" w:styleId="TOC2">
    <w:name w:val="toc 2"/>
    <w:basedOn w:val="Normal"/>
    <w:next w:val="Normal"/>
    <w:autoRedefine/>
    <w:uiPriority w:val="39"/>
    <w:unhideWhenUsed/>
    <w:rsid w:val="007044B3"/>
    <w:pPr>
      <w:spacing w:after="100" w:line="240" w:lineRule="auto"/>
      <w:ind w:left="200" w:right="0" w:firstLine="0"/>
      <w:jc w:val="left"/>
    </w:pPr>
    <w:rPr>
      <w:rFonts w:ascii="Times New Roman" w:hAnsi="Times New Roman" w:eastAsia="Times New Roman" w:cs="Times New Roman"/>
      <w:color w:val="auto"/>
      <w:sz w:val="20"/>
      <w:szCs w:val="20"/>
      <w:lang w:eastAsia="en-US"/>
    </w:rPr>
  </w:style>
  <w:style w:type="character" w:styleId="FollowedHyperlink">
    <w:name w:val="FollowedHyperlink"/>
    <w:basedOn w:val="DefaultParagraphFont"/>
    <w:uiPriority w:val="99"/>
    <w:semiHidden/>
    <w:unhideWhenUsed/>
    <w:rsid w:val="008F0CCF"/>
    <w:rPr>
      <w:color w:val="954F72" w:themeColor="followedHyperlink"/>
      <w:u w:val="single"/>
    </w:rPr>
  </w:style>
  <w:style w:type="character" w:styleId="UnresolvedMention">
    <w:name w:val="Unresolved Mention"/>
    <w:basedOn w:val="DefaultParagraphFont"/>
    <w:uiPriority w:val="99"/>
    <w:semiHidden/>
    <w:unhideWhenUsed/>
    <w:rsid w:val="00C9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kent.ac.uk/guides/academic-advisers" TargetMode="External" Id="R64efebfcfac44e9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0668D-89E1-4AA7-B0D1-46451376C409}"/>
</file>

<file path=customXml/itemProps2.xml><?xml version="1.0" encoding="utf-8"?>
<ds:datastoreItem xmlns:ds="http://schemas.openxmlformats.org/officeDocument/2006/customXml" ds:itemID="{0B9D1729-E02E-4E65-BF55-6E4E6052027A}">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C3C9710D-EA39-479B-B68F-8E7A0BC342B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12</cp:revision>
  <dcterms:created xsi:type="dcterms:W3CDTF">2021-09-22T15:33:00Z</dcterms:created>
  <dcterms:modified xsi:type="dcterms:W3CDTF">2023-11-10T10:43:35Z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