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5DB3" w14:textId="77777777" w:rsidR="0079100B" w:rsidRPr="00D636E0" w:rsidRDefault="0079100B" w:rsidP="004F0308">
      <w:pPr>
        <w:spacing w:after="120" w:line="240" w:lineRule="auto"/>
        <w:ind w:right="0"/>
        <w:rPr>
          <w:b/>
          <w:sz w:val="32"/>
          <w:szCs w:val="32"/>
          <w:lang w:val="it-IT"/>
        </w:rPr>
      </w:pPr>
      <w:r w:rsidRPr="00D636E0">
        <w:rPr>
          <w:b/>
          <w:sz w:val="32"/>
          <w:szCs w:val="32"/>
          <w:lang w:val="it-IT"/>
        </w:rPr>
        <w:t>Annex E: Annual Monitoring</w:t>
      </w:r>
    </w:p>
    <w:p w14:paraId="46FB9D0E" w14:textId="77777777" w:rsidR="0079100B" w:rsidRPr="00D636E0" w:rsidRDefault="0079100B" w:rsidP="004F0308">
      <w:pPr>
        <w:spacing w:after="120" w:line="240" w:lineRule="auto"/>
        <w:ind w:right="0"/>
        <w:rPr>
          <w:b/>
          <w:sz w:val="32"/>
          <w:szCs w:val="32"/>
          <w:lang w:val="it-IT"/>
        </w:rPr>
      </w:pPr>
      <w:r w:rsidRPr="00D636E0">
        <w:rPr>
          <w:b/>
          <w:sz w:val="32"/>
          <w:szCs w:val="32"/>
          <w:lang w:val="it-IT"/>
        </w:rPr>
        <w:t xml:space="preserve">Appendix A: Metrics </w:t>
      </w:r>
    </w:p>
    <w:tbl>
      <w:tblPr>
        <w:tblW w:w="1122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229"/>
      </w:tblGrid>
      <w:tr w:rsidR="0079100B" w:rsidRPr="000C67D6" w14:paraId="47CB12BD" w14:textId="77777777" w:rsidTr="00C04761">
        <w:trPr>
          <w:trHeight w:val="247"/>
        </w:trPr>
        <w:tc>
          <w:tcPr>
            <w:tcW w:w="11229" w:type="dxa"/>
            <w:tcBorders>
              <w:top w:val="nil"/>
              <w:left w:val="nil"/>
              <w:bottom w:val="nil"/>
              <w:right w:val="nil"/>
            </w:tcBorders>
            <w:shd w:val="clear" w:color="DCDCDC" w:fill="auto"/>
          </w:tcPr>
          <w:p w14:paraId="3DC4F3D5" w14:textId="77777777" w:rsidR="0079100B" w:rsidRPr="000C67D6" w:rsidRDefault="0079100B" w:rsidP="004F0308">
            <w:pPr>
              <w:pStyle w:val="Heading1"/>
            </w:pPr>
            <w:r w:rsidRPr="000C67D6">
              <w:t>Comparison against benchmark</w:t>
            </w:r>
          </w:p>
        </w:tc>
      </w:tr>
      <w:tr w:rsidR="0079100B" w:rsidRPr="000C67D6" w14:paraId="4BFC7954" w14:textId="77777777" w:rsidTr="00C04761">
        <w:trPr>
          <w:trHeight w:val="247"/>
        </w:trPr>
        <w:tc>
          <w:tcPr>
            <w:tcW w:w="1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AA6C3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rPr>
                <w:b/>
                <w:bCs/>
                <w:sz w:val="24"/>
              </w:rPr>
            </w:pPr>
            <w:r w:rsidRPr="000C67D6">
              <w:rPr>
                <w:sz w:val="24"/>
              </w:rPr>
              <w:t>10% or more above benchmark</w:t>
            </w:r>
          </w:p>
        </w:tc>
      </w:tr>
      <w:tr w:rsidR="0079100B" w:rsidRPr="000C67D6" w14:paraId="12AD0186" w14:textId="77777777" w:rsidTr="00C04761">
        <w:trPr>
          <w:trHeight w:val="247"/>
        </w:trPr>
        <w:tc>
          <w:tcPr>
            <w:tcW w:w="11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C77A56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rPr>
                <w:b/>
                <w:bCs/>
                <w:sz w:val="24"/>
              </w:rPr>
            </w:pPr>
            <w:r w:rsidRPr="000C67D6">
              <w:rPr>
                <w:sz w:val="24"/>
              </w:rPr>
              <w:t>3% or more above benchmark</w:t>
            </w:r>
          </w:p>
        </w:tc>
      </w:tr>
      <w:tr w:rsidR="0079100B" w:rsidRPr="000C67D6" w14:paraId="75BA0726" w14:textId="77777777" w:rsidTr="00C04761">
        <w:trPr>
          <w:trHeight w:val="247"/>
        </w:trPr>
        <w:tc>
          <w:tcPr>
            <w:tcW w:w="1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021B6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rPr>
                <w:b/>
                <w:bCs/>
                <w:sz w:val="24"/>
              </w:rPr>
            </w:pPr>
            <w:r w:rsidRPr="000C67D6">
              <w:rPr>
                <w:sz w:val="24"/>
              </w:rPr>
              <w:t>Equal to or within 3% of benchmark</w:t>
            </w:r>
          </w:p>
        </w:tc>
      </w:tr>
      <w:tr w:rsidR="0079100B" w:rsidRPr="000C67D6" w14:paraId="3616CC21" w14:textId="77777777" w:rsidTr="00C04761">
        <w:trPr>
          <w:trHeight w:val="247"/>
        </w:trPr>
        <w:tc>
          <w:tcPr>
            <w:tcW w:w="1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13A4E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rPr>
                <w:b/>
                <w:bCs/>
                <w:sz w:val="24"/>
              </w:rPr>
            </w:pPr>
            <w:r w:rsidRPr="000C67D6">
              <w:rPr>
                <w:sz w:val="24"/>
              </w:rPr>
              <w:t>Below benchmark</w:t>
            </w:r>
          </w:p>
        </w:tc>
      </w:tr>
      <w:tr w:rsidR="0079100B" w:rsidRPr="000C67D6" w14:paraId="1580FF1B" w14:textId="77777777" w:rsidTr="00C04761">
        <w:trPr>
          <w:trHeight w:val="247"/>
        </w:trPr>
        <w:tc>
          <w:tcPr>
            <w:tcW w:w="1122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3A1E954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rPr>
                <w:b/>
                <w:bCs/>
                <w:sz w:val="24"/>
              </w:rPr>
            </w:pPr>
            <w:r w:rsidRPr="000C67D6">
              <w:rPr>
                <w:b/>
                <w:bCs/>
                <w:sz w:val="24"/>
              </w:rPr>
              <w:t>Criteria for undergraduate programmes</w:t>
            </w:r>
          </w:p>
        </w:tc>
      </w:tr>
      <w:tr w:rsidR="0079100B" w:rsidRPr="000C67D6" w14:paraId="4B26A6CC" w14:textId="77777777" w:rsidTr="00C04761">
        <w:trPr>
          <w:trHeight w:val="247"/>
        </w:trPr>
        <w:tc>
          <w:tcPr>
            <w:tcW w:w="11229" w:type="dxa"/>
            <w:tcBorders>
              <w:top w:val="nil"/>
              <w:left w:val="nil"/>
              <w:bottom w:val="nil"/>
              <w:right w:val="nil"/>
            </w:tcBorders>
          </w:tcPr>
          <w:p w14:paraId="10C75C25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rPr>
                <w:sz w:val="24"/>
              </w:rPr>
            </w:pPr>
            <w:r w:rsidRPr="000C67D6">
              <w:rPr>
                <w:b/>
                <w:bCs/>
                <w:sz w:val="24"/>
              </w:rPr>
              <w:t>Recruitment:</w:t>
            </w:r>
            <w:r w:rsidRPr="000C67D6">
              <w:rPr>
                <w:sz w:val="24"/>
              </w:rPr>
              <w:t xml:space="preserve"> number of new students (by headcount) registered each year</w:t>
            </w:r>
          </w:p>
        </w:tc>
      </w:tr>
      <w:tr w:rsidR="0079100B" w:rsidRPr="000C67D6" w14:paraId="4E947E66" w14:textId="77777777" w:rsidTr="00C04761">
        <w:trPr>
          <w:trHeight w:val="247"/>
        </w:trPr>
        <w:tc>
          <w:tcPr>
            <w:tcW w:w="11229" w:type="dxa"/>
            <w:tcBorders>
              <w:top w:val="nil"/>
              <w:left w:val="nil"/>
              <w:bottom w:val="nil"/>
              <w:right w:val="nil"/>
            </w:tcBorders>
          </w:tcPr>
          <w:p w14:paraId="24D9B228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rPr>
                <w:sz w:val="24"/>
              </w:rPr>
            </w:pPr>
            <w:r w:rsidRPr="000C67D6">
              <w:rPr>
                <w:b/>
                <w:bCs/>
                <w:sz w:val="24"/>
              </w:rPr>
              <w:t>NSS:</w:t>
            </w:r>
            <w:r w:rsidRPr="000C67D6">
              <w:rPr>
                <w:sz w:val="24"/>
              </w:rPr>
              <w:t xml:space="preserve"> Teaching (aggregate score)</w:t>
            </w:r>
          </w:p>
        </w:tc>
      </w:tr>
      <w:tr w:rsidR="0079100B" w:rsidRPr="000C67D6" w14:paraId="77FC2041" w14:textId="77777777" w:rsidTr="00C04761">
        <w:trPr>
          <w:trHeight w:val="247"/>
        </w:trPr>
        <w:tc>
          <w:tcPr>
            <w:tcW w:w="11229" w:type="dxa"/>
            <w:tcBorders>
              <w:top w:val="nil"/>
              <w:left w:val="nil"/>
              <w:bottom w:val="nil"/>
              <w:right w:val="nil"/>
            </w:tcBorders>
          </w:tcPr>
          <w:p w14:paraId="31C1EF0A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rPr>
                <w:sz w:val="24"/>
              </w:rPr>
            </w:pPr>
            <w:r w:rsidRPr="000C67D6">
              <w:rPr>
                <w:b/>
                <w:bCs/>
                <w:sz w:val="24"/>
              </w:rPr>
              <w:t>NSS:</w:t>
            </w:r>
            <w:r w:rsidRPr="000C67D6">
              <w:rPr>
                <w:sz w:val="24"/>
              </w:rPr>
              <w:t xml:space="preserve"> Assessment and Feedback (aggregate)</w:t>
            </w:r>
          </w:p>
        </w:tc>
      </w:tr>
      <w:tr w:rsidR="0079100B" w:rsidRPr="000C67D6" w14:paraId="0C1A60C7" w14:textId="77777777" w:rsidTr="00C04761">
        <w:trPr>
          <w:trHeight w:val="247"/>
        </w:trPr>
        <w:tc>
          <w:tcPr>
            <w:tcW w:w="11229" w:type="dxa"/>
            <w:tcBorders>
              <w:top w:val="nil"/>
              <w:left w:val="nil"/>
              <w:bottom w:val="nil"/>
              <w:right w:val="nil"/>
            </w:tcBorders>
          </w:tcPr>
          <w:p w14:paraId="1E6E64B6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rPr>
                <w:sz w:val="24"/>
              </w:rPr>
            </w:pPr>
            <w:r w:rsidRPr="000C67D6">
              <w:rPr>
                <w:b/>
                <w:bCs/>
                <w:sz w:val="24"/>
              </w:rPr>
              <w:t>NSS:</w:t>
            </w:r>
            <w:r w:rsidRPr="000C67D6">
              <w:rPr>
                <w:sz w:val="24"/>
              </w:rPr>
              <w:t xml:space="preserve"> Academic Support (aggregate)</w:t>
            </w:r>
          </w:p>
        </w:tc>
      </w:tr>
      <w:tr w:rsidR="0079100B" w:rsidRPr="000C67D6" w14:paraId="6496953A" w14:textId="77777777" w:rsidTr="00C04761">
        <w:trPr>
          <w:trHeight w:val="247"/>
        </w:trPr>
        <w:tc>
          <w:tcPr>
            <w:tcW w:w="11229" w:type="dxa"/>
            <w:tcBorders>
              <w:top w:val="nil"/>
              <w:left w:val="nil"/>
              <w:bottom w:val="nil"/>
              <w:right w:val="nil"/>
            </w:tcBorders>
          </w:tcPr>
          <w:p w14:paraId="6AFF70C8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rPr>
                <w:sz w:val="24"/>
              </w:rPr>
            </w:pPr>
            <w:r w:rsidRPr="000C67D6">
              <w:rPr>
                <w:b/>
                <w:bCs/>
                <w:sz w:val="24"/>
              </w:rPr>
              <w:t>NSS:</w:t>
            </w:r>
            <w:r w:rsidRPr="000C67D6">
              <w:rPr>
                <w:sz w:val="24"/>
              </w:rPr>
              <w:t xml:space="preserve"> Student Voice (aggregate of Qs SV 1, 2, and 3)</w:t>
            </w:r>
          </w:p>
        </w:tc>
      </w:tr>
      <w:tr w:rsidR="0079100B" w:rsidRPr="000C67D6" w14:paraId="76E00E1F" w14:textId="77777777" w:rsidTr="00C04761">
        <w:trPr>
          <w:trHeight w:val="247"/>
        </w:trPr>
        <w:tc>
          <w:tcPr>
            <w:tcW w:w="11229" w:type="dxa"/>
            <w:tcBorders>
              <w:top w:val="nil"/>
              <w:left w:val="nil"/>
              <w:bottom w:val="nil"/>
              <w:right w:val="nil"/>
            </w:tcBorders>
          </w:tcPr>
          <w:p w14:paraId="7FE7B38C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rPr>
                <w:sz w:val="24"/>
              </w:rPr>
            </w:pPr>
            <w:r w:rsidRPr="000C67D6">
              <w:rPr>
                <w:b/>
                <w:bCs/>
                <w:sz w:val="24"/>
              </w:rPr>
              <w:t>NSS:</w:t>
            </w:r>
            <w:r w:rsidRPr="000C67D6">
              <w:rPr>
                <w:sz w:val="24"/>
              </w:rPr>
              <w:t xml:space="preserve"> Overall satisfaction</w:t>
            </w:r>
          </w:p>
        </w:tc>
      </w:tr>
      <w:tr w:rsidR="0079100B" w:rsidRPr="000C67D6" w14:paraId="417493E9" w14:textId="77777777" w:rsidTr="00C04761">
        <w:trPr>
          <w:trHeight w:val="247"/>
        </w:trPr>
        <w:tc>
          <w:tcPr>
            <w:tcW w:w="11229" w:type="dxa"/>
            <w:tcBorders>
              <w:top w:val="nil"/>
              <w:left w:val="nil"/>
              <w:bottom w:val="nil"/>
              <w:right w:val="nil"/>
            </w:tcBorders>
          </w:tcPr>
          <w:p w14:paraId="0C8ABCAB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rPr>
                <w:sz w:val="24"/>
              </w:rPr>
            </w:pPr>
            <w:r w:rsidRPr="000C67D6">
              <w:rPr>
                <w:b/>
                <w:bCs/>
                <w:sz w:val="24"/>
              </w:rPr>
              <w:t>Good Degrees</w:t>
            </w:r>
            <w:r w:rsidRPr="000C67D6">
              <w:rPr>
                <w:sz w:val="24"/>
              </w:rPr>
              <w:t>: % of students who achieve a 2:1 or First</w:t>
            </w:r>
          </w:p>
        </w:tc>
      </w:tr>
      <w:tr w:rsidR="0079100B" w:rsidRPr="000C67D6" w14:paraId="31784A0F" w14:textId="77777777" w:rsidTr="00C04761">
        <w:trPr>
          <w:trHeight w:val="247"/>
        </w:trPr>
        <w:tc>
          <w:tcPr>
            <w:tcW w:w="11229" w:type="dxa"/>
            <w:tcBorders>
              <w:top w:val="nil"/>
              <w:left w:val="nil"/>
              <w:bottom w:val="nil"/>
              <w:right w:val="nil"/>
            </w:tcBorders>
          </w:tcPr>
          <w:p w14:paraId="305B166E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rPr>
                <w:sz w:val="24"/>
              </w:rPr>
            </w:pPr>
            <w:r w:rsidRPr="000C67D6">
              <w:rPr>
                <w:b/>
                <w:bCs/>
                <w:sz w:val="24"/>
              </w:rPr>
              <w:t>Employability:</w:t>
            </w:r>
            <w:r w:rsidRPr="000C67D6">
              <w:rPr>
                <w:sz w:val="24"/>
              </w:rPr>
              <w:t xml:space="preserve"> In employment or further study six months after graduation (DLHE stats)</w:t>
            </w:r>
          </w:p>
        </w:tc>
      </w:tr>
      <w:tr w:rsidR="0079100B" w:rsidRPr="000C67D6" w14:paraId="0A5DEC0C" w14:textId="77777777" w:rsidTr="00C04761">
        <w:trPr>
          <w:trHeight w:val="247"/>
        </w:trPr>
        <w:tc>
          <w:tcPr>
            <w:tcW w:w="11229" w:type="dxa"/>
            <w:tcBorders>
              <w:top w:val="nil"/>
              <w:left w:val="nil"/>
              <w:bottom w:val="nil"/>
              <w:right w:val="nil"/>
            </w:tcBorders>
          </w:tcPr>
          <w:p w14:paraId="6EBE01F4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rPr>
                <w:sz w:val="24"/>
              </w:rPr>
            </w:pPr>
            <w:r w:rsidRPr="000C67D6">
              <w:rPr>
                <w:b/>
                <w:bCs/>
                <w:sz w:val="24"/>
              </w:rPr>
              <w:t>Employability:</w:t>
            </w:r>
            <w:r w:rsidRPr="000C67D6">
              <w:rPr>
                <w:sz w:val="24"/>
              </w:rPr>
              <w:t xml:space="preserve"> In 'highly skilled' employment or further study six months after graduation (DHLE stats)</w:t>
            </w:r>
          </w:p>
        </w:tc>
      </w:tr>
      <w:tr w:rsidR="0079100B" w:rsidRPr="000C67D6" w14:paraId="27BDB5F7" w14:textId="77777777" w:rsidTr="00C04761">
        <w:trPr>
          <w:trHeight w:val="247"/>
        </w:trPr>
        <w:tc>
          <w:tcPr>
            <w:tcW w:w="11229" w:type="dxa"/>
            <w:tcBorders>
              <w:top w:val="nil"/>
              <w:left w:val="nil"/>
              <w:bottom w:val="nil"/>
              <w:right w:val="nil"/>
            </w:tcBorders>
          </w:tcPr>
          <w:p w14:paraId="50354C52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rPr>
                <w:sz w:val="24"/>
              </w:rPr>
            </w:pPr>
            <w:r w:rsidRPr="000C67D6">
              <w:rPr>
                <w:b/>
                <w:bCs/>
                <w:sz w:val="24"/>
              </w:rPr>
              <w:t>Retention:</w:t>
            </w:r>
            <w:r w:rsidRPr="000C67D6">
              <w:rPr>
                <w:sz w:val="24"/>
              </w:rPr>
              <w:t xml:space="preserve"> % of students who continue from their first year to their second year on the programme </w:t>
            </w:r>
          </w:p>
        </w:tc>
      </w:tr>
      <w:tr w:rsidR="0079100B" w:rsidRPr="000C67D6" w14:paraId="2CED8364" w14:textId="77777777" w:rsidTr="00C04761">
        <w:trPr>
          <w:trHeight w:val="247"/>
        </w:trPr>
        <w:tc>
          <w:tcPr>
            <w:tcW w:w="11229" w:type="dxa"/>
            <w:tcBorders>
              <w:top w:val="nil"/>
              <w:left w:val="nil"/>
              <w:bottom w:val="nil"/>
              <w:right w:val="nil"/>
            </w:tcBorders>
          </w:tcPr>
          <w:p w14:paraId="33FA85D8" w14:textId="77777777" w:rsidR="0079100B" w:rsidRPr="000C67D6" w:rsidRDefault="0079100B" w:rsidP="004F0308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sz w:val="24"/>
              </w:rPr>
            </w:pPr>
          </w:p>
        </w:tc>
      </w:tr>
    </w:tbl>
    <w:p w14:paraId="2ED65797" w14:textId="77777777" w:rsidR="002750C2" w:rsidRPr="00146B68" w:rsidRDefault="002750C2" w:rsidP="006B5239">
      <w:pPr>
        <w:ind w:left="0" w:firstLine="0"/>
      </w:pPr>
    </w:p>
    <w:sectPr w:rsidR="002750C2" w:rsidRPr="00146B68" w:rsidSect="00791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270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E7B4" w14:textId="77777777" w:rsidR="00BA78D0" w:rsidRDefault="00BA78D0" w:rsidP="002750C2">
      <w:pPr>
        <w:spacing w:after="0" w:line="240" w:lineRule="auto"/>
      </w:pPr>
      <w:r>
        <w:separator/>
      </w:r>
    </w:p>
  </w:endnote>
  <w:endnote w:type="continuationSeparator" w:id="0">
    <w:p w14:paraId="1ADC1D01" w14:textId="77777777" w:rsidR="00BA78D0" w:rsidRDefault="00BA78D0" w:rsidP="0027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4A9D" w14:textId="77777777" w:rsidR="00874651" w:rsidRDefault="00874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5E41" w14:textId="77777777" w:rsidR="002750C2" w:rsidRDefault="002750C2" w:rsidP="002F7E36">
    <w:pPr>
      <w:pStyle w:val="Header"/>
      <w:jc w:val="left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14:paraId="01B3783C" w14:textId="032DD597" w:rsidR="00DE468D" w:rsidRDefault="00DE468D" w:rsidP="002F7E36">
    <w:pPr>
      <w:pStyle w:val="Header"/>
      <w:jc w:val="left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>Applies to: 202</w:t>
    </w:r>
    <w:r w:rsidR="00BB1AB8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BB1AB8">
      <w:rPr>
        <w:rStyle w:val="eop"/>
        <w:sz w:val="20"/>
        <w:szCs w:val="20"/>
      </w:rPr>
      <w:t>3</w:t>
    </w:r>
  </w:p>
  <w:p w14:paraId="53A7C8EA" w14:textId="77777777" w:rsidR="002F7E36" w:rsidRDefault="002750C2" w:rsidP="002F7E36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14:paraId="66D3A906" w14:textId="2494C110" w:rsidR="002750C2" w:rsidRPr="002E0DA9" w:rsidRDefault="002750C2" w:rsidP="002F7E36">
    <w:pPr>
      <w:pStyle w:val="paragraph"/>
      <w:spacing w:before="0" w:beforeAutospacing="0" w:after="0" w:afterAutospacing="0"/>
      <w:jc w:val="left"/>
      <w:textAlignment w:val="baseline"/>
      <w:rPr>
        <w:rFonts w:ascii="Arial" w:hAnsi="Arial" w:cs="Arial"/>
        <w:sz w:val="20"/>
        <w:szCs w:val="20"/>
      </w:rPr>
    </w:pPr>
    <w:r>
      <w:rPr>
        <w:rStyle w:val="normaltextrun"/>
        <w:rFonts w:ascii="Arial" w:hAnsi="Arial" w:cs="Arial"/>
        <w:sz w:val="20"/>
        <w:szCs w:val="20"/>
      </w:rPr>
      <w:t>Last Revised</w:t>
    </w:r>
    <w:r w:rsidRPr="00874651">
      <w:rPr>
        <w:rStyle w:val="normaltextrun"/>
        <w:rFonts w:ascii="Arial" w:hAnsi="Arial" w:cs="Arial"/>
        <w:sz w:val="20"/>
        <w:szCs w:val="20"/>
      </w:rPr>
      <w:t xml:space="preserve">: </w:t>
    </w:r>
    <w:r w:rsidR="00874651" w:rsidRPr="00874651">
      <w:rPr>
        <w:rFonts w:ascii="Arial" w:hAnsi="Arial" w:cs="Arial"/>
        <w:sz w:val="20"/>
        <w:szCs w:val="20"/>
      </w:rPr>
      <w:t>November 2023</w:t>
    </w:r>
  </w:p>
  <w:p w14:paraId="61083A39" w14:textId="3A7B050F" w:rsidR="002750C2" w:rsidRDefault="002750C2" w:rsidP="002F7E36">
    <w:pPr>
      <w:pStyle w:val="paragraph"/>
      <w:spacing w:before="0" w:beforeAutospacing="0" w:after="0" w:afterAutospacing="0"/>
      <w:jc w:val="left"/>
      <w:textAlignment w:val="baseline"/>
      <w:rPr>
        <w:rFonts w:ascii="Segoe UI" w:hAnsi="Segoe UI" w:cs="Segoe UI"/>
        <w:sz w:val="18"/>
        <w:szCs w:val="18"/>
        <w:lang w:val="en-US"/>
      </w:rPr>
    </w:pPr>
    <w:r>
      <w:rPr>
        <w:rStyle w:val="normaltextrun"/>
        <w:rFonts w:ascii="Arial" w:hAnsi="Arial" w:cs="Arial"/>
        <w:sz w:val="20"/>
        <w:szCs w:val="20"/>
      </w:rPr>
      <w:t>Next review: September 202</w:t>
    </w:r>
    <w:r w:rsidR="00874651">
      <w:rPr>
        <w:rStyle w:val="normaltextrun"/>
        <w:rFonts w:ascii="Arial" w:hAnsi="Arial" w:cs="Arial"/>
        <w:sz w:val="20"/>
        <w:szCs w:val="20"/>
      </w:rPr>
      <w:t>4</w:t>
    </w:r>
  </w:p>
  <w:p w14:paraId="13AE7DE4" w14:textId="77777777" w:rsidR="002750C2" w:rsidRDefault="002750C2" w:rsidP="002750C2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6B5239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6B5239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E3D6" w14:textId="77777777" w:rsidR="00874651" w:rsidRDefault="00874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353B" w14:textId="77777777" w:rsidR="00BA78D0" w:rsidRDefault="00BA78D0" w:rsidP="002750C2">
      <w:pPr>
        <w:spacing w:after="0" w:line="240" w:lineRule="auto"/>
      </w:pPr>
      <w:r>
        <w:separator/>
      </w:r>
    </w:p>
  </w:footnote>
  <w:footnote w:type="continuationSeparator" w:id="0">
    <w:p w14:paraId="07FC6174" w14:textId="77777777" w:rsidR="00BA78D0" w:rsidRDefault="00BA78D0" w:rsidP="0027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069A" w14:textId="77777777" w:rsidR="00874651" w:rsidRDefault="00874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1DB" w14:textId="623AB80B" w:rsidR="002750C2" w:rsidRDefault="000B72BC" w:rsidP="002750C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3560A" wp14:editId="45401E89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10692000" cy="1118382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118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3718C7" w14:textId="736A9DEA" w:rsidR="002750C2" w:rsidRPr="002750C2" w:rsidRDefault="00516BB0" w:rsidP="002750C2">
    <w:pPr>
      <w:pStyle w:val="Header"/>
      <w:ind w:right="284"/>
      <w:jc w:val="center"/>
      <w:rPr>
        <w:b/>
        <w:sz w:val="24"/>
      </w:rPr>
    </w:pPr>
    <w:r>
      <w:rPr>
        <w:b/>
        <w:sz w:val="24"/>
      </w:rPr>
      <w:t xml:space="preserve">                </w:t>
    </w:r>
    <w:r w:rsidR="002750C2" w:rsidRPr="002750C2">
      <w:rPr>
        <w:b/>
        <w:sz w:val="24"/>
      </w:rPr>
      <w:t xml:space="preserve">Code of Practice for Quality Assurance of </w:t>
    </w:r>
    <w:r w:rsidR="00EE7692">
      <w:rPr>
        <w:b/>
        <w:sz w:val="24"/>
      </w:rPr>
      <w:t xml:space="preserve">Taught </w:t>
    </w:r>
    <w:r w:rsidR="002750C2" w:rsidRPr="002750C2">
      <w:rPr>
        <w:b/>
        <w:sz w:val="24"/>
      </w:rPr>
      <w:t>Courses of Study</w:t>
    </w:r>
  </w:p>
  <w:p w14:paraId="3FBE694D" w14:textId="77777777" w:rsidR="002750C2" w:rsidRDefault="00275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DF93" w14:textId="77777777" w:rsidR="00874651" w:rsidRDefault="00874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4DB"/>
    <w:multiLevelType w:val="multilevel"/>
    <w:tmpl w:val="9FC03766"/>
    <w:lvl w:ilvl="0">
      <w:start w:val="1"/>
      <w:numFmt w:val="decimal"/>
      <w:lvlText w:val="%1."/>
      <w:lvlJc w:val="left"/>
      <w:pPr>
        <w:ind w:left="566"/>
      </w:pPr>
      <w:rPr>
        <w:rFonts w:ascii="Arial" w:eastAsiaTheme="majorEastAsia" w:hAnsi="Arial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DC45A6"/>
    <w:multiLevelType w:val="multilevel"/>
    <w:tmpl w:val="163AF77C"/>
    <w:lvl w:ilvl="0">
      <w:start w:val="1"/>
      <w:numFmt w:val="decimal"/>
      <w:lvlText w:val="%1."/>
      <w:lvlJc w:val="left"/>
      <w:pPr>
        <w:ind w:left="56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>
      <w:start w:val="1"/>
      <w:numFmt w:val="decimal"/>
      <w:lvlText w:val="2.%2"/>
      <w:lvlJc w:val="left"/>
      <w:pPr>
        <w:ind w:left="128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2">
      <w:start w:val="1"/>
      <w:numFmt w:val="decimal"/>
      <w:lvlText w:val="2.4.%3"/>
      <w:lvlJc w:val="left"/>
      <w:pPr>
        <w:ind w:left="56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 w16cid:durableId="1303467119">
    <w:abstractNumId w:val="0"/>
  </w:num>
  <w:num w:numId="2" w16cid:durableId="209677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097FEE"/>
    <w:rsid w:val="000B72BC"/>
    <w:rsid w:val="00146B68"/>
    <w:rsid w:val="002750C2"/>
    <w:rsid w:val="002E2660"/>
    <w:rsid w:val="002F7E36"/>
    <w:rsid w:val="004F0308"/>
    <w:rsid w:val="00516BB0"/>
    <w:rsid w:val="00607AC9"/>
    <w:rsid w:val="006B5239"/>
    <w:rsid w:val="006F60A4"/>
    <w:rsid w:val="0079100B"/>
    <w:rsid w:val="00874651"/>
    <w:rsid w:val="00AB06AA"/>
    <w:rsid w:val="00BA78D0"/>
    <w:rsid w:val="00BB1AB8"/>
    <w:rsid w:val="00D636E0"/>
    <w:rsid w:val="00DE468D"/>
    <w:rsid w:val="00E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8BED5"/>
  <w15:chartTrackingRefBased/>
  <w15:docId w15:val="{BA41A325-D963-4148-BE87-7772ED0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36"/>
    <w:pPr>
      <w:spacing w:after="113" w:line="249" w:lineRule="auto"/>
      <w:ind w:left="862" w:right="1" w:hanging="862"/>
      <w:jc w:val="both"/>
    </w:pPr>
    <w:rPr>
      <w:rFonts w:ascii="Arial" w:eastAsia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0308"/>
    <w:pPr>
      <w:keepNext/>
      <w:keepLines/>
      <w:tabs>
        <w:tab w:val="left" w:pos="567"/>
      </w:tabs>
      <w:spacing w:before="20" w:after="20" w:line="240" w:lineRule="auto"/>
      <w:ind w:left="566" w:right="0" w:hanging="566"/>
      <w:outlineLvl w:val="0"/>
    </w:pPr>
    <w:rPr>
      <w:rFonts w:eastAsiaTheme="majorEastAsia" w:cstheme="majorBidi"/>
      <w:b/>
      <w:sz w:val="24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0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308"/>
    <w:rPr>
      <w:rFonts w:ascii="Arial" w:eastAsiaTheme="majorEastAsia" w:hAnsi="Arial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customStyle="1" w:styleId="paragraph">
    <w:name w:val="paragraph"/>
    <w:basedOn w:val="Normal"/>
    <w:rsid w:val="002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50C2"/>
  </w:style>
  <w:style w:type="character" w:customStyle="1" w:styleId="eop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00B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97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2" ma:contentTypeDescription="Create a new document." ma:contentTypeScope="" ma:versionID="a8a8aa8f1111874697213081bb6b3929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33166e3ca547db6e88bc9efa68e40bdb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Props1.xml><?xml version="1.0" encoding="utf-8"?>
<ds:datastoreItem xmlns:ds="http://schemas.openxmlformats.org/officeDocument/2006/customXml" ds:itemID="{ED60D79D-F424-4220-A029-7F414E2D4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4a565-d903-479b-8f5d-e7c9db0d7e7d"/>
    <ds:schemaRef ds:uri="1fdcc210-6ef1-468c-b14e-f77be65fd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ED9E1-DDE8-4EA1-9E79-1ECC710BD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921FB-B384-4E59-B355-B0681DE1FD39}">
  <ds:schemaRefs>
    <ds:schemaRef ds:uri="http://schemas.microsoft.com/office/2006/metadata/properties"/>
    <ds:schemaRef ds:uri="http://schemas.microsoft.com/office/infopath/2007/PartnerControls"/>
    <ds:schemaRef ds:uri="4844a565-d903-479b-8f5d-e7c9db0d7e7d"/>
    <ds:schemaRef ds:uri="1fdcc210-6ef1-468c-b14e-f77be65fd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12</cp:revision>
  <dcterms:created xsi:type="dcterms:W3CDTF">2021-08-12T15:56:00Z</dcterms:created>
  <dcterms:modified xsi:type="dcterms:W3CDTF">2023-11-13T10:10:00Z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</Properties>
</file>