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22AF" w:rsidR="00893840" w:rsidP="00D422AF" w:rsidRDefault="00893840" w14:paraId="4FC4662C" w14:textId="77777777">
      <w:pPr>
        <w:spacing w:after="120"/>
        <w:ind w:right="237"/>
        <w:jc w:val="left"/>
        <w:rPr>
          <w:b/>
          <w:sz w:val="32"/>
          <w:szCs w:val="24"/>
        </w:rPr>
      </w:pPr>
      <w:r w:rsidRPr="00D422AF">
        <w:rPr>
          <w:b/>
          <w:sz w:val="32"/>
          <w:szCs w:val="24"/>
        </w:rPr>
        <w:t xml:space="preserve">Annex B: Approval and Withdrawal of Modules </w:t>
      </w:r>
    </w:p>
    <w:p w:rsidRPr="00D422AF" w:rsidR="00893840" w:rsidP="00D422AF" w:rsidRDefault="00893840" w14:paraId="3C9076C2" w14:textId="77777777">
      <w:pPr>
        <w:spacing w:after="120"/>
        <w:ind w:left="0" w:right="237" w:firstLine="0"/>
        <w:jc w:val="left"/>
        <w:rPr>
          <w:b/>
          <w:sz w:val="32"/>
          <w:szCs w:val="24"/>
        </w:rPr>
      </w:pPr>
      <w:r w:rsidRPr="00D422AF">
        <w:rPr>
          <w:b/>
          <w:sz w:val="32"/>
          <w:szCs w:val="24"/>
        </w:rPr>
        <w:t xml:space="preserve">Appendix A: Guidance to Inform Completion of </w:t>
      </w:r>
      <w:bookmarkStart w:name="_Toc449539299" w:id="0"/>
      <w:bookmarkStart w:name="_Toc449542825" w:id="1"/>
      <w:r w:rsidRPr="00D422AF">
        <w:rPr>
          <w:b/>
          <w:sz w:val="32"/>
          <w:szCs w:val="24"/>
        </w:rPr>
        <w:t>Section 15</w:t>
      </w:r>
      <w:bookmarkEnd w:id="0"/>
      <w:bookmarkEnd w:id="1"/>
      <w:r w:rsidRPr="00D422AF">
        <w:rPr>
          <w:b/>
          <w:sz w:val="32"/>
          <w:szCs w:val="24"/>
        </w:rPr>
        <w:t xml:space="preserve"> of the Module Specification Template</w:t>
      </w:r>
    </w:p>
    <w:p w:rsidR="00893840" w:rsidP="00D422AF" w:rsidRDefault="00893840" w14:paraId="0D28C2FA" w14:textId="77777777">
      <w:pPr>
        <w:spacing w:after="120" w:line="240" w:lineRule="auto"/>
        <w:ind w:right="237"/>
        <w:rPr>
          <w:sz w:val="24"/>
          <w:szCs w:val="24"/>
        </w:rPr>
      </w:pPr>
    </w:p>
    <w:p w:rsidRPr="00F53819" w:rsidR="00A322E6" w:rsidP="00A322E6" w:rsidRDefault="00A322E6" w14:paraId="6FCCA3C5" w14:textId="77777777">
      <w:pPr>
        <w:pStyle w:val="Heading1"/>
        <w:numPr>
          <w:ilvl w:val="0"/>
          <w:numId w:val="0"/>
        </w:numPr>
        <w:ind w:left="566" w:hanging="566"/>
        <w:rPr>
          <w:rFonts w:cs="Arial"/>
        </w:rPr>
      </w:pPr>
      <w:r>
        <w:t>Introduction</w:t>
      </w:r>
    </w:p>
    <w:p w:rsidRPr="00F53819" w:rsidR="00893840" w:rsidP="00D422AF" w:rsidRDefault="00893840" w14:paraId="18B3AA30" w14:textId="00D75F12">
      <w:pPr>
        <w:spacing w:after="120" w:line="240" w:lineRule="auto"/>
        <w:ind w:right="237"/>
        <w:rPr>
          <w:sz w:val="24"/>
          <w:szCs w:val="24"/>
        </w:rPr>
      </w:pPr>
      <w:r w:rsidRPr="00F53819">
        <w:rPr>
          <w:sz w:val="24"/>
          <w:szCs w:val="24"/>
        </w:rPr>
        <w:t xml:space="preserve">Section 15 </w:t>
      </w:r>
      <w:r w:rsidR="00767BDC">
        <w:rPr>
          <w:sz w:val="24"/>
          <w:szCs w:val="24"/>
        </w:rPr>
        <w:t xml:space="preserve">of the module specification template </w:t>
      </w:r>
      <w:r w:rsidRPr="00F53819">
        <w:rPr>
          <w:sz w:val="24"/>
          <w:szCs w:val="24"/>
        </w:rPr>
        <w:t xml:space="preserve">states: </w:t>
      </w:r>
    </w:p>
    <w:p w:rsidRPr="00D422AF" w:rsidR="00893840" w:rsidP="00D422AF" w:rsidRDefault="00893840" w14:paraId="3F94C363" w14:textId="77777777">
      <w:pPr>
        <w:spacing w:after="120" w:line="240" w:lineRule="auto"/>
        <w:ind w:left="426" w:right="237" w:firstLine="0"/>
        <w:rPr>
          <w:rFonts w:eastAsiaTheme="minorEastAsia"/>
          <w:iCs/>
          <w:sz w:val="24"/>
          <w:szCs w:val="24"/>
        </w:rPr>
      </w:pPr>
      <w:r w:rsidRPr="00D422AF">
        <w:rPr>
          <w:b/>
          <w:bCs/>
          <w:sz w:val="24"/>
          <w:szCs w:val="24"/>
        </w:rPr>
        <w:t>“Inclusive m</w:t>
      </w:r>
      <w:r w:rsidRPr="00D422AF">
        <w:rPr>
          <w:rFonts w:eastAsiaTheme="minorEastAsia"/>
          <w:b/>
          <w:bCs/>
          <w:sz w:val="24"/>
          <w:szCs w:val="24"/>
        </w:rPr>
        <w:t xml:space="preserve">odule </w:t>
      </w:r>
      <w:r w:rsidRPr="00D422AF">
        <w:rPr>
          <w:b/>
          <w:bCs/>
          <w:sz w:val="24"/>
          <w:szCs w:val="24"/>
        </w:rPr>
        <w:t>d</w:t>
      </w:r>
      <w:r w:rsidRPr="00D422AF">
        <w:rPr>
          <w:rFonts w:eastAsiaTheme="minorEastAsia"/>
          <w:b/>
          <w:bCs/>
          <w:sz w:val="24"/>
          <w:szCs w:val="24"/>
        </w:rPr>
        <w:t xml:space="preserve">esign </w:t>
      </w:r>
    </w:p>
    <w:p w:rsidRPr="00D422AF" w:rsidR="00893840" w:rsidP="00D422AF" w:rsidRDefault="00893840" w14:paraId="49187F89" w14:textId="77777777">
      <w:pPr>
        <w:autoSpaceDE w:val="0"/>
        <w:autoSpaceDN w:val="0"/>
        <w:adjustRightInd w:val="0"/>
        <w:spacing w:after="120" w:line="240" w:lineRule="auto"/>
        <w:ind w:left="426" w:right="237" w:firstLine="0"/>
        <w:jc w:val="left"/>
        <w:rPr>
          <w:rFonts w:eastAsiaTheme="minorEastAsia"/>
          <w:sz w:val="24"/>
          <w:szCs w:val="24"/>
        </w:rPr>
      </w:pPr>
      <w:r w:rsidRPr="00D422AF">
        <w:rPr>
          <w:rFonts w:eastAsiaTheme="minorEastAsia"/>
          <w:sz w:val="24"/>
          <w:szCs w:val="24"/>
        </w:rPr>
        <w:t xml:space="preserve">The </w:t>
      </w:r>
      <w:r w:rsidR="00A322E6">
        <w:rPr>
          <w:rFonts w:eastAsiaTheme="minorEastAsia"/>
          <w:sz w:val="24"/>
          <w:szCs w:val="24"/>
        </w:rPr>
        <w:t>Division</w:t>
      </w:r>
      <w:r w:rsidRPr="00D422AF">
        <w:rPr>
          <w:rFonts w:eastAsiaTheme="minorEastAsia"/>
          <w:sz w:val="24"/>
          <w:szCs w:val="24"/>
        </w:rPr>
        <w:t>/Collaborative Partner (delete as applicable)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422AF" w:rsidR="00893840" w:rsidP="00D422AF" w:rsidRDefault="00893840" w14:paraId="4BE18B0D" w14:textId="77777777">
      <w:pPr>
        <w:autoSpaceDE w:val="0"/>
        <w:autoSpaceDN w:val="0"/>
        <w:adjustRightInd w:val="0"/>
        <w:spacing w:after="120" w:line="240" w:lineRule="auto"/>
        <w:ind w:left="426" w:right="237" w:firstLine="0"/>
        <w:jc w:val="left"/>
        <w:rPr>
          <w:rFonts w:eastAsiaTheme="minorEastAsia"/>
          <w:sz w:val="24"/>
          <w:szCs w:val="24"/>
        </w:rPr>
      </w:pPr>
      <w:r w:rsidRPr="00D422AF">
        <w:rPr>
          <w:rFonts w:eastAsiaTheme="minorEastAsia"/>
          <w:sz w:val="24"/>
          <w:szCs w:val="24"/>
        </w:rPr>
        <w:t xml:space="preserve">The inclusive practices in the guidance (see </w:t>
      </w:r>
      <w:r w:rsidRPr="00D422AF">
        <w:rPr>
          <w:sz w:val="24"/>
          <w:szCs w:val="24"/>
        </w:rPr>
        <w:t xml:space="preserve">Annex B </w:t>
      </w:r>
      <w:r w:rsidRPr="00D422AF">
        <w:rPr>
          <w:rFonts w:eastAsiaTheme="minorEastAsia"/>
          <w:sz w:val="24"/>
          <w:szCs w:val="24"/>
        </w:rPr>
        <w:t>Appendix</w:t>
      </w:r>
      <w:r w:rsidRPr="00D422AF">
        <w:rPr>
          <w:sz w:val="24"/>
          <w:szCs w:val="24"/>
        </w:rPr>
        <w:t xml:space="preserve"> A</w:t>
      </w:r>
      <w:r w:rsidRPr="00D422AF">
        <w:rPr>
          <w:rFonts w:eastAsiaTheme="minorEastAsia"/>
          <w:sz w:val="24"/>
          <w:szCs w:val="24"/>
        </w:rPr>
        <w:t xml:space="preserve">) have been considered </w:t>
      </w:r>
      <w:proofErr w:type="gramStart"/>
      <w:r w:rsidRPr="00D422AF">
        <w:rPr>
          <w:rFonts w:eastAsiaTheme="minorEastAsia"/>
          <w:sz w:val="24"/>
          <w:szCs w:val="24"/>
        </w:rPr>
        <w:t>in order to</w:t>
      </w:r>
      <w:proofErr w:type="gramEnd"/>
      <w:r w:rsidRPr="00D422AF">
        <w:rPr>
          <w:rFonts w:eastAsiaTheme="minorEastAsia"/>
          <w:sz w:val="24"/>
          <w:szCs w:val="24"/>
        </w:rPr>
        <w:t xml:space="preserve"> support all students in the following areas:</w:t>
      </w:r>
    </w:p>
    <w:p w:rsidRPr="00D422AF" w:rsidR="00893840" w:rsidP="00D422AF" w:rsidRDefault="00893840" w14:paraId="26A05B39" w14:textId="77777777">
      <w:pPr>
        <w:autoSpaceDE w:val="0"/>
        <w:autoSpaceDN w:val="0"/>
        <w:adjustRightInd w:val="0"/>
        <w:spacing w:after="120" w:line="240" w:lineRule="auto"/>
        <w:ind w:left="426" w:right="237" w:firstLine="0"/>
        <w:rPr>
          <w:rFonts w:eastAsiaTheme="minorEastAsia"/>
          <w:bCs/>
          <w:sz w:val="24"/>
          <w:szCs w:val="24"/>
        </w:rPr>
      </w:pPr>
      <w:r w:rsidRPr="00D422AF">
        <w:rPr>
          <w:rFonts w:eastAsiaTheme="minorEastAsia"/>
          <w:sz w:val="24"/>
          <w:szCs w:val="24"/>
        </w:rPr>
        <w:t xml:space="preserve">a) </w:t>
      </w:r>
      <w:r w:rsidRPr="00D422AF">
        <w:rPr>
          <w:rFonts w:eastAsiaTheme="minorEastAsia"/>
          <w:bCs/>
          <w:sz w:val="24"/>
          <w:szCs w:val="24"/>
        </w:rPr>
        <w:t>Accessible resources and curriculum</w:t>
      </w:r>
    </w:p>
    <w:p w:rsidRPr="00D422AF" w:rsidR="00893840" w:rsidP="00D422AF" w:rsidRDefault="00893840" w14:paraId="70D869F4" w14:textId="77777777">
      <w:pPr>
        <w:tabs>
          <w:tab w:val="left" w:pos="567"/>
        </w:tabs>
        <w:autoSpaceDE w:val="0"/>
        <w:autoSpaceDN w:val="0"/>
        <w:adjustRightInd w:val="0"/>
        <w:spacing w:after="120" w:line="240" w:lineRule="auto"/>
        <w:ind w:left="426" w:right="237" w:firstLine="0"/>
        <w:rPr>
          <w:sz w:val="24"/>
          <w:szCs w:val="24"/>
        </w:rPr>
      </w:pPr>
      <w:r w:rsidRPr="00D422AF">
        <w:rPr>
          <w:sz w:val="24"/>
          <w:szCs w:val="24"/>
        </w:rPr>
        <w:t xml:space="preserve">b) </w:t>
      </w:r>
      <w:r w:rsidRPr="00D422AF">
        <w:rPr>
          <w:bCs/>
          <w:sz w:val="24"/>
          <w:szCs w:val="24"/>
        </w:rPr>
        <w:t>Learning, teaching and assessment methods”</w:t>
      </w:r>
    </w:p>
    <w:p w:rsidRPr="00F53819" w:rsidR="00A322E6" w:rsidP="00D422AF" w:rsidRDefault="00A322E6" w14:paraId="3965A416" w14:textId="77777777">
      <w:pPr>
        <w:spacing w:after="120" w:line="240" w:lineRule="auto"/>
        <w:ind w:right="237"/>
        <w:rPr>
          <w:sz w:val="24"/>
          <w:szCs w:val="24"/>
        </w:rPr>
      </w:pPr>
    </w:p>
    <w:p w:rsidRPr="00F53819" w:rsidR="00893840" w:rsidP="00D422AF" w:rsidRDefault="00893840" w14:paraId="0B54AFF2" w14:textId="77777777">
      <w:pPr>
        <w:spacing w:after="120" w:line="240" w:lineRule="auto"/>
        <w:ind w:left="0" w:right="237" w:firstLine="0"/>
        <w:jc w:val="left"/>
        <w:rPr>
          <w:sz w:val="24"/>
          <w:szCs w:val="24"/>
        </w:rPr>
      </w:pPr>
      <w:r w:rsidRPr="00F53819">
        <w:rPr>
          <w:sz w:val="24"/>
          <w:szCs w:val="24"/>
        </w:rPr>
        <w:t xml:space="preserve">While it is not possible to anticipate all adjustments in advance, </w:t>
      </w:r>
      <w:r w:rsidRPr="00F53819">
        <w:rPr>
          <w:noProof/>
          <w:sz w:val="24"/>
          <w:szCs w:val="24"/>
        </w:rPr>
        <w:t>inclusive</w:t>
      </w:r>
      <w:r w:rsidRPr="00F53819">
        <w:rPr>
          <w:sz w:val="24"/>
          <w:szCs w:val="24"/>
        </w:rPr>
        <w:t xml:space="preserve"> practice can be delivered very effectively where it is factored </w:t>
      </w:r>
      <w:r w:rsidRPr="00F53819">
        <w:rPr>
          <w:noProof/>
          <w:sz w:val="24"/>
          <w:szCs w:val="24"/>
        </w:rPr>
        <w:t>into</w:t>
      </w:r>
      <w:r w:rsidRPr="00F53819">
        <w:rPr>
          <w:sz w:val="24"/>
          <w:szCs w:val="24"/>
        </w:rPr>
        <w:t xml:space="preserve"> the original design for the module. Learning outcomes should be designed so that adjustments are possible, </w:t>
      </w:r>
      <w:r w:rsidRPr="00F53819">
        <w:rPr>
          <w:noProof/>
          <w:sz w:val="24"/>
          <w:szCs w:val="24"/>
        </w:rPr>
        <w:t>however,</w:t>
      </w:r>
      <w:r w:rsidRPr="00F53819">
        <w:rPr>
          <w:sz w:val="24"/>
          <w:szCs w:val="24"/>
        </w:rPr>
        <w:t xml:space="preserve"> it is recognised that in some modules there may be exceptional circumstances where adjustments cannot be made.</w:t>
      </w:r>
      <w:r w:rsidRPr="00F53819">
        <w:rPr>
          <w:iCs/>
          <w:sz w:val="24"/>
          <w:szCs w:val="24"/>
        </w:rPr>
        <w:t xml:space="preserve"> </w:t>
      </w:r>
      <w:r w:rsidRPr="00F53819">
        <w:rPr>
          <w:sz w:val="24"/>
          <w:szCs w:val="24"/>
        </w:rPr>
        <w:t>Where this is the case, justification should be given for why the learning outcome in question should be retained in the module specification.</w:t>
      </w:r>
      <w:r w:rsidRPr="00F53819">
        <w:rPr>
          <w:iCs/>
          <w:sz w:val="24"/>
          <w:szCs w:val="24"/>
        </w:rPr>
        <w:t xml:space="preserve"> </w:t>
      </w:r>
    </w:p>
    <w:p w:rsidRPr="00F53819" w:rsidR="00893840" w:rsidP="00D422AF" w:rsidRDefault="00893840" w14:paraId="4AEE831F" w14:textId="77777777">
      <w:pPr>
        <w:spacing w:after="120" w:line="240" w:lineRule="auto"/>
        <w:ind w:right="237"/>
        <w:rPr>
          <w:iCs/>
          <w:sz w:val="24"/>
          <w:szCs w:val="24"/>
        </w:rPr>
      </w:pPr>
    </w:p>
    <w:p w:rsidRPr="00F53819" w:rsidR="00893840" w:rsidP="00A322E6" w:rsidRDefault="00893840" w14:paraId="3B291C8C" w14:textId="77777777">
      <w:pPr>
        <w:pStyle w:val="Heading1"/>
        <w:numPr>
          <w:ilvl w:val="0"/>
          <w:numId w:val="0"/>
        </w:numPr>
        <w:ind w:left="567" w:hanging="567"/>
      </w:pPr>
      <w:bookmarkStart w:name="_Toc449539302" w:id="2"/>
      <w:bookmarkStart w:name="_Toc449542828" w:id="3"/>
      <w:r w:rsidRPr="00F53819">
        <w:t>a) Accessible resources and curriculum</w:t>
      </w:r>
      <w:bookmarkEnd w:id="2"/>
      <w:bookmarkEnd w:id="3"/>
      <w:r w:rsidRPr="00F53819">
        <w:t xml:space="preserve"> </w:t>
      </w:r>
    </w:p>
    <w:p w:rsidRPr="00F53819" w:rsidR="00893840" w:rsidP="00D422AF" w:rsidRDefault="00893840" w14:paraId="3338E9FF" w14:textId="77777777">
      <w:pPr>
        <w:spacing w:after="120" w:line="240" w:lineRule="auto"/>
        <w:ind w:left="0" w:right="237" w:firstLine="0"/>
        <w:jc w:val="left"/>
        <w:rPr>
          <w:sz w:val="24"/>
          <w:szCs w:val="24"/>
        </w:rPr>
      </w:pPr>
      <w:r w:rsidRPr="00F53819">
        <w:rPr>
          <w:sz w:val="24"/>
          <w:szCs w:val="24"/>
        </w:rPr>
        <w:t>This includes, but is not necessarily limited to, lecture and seminar materials, module documentation, reading lists and resources, and online materials.</w:t>
      </w:r>
    </w:p>
    <w:p w:rsidR="00D422AF" w:rsidRDefault="00D422AF" w14:paraId="2975ABE3" w14:textId="77777777">
      <w:pPr>
        <w:spacing w:after="160" w:line="259" w:lineRule="auto"/>
        <w:ind w:left="0" w:right="0" w:firstLine="0"/>
        <w:jc w:val="left"/>
      </w:pPr>
    </w:p>
    <w:p w:rsidRPr="00F53819" w:rsidR="00893840" w:rsidP="00D422AF" w:rsidRDefault="000B6070" w14:paraId="224FEB8C" w14:textId="77777777">
      <w:pPr>
        <w:spacing w:after="120" w:line="240" w:lineRule="auto"/>
        <w:ind w:right="237"/>
        <w:rPr>
          <w:b/>
          <w:sz w:val="24"/>
          <w:szCs w:val="24"/>
        </w:rPr>
      </w:pPr>
      <w:hyperlink w:history="1" r:id="rId10">
        <w:r w:rsidRPr="00F53819" w:rsidR="00893840">
          <w:rPr>
            <w:rStyle w:val="Hyperlink"/>
            <w:b/>
            <w:sz w:val="24"/>
            <w:szCs w:val="24"/>
          </w:rPr>
          <w:t>Kent Inclusive practices</w:t>
        </w:r>
      </w:hyperlink>
      <w:r w:rsidRPr="00F53819" w:rsidR="00893840">
        <w:rPr>
          <w:b/>
          <w:sz w:val="24"/>
          <w:szCs w:val="24"/>
        </w:rPr>
        <w:t xml:space="preserve"> (KIPs)</w:t>
      </w:r>
    </w:p>
    <w:p w:rsidR="00893840" w:rsidP="00D422AF" w:rsidRDefault="00893840" w14:paraId="6F0C29A8" w14:textId="4A4EB962">
      <w:pPr>
        <w:pStyle w:val="ListParagraph"/>
        <w:numPr>
          <w:ilvl w:val="0"/>
          <w:numId w:val="4"/>
        </w:numPr>
        <w:spacing w:after="120" w:line="240" w:lineRule="auto"/>
        <w:ind w:left="567" w:right="237" w:hanging="567"/>
        <w:contextualSpacing w:val="0"/>
        <w:rPr>
          <w:rFonts w:ascii="Arial" w:hAnsi="Arial" w:cs="Arial"/>
          <w:sz w:val="24"/>
          <w:szCs w:val="24"/>
        </w:rPr>
      </w:pPr>
      <w:r w:rsidRPr="00F53819">
        <w:rPr>
          <w:rFonts w:ascii="Arial" w:hAnsi="Arial" w:cs="Arial"/>
          <w:noProof/>
          <w:sz w:val="24"/>
          <w:szCs w:val="24"/>
        </w:rPr>
        <w:t>Preference given</w:t>
      </w:r>
      <w:r w:rsidRPr="00F53819">
        <w:rPr>
          <w:rFonts w:ascii="Arial" w:hAnsi="Arial" w:cs="Arial"/>
          <w:sz w:val="24"/>
          <w:szCs w:val="24"/>
        </w:rPr>
        <w:t xml:space="preserve"> to electronic (‘born-digital’) resources that meet </w:t>
      </w:r>
      <w:hyperlink w:history="1" r:id="rId11">
        <w:r w:rsidRPr="0069079A">
          <w:rPr>
            <w:rStyle w:val="Hyperlink"/>
            <w:rFonts w:ascii="Arial" w:hAnsi="Arial" w:cs="Arial"/>
            <w:sz w:val="24"/>
            <w:szCs w:val="24"/>
          </w:rPr>
          <w:t>minimum accessibility standards</w:t>
        </w:r>
      </w:hyperlink>
      <w:r w:rsidRPr="00F53819">
        <w:rPr>
          <w:rFonts w:ascii="Arial" w:hAnsi="Arial" w:cs="Arial"/>
          <w:sz w:val="24"/>
          <w:szCs w:val="24"/>
        </w:rPr>
        <w:t xml:space="preserve"> and support the use of assistive technologies.</w:t>
      </w:r>
    </w:p>
    <w:p w:rsidR="00E14E33" w:rsidP="00E14E33" w:rsidRDefault="00E14E33" w14:paraId="40A6FD07" w14:textId="77777777">
      <w:pPr>
        <w:pStyle w:val="ListParagraph"/>
        <w:spacing w:after="120" w:line="240" w:lineRule="auto"/>
        <w:ind w:left="567" w:right="237"/>
        <w:contextualSpacing w:val="0"/>
        <w:rPr>
          <w:rFonts w:ascii="Arial" w:hAnsi="Arial" w:cs="Arial"/>
          <w:sz w:val="24"/>
          <w:szCs w:val="24"/>
        </w:rPr>
      </w:pPr>
      <w:r w:rsidRPr="00E14E33">
        <w:rPr>
          <w:rFonts w:ascii="Arial" w:hAnsi="Arial" w:cs="Arial"/>
          <w:b/>
          <w:sz w:val="24"/>
          <w:szCs w:val="24"/>
        </w:rPr>
        <w:lastRenderedPageBreak/>
        <w:t>Note 1:</w:t>
      </w:r>
      <w:r w:rsidRPr="00E14E33">
        <w:rPr>
          <w:rFonts w:ascii="Arial" w:hAnsi="Arial" w:cs="Arial"/>
          <w:sz w:val="24"/>
          <w:szCs w:val="24"/>
        </w:rPr>
        <w:t xml:space="preserve"> The term ‘born-digital’ is used for material “created in digital form rather than converted from analogue to digital” (Council on Library and Information Resources Washington, 2002). For example, online resources: e-books/e-journals/CLA scans added to Moodle/web pages/ multimedia recommended in preference to print-only resources.</w:t>
      </w:r>
    </w:p>
    <w:p w:rsidRPr="00E14E33" w:rsidR="00E14E33" w:rsidP="00E14E33" w:rsidRDefault="00E14E33" w14:paraId="6145DE11" w14:textId="77777777">
      <w:pPr>
        <w:pStyle w:val="ListParagraph"/>
        <w:spacing w:after="120" w:line="240" w:lineRule="auto"/>
        <w:ind w:left="567" w:right="237"/>
        <w:contextualSpacing w:val="0"/>
        <w:rPr>
          <w:rFonts w:ascii="Arial" w:hAnsi="Arial" w:cs="Arial"/>
          <w:sz w:val="24"/>
          <w:szCs w:val="24"/>
        </w:rPr>
      </w:pPr>
      <w:r w:rsidRPr="00E14E33">
        <w:rPr>
          <w:rFonts w:ascii="Arial" w:hAnsi="Arial" w:cs="Arial"/>
          <w:b/>
          <w:sz w:val="24"/>
          <w:szCs w:val="24"/>
        </w:rPr>
        <w:t>Note 2:</w:t>
      </w:r>
      <w:r w:rsidRPr="00E14E33">
        <w:rPr>
          <w:rFonts w:ascii="Arial" w:hAnsi="Arial" w:cs="Arial"/>
          <w:sz w:val="24"/>
          <w:szCs w:val="24"/>
        </w:rPr>
        <w:t xml:space="preserve"> Assistive technologies are “any device or system that allows an individual to perform a task that they would otherwise be unable to do, or which increases the ease and safety with which the task can be performed” (Cowan and Turner Smith, 1999). In an educational capacity this relates to equipment or software designed or modified to enable disabled people to gain access to curriculum content or assessments, such as the use of text-to-speech (TTS) or speech recognition software.</w:t>
      </w:r>
    </w:p>
    <w:p w:rsidR="00893840" w:rsidP="00D422AF" w:rsidRDefault="00893840" w14:paraId="50651AED" w14:textId="77777777">
      <w:pPr>
        <w:pStyle w:val="ListParagraph"/>
        <w:numPr>
          <w:ilvl w:val="0"/>
          <w:numId w:val="4"/>
        </w:numPr>
        <w:spacing w:after="120" w:line="240" w:lineRule="auto"/>
        <w:ind w:left="567" w:right="237" w:hanging="567"/>
        <w:contextualSpacing w:val="0"/>
        <w:rPr>
          <w:rFonts w:ascii="Arial" w:hAnsi="Arial" w:cs="Arial"/>
          <w:sz w:val="24"/>
          <w:szCs w:val="24"/>
        </w:rPr>
      </w:pPr>
      <w:r w:rsidRPr="00F53819">
        <w:rPr>
          <w:rFonts w:ascii="Arial" w:hAnsi="Arial" w:cs="Arial"/>
          <w:sz w:val="24"/>
          <w:szCs w:val="24"/>
        </w:rPr>
        <w:t xml:space="preserve">Module outlines made accessible at least four weeks before the module starts. </w:t>
      </w:r>
    </w:p>
    <w:p w:rsidRPr="00E14E33" w:rsidR="00E14E33" w:rsidP="00E14E33" w:rsidRDefault="00E14E33" w14:paraId="51C6CD63" w14:textId="77777777">
      <w:pPr>
        <w:pStyle w:val="ListParagraph"/>
        <w:spacing w:after="120" w:line="240" w:lineRule="auto"/>
        <w:ind w:left="567" w:right="237"/>
        <w:contextualSpacing w:val="0"/>
        <w:rPr>
          <w:rFonts w:ascii="Arial" w:hAnsi="Arial" w:cs="Arial"/>
          <w:sz w:val="28"/>
          <w:szCs w:val="24"/>
        </w:rPr>
      </w:pPr>
      <w:r w:rsidRPr="00E14E33">
        <w:rPr>
          <w:rFonts w:ascii="Arial" w:hAnsi="Arial" w:cs="Arial"/>
          <w:sz w:val="24"/>
        </w:rPr>
        <w:t>For example,</w:t>
      </w:r>
      <w:r>
        <w:rPr>
          <w:rFonts w:ascii="Arial" w:hAnsi="Arial" w:cs="Arial"/>
          <w:sz w:val="24"/>
        </w:rPr>
        <w:t xml:space="preserve"> this can be</w:t>
      </w:r>
      <w:r w:rsidRPr="00E14E33">
        <w:rPr>
          <w:rFonts w:ascii="Arial" w:hAnsi="Arial" w:cs="Arial"/>
          <w:sz w:val="24"/>
        </w:rPr>
        <w:t xml:space="preserve"> via Moodle. </w:t>
      </w:r>
      <w:r>
        <w:rPr>
          <w:rFonts w:ascii="Arial" w:hAnsi="Arial" w:cs="Arial"/>
          <w:sz w:val="24"/>
        </w:rPr>
        <w:t>It b</w:t>
      </w:r>
      <w:r w:rsidRPr="00E14E33">
        <w:rPr>
          <w:rFonts w:ascii="Arial" w:hAnsi="Arial" w:cs="Arial"/>
          <w:sz w:val="24"/>
        </w:rPr>
        <w:t xml:space="preserve">enefits all students, who </w:t>
      </w:r>
      <w:proofErr w:type="gramStart"/>
      <w:r w:rsidRPr="00E14E33">
        <w:rPr>
          <w:rFonts w:ascii="Arial" w:hAnsi="Arial" w:cs="Arial"/>
          <w:sz w:val="24"/>
        </w:rPr>
        <w:t>are able to</w:t>
      </w:r>
      <w:proofErr w:type="gramEnd"/>
      <w:r w:rsidRPr="00E14E33">
        <w:rPr>
          <w:rFonts w:ascii="Arial" w:hAnsi="Arial" w:cs="Arial"/>
          <w:sz w:val="24"/>
        </w:rPr>
        <w:t xml:space="preserve"> organise their lecture and seminar preparation and arrive ready to engage with the materials, with particular benefits for students with a slower reading speed.</w:t>
      </w:r>
    </w:p>
    <w:p w:rsidRPr="005C6657" w:rsidR="00893840" w:rsidP="2F895D67" w:rsidRDefault="00893840" w14:paraId="52C24041" w14:textId="0AAD2382">
      <w:pPr>
        <w:pStyle w:val="ListParagraph"/>
        <w:numPr>
          <w:ilvl w:val="0"/>
          <w:numId w:val="4"/>
        </w:numPr>
        <w:spacing w:after="120" w:line="240" w:lineRule="auto"/>
        <w:ind w:left="567" w:right="237" w:hanging="567"/>
        <w:rPr>
          <w:rFonts w:ascii="Arial" w:hAnsi="Arial" w:cs="Arial"/>
          <w:sz w:val="24"/>
          <w:szCs w:val="24"/>
        </w:rPr>
      </w:pPr>
      <w:r w:rsidRPr="2F895D67" w:rsidR="00893840">
        <w:rPr>
          <w:rFonts w:ascii="Arial" w:hAnsi="Arial" w:cs="Arial"/>
          <w:sz w:val="24"/>
          <w:szCs w:val="24"/>
        </w:rPr>
        <w:t xml:space="preserve">Prioritised </w:t>
      </w:r>
      <w:hyperlink r:id="R6be8de54bd2d4ff8">
        <w:r w:rsidRPr="2F895D67" w:rsidR="00893840">
          <w:rPr>
            <w:rStyle w:val="Hyperlink"/>
            <w:rFonts w:ascii="Arial" w:hAnsi="Arial" w:cs="Arial"/>
            <w:sz w:val="24"/>
            <w:szCs w:val="24"/>
          </w:rPr>
          <w:t>reading lists</w:t>
        </w:r>
      </w:hyperlink>
      <w:r w:rsidRPr="2F895D67" w:rsidR="00893840">
        <w:rPr>
          <w:rFonts w:ascii="Arial" w:hAnsi="Arial" w:cs="Arial"/>
          <w:sz w:val="24"/>
          <w:szCs w:val="24"/>
        </w:rPr>
        <w:t xml:space="preserve"> made available sufficiently in advance (e.g. at least four weeks) to accommodate the provision of </w:t>
      </w:r>
      <w:hyperlink r:id="R81b0baa52b644433">
        <w:r w:rsidRPr="2F895D67" w:rsidR="00893840">
          <w:rPr>
            <w:rStyle w:val="Hyperlink"/>
            <w:rFonts w:ascii="Arial" w:hAnsi="Arial" w:cs="Arial"/>
            <w:sz w:val="24"/>
            <w:szCs w:val="24"/>
          </w:rPr>
          <w:t>alternative formats</w:t>
        </w:r>
      </w:hyperlink>
      <w:r w:rsidRPr="2F895D67" w:rsidR="00893840">
        <w:rPr>
          <w:rFonts w:ascii="Arial" w:hAnsi="Arial" w:cs="Arial"/>
          <w:sz w:val="24"/>
          <w:szCs w:val="24"/>
          <w:lang w:val="en-US"/>
        </w:rPr>
        <w:t xml:space="preserve"> and support those with a slow</w:t>
      </w:r>
      <w:r w:rsidRPr="2F895D67" w:rsidR="0069079A">
        <w:rPr>
          <w:rFonts w:ascii="Arial" w:hAnsi="Arial" w:cs="Arial"/>
          <w:sz w:val="24"/>
          <w:szCs w:val="24"/>
          <w:lang w:val="en-US"/>
        </w:rPr>
        <w:t>er</w:t>
      </w:r>
      <w:r w:rsidRPr="2F895D67" w:rsidR="00893840">
        <w:rPr>
          <w:rFonts w:ascii="Arial" w:hAnsi="Arial" w:cs="Arial"/>
          <w:sz w:val="24"/>
          <w:szCs w:val="24"/>
          <w:lang w:val="en-US"/>
        </w:rPr>
        <w:t xml:space="preserve"> reading speed. </w:t>
      </w:r>
    </w:p>
    <w:p w:rsidR="005C6657" w:rsidP="005C6657" w:rsidRDefault="005C6657" w14:paraId="0127F008" w14:textId="77777777">
      <w:pPr>
        <w:pStyle w:val="ListParagraph"/>
        <w:spacing w:after="120" w:line="240" w:lineRule="auto"/>
        <w:ind w:left="567" w:right="237"/>
        <w:contextualSpacing w:val="0"/>
        <w:rPr>
          <w:rFonts w:ascii="Arial" w:hAnsi="Arial" w:cs="Arial"/>
          <w:iCs/>
          <w:sz w:val="24"/>
          <w:lang w:val="en-US"/>
        </w:rPr>
      </w:pPr>
      <w:r w:rsidRPr="005C6657">
        <w:rPr>
          <w:rFonts w:ascii="Arial" w:hAnsi="Arial" w:cs="Arial"/>
          <w:b/>
          <w:sz w:val="24"/>
        </w:rPr>
        <w:t>Note 1:</w:t>
      </w:r>
      <w:r w:rsidRPr="005C6657">
        <w:rPr>
          <w:rFonts w:ascii="Arial" w:hAnsi="Arial" w:cs="Arial"/>
          <w:sz w:val="24"/>
        </w:rPr>
        <w:t xml:space="preserve"> To prioritise, provide a clear indication of the importance of the readings, </w:t>
      </w:r>
      <w:proofErr w:type="gramStart"/>
      <w:r w:rsidRPr="005C6657">
        <w:rPr>
          <w:rFonts w:ascii="Arial" w:hAnsi="Arial" w:cs="Arial"/>
          <w:sz w:val="24"/>
        </w:rPr>
        <w:t>e.g.</w:t>
      </w:r>
      <w:proofErr w:type="gramEnd"/>
      <w:r w:rsidRPr="005C6657">
        <w:rPr>
          <w:rFonts w:ascii="Arial" w:hAnsi="Arial" w:cs="Arial"/>
          <w:sz w:val="24"/>
        </w:rPr>
        <w:t xml:space="preserve"> core (must read), recommended (should read) and background (could read), to </w:t>
      </w:r>
      <w:r w:rsidRPr="005C6657">
        <w:rPr>
          <w:rFonts w:ascii="Arial" w:hAnsi="Arial" w:cs="Arial"/>
          <w:iCs/>
          <w:sz w:val="24"/>
          <w:lang w:val="en-US"/>
        </w:rPr>
        <w:t xml:space="preserve">allow </w:t>
      </w:r>
      <w:proofErr w:type="spellStart"/>
      <w:r w:rsidRPr="005C6657">
        <w:rPr>
          <w:rFonts w:ascii="Arial" w:hAnsi="Arial" w:cs="Arial"/>
          <w:iCs/>
          <w:sz w:val="24"/>
          <w:lang w:val="en-US"/>
        </w:rPr>
        <w:t>prioritisation</w:t>
      </w:r>
      <w:proofErr w:type="spellEnd"/>
      <w:r w:rsidRPr="005C6657">
        <w:rPr>
          <w:rFonts w:ascii="Arial" w:hAnsi="Arial" w:cs="Arial"/>
          <w:iCs/>
          <w:sz w:val="24"/>
          <w:lang w:val="en-US"/>
        </w:rPr>
        <w:t xml:space="preserve"> by those with reading difficulties.</w:t>
      </w:r>
    </w:p>
    <w:p w:rsidRPr="00767BDC" w:rsidR="005C6657" w:rsidP="005C6657" w:rsidRDefault="005C6657" w14:paraId="74302464" w14:textId="77777777">
      <w:pPr>
        <w:pStyle w:val="ListParagraph"/>
        <w:spacing w:after="120" w:line="240" w:lineRule="auto"/>
        <w:ind w:left="567" w:right="237"/>
        <w:contextualSpacing w:val="0"/>
        <w:rPr>
          <w:rFonts w:ascii="Arial" w:hAnsi="Arial" w:cs="Arial"/>
          <w:sz w:val="24"/>
          <w:szCs w:val="24"/>
        </w:rPr>
      </w:pPr>
      <w:r w:rsidRPr="005C6657">
        <w:rPr>
          <w:rFonts w:ascii="Arial" w:hAnsi="Arial" w:cs="Arial"/>
          <w:b/>
          <w:sz w:val="24"/>
        </w:rPr>
        <w:t>Note 2:</w:t>
      </w:r>
      <w:r w:rsidRPr="005C6657">
        <w:rPr>
          <w:rFonts w:ascii="Arial" w:hAnsi="Arial" w:cs="Arial"/>
          <w:sz w:val="24"/>
        </w:rPr>
        <w:t xml:space="preserve"> This will benefit all students, who </w:t>
      </w:r>
      <w:r>
        <w:rPr>
          <w:rFonts w:ascii="Arial" w:hAnsi="Arial" w:cs="Arial"/>
          <w:sz w:val="24"/>
        </w:rPr>
        <w:t xml:space="preserve">will be </w:t>
      </w:r>
      <w:r w:rsidRPr="005C6657">
        <w:rPr>
          <w:rFonts w:ascii="Arial" w:hAnsi="Arial" w:cs="Arial"/>
          <w:sz w:val="24"/>
        </w:rPr>
        <w:t xml:space="preserve">able to manage their time more effectively by focusing on the most important readings first (improved </w:t>
      </w:r>
      <w:r w:rsidRPr="00767BDC">
        <w:rPr>
          <w:rFonts w:ascii="Arial" w:hAnsi="Arial" w:cs="Arial"/>
          <w:sz w:val="24"/>
          <w:szCs w:val="24"/>
        </w:rPr>
        <w:t>satisfaction). Student Support and Wellbeing are able to prioritise the delivery of alternative formats (</w:t>
      </w:r>
      <w:proofErr w:type="gramStart"/>
      <w:r w:rsidRPr="00767BDC">
        <w:rPr>
          <w:rFonts w:ascii="Arial" w:hAnsi="Arial" w:cs="Arial"/>
          <w:sz w:val="24"/>
          <w:szCs w:val="24"/>
        </w:rPr>
        <w:t>e.g.</w:t>
      </w:r>
      <w:proofErr w:type="gramEnd"/>
      <w:r w:rsidRPr="00767BDC">
        <w:rPr>
          <w:rFonts w:ascii="Arial" w:hAnsi="Arial" w:cs="Arial"/>
          <w:sz w:val="24"/>
          <w:szCs w:val="24"/>
        </w:rPr>
        <w:t xml:space="preserve"> Braille) for students with print disabilities. Information Services can order strategically to ensure correct quantities of library holdings based on importance, making more effective use of Departmental Monetary Funds (DMF).  </w:t>
      </w:r>
    </w:p>
    <w:p w:rsidRPr="005C6657" w:rsidR="005C6657" w:rsidP="00767BDC" w:rsidRDefault="00893840" w14:paraId="75F10716" w14:textId="77777777">
      <w:pPr>
        <w:pStyle w:val="ListParagraph"/>
        <w:numPr>
          <w:ilvl w:val="0"/>
          <w:numId w:val="4"/>
        </w:numPr>
        <w:spacing w:after="120" w:line="240" w:lineRule="auto"/>
        <w:ind w:left="567" w:right="237" w:hanging="567"/>
        <w:contextualSpacing w:val="0"/>
        <w:rPr>
          <w:rFonts w:ascii="Arial" w:hAnsi="Arial" w:cs="Arial"/>
          <w:bCs/>
          <w:color w:val="0563C1" w:themeColor="hyperlink"/>
          <w:sz w:val="24"/>
          <w:szCs w:val="24"/>
          <w:u w:val="single"/>
        </w:rPr>
      </w:pPr>
      <w:r w:rsidRPr="005C6657">
        <w:rPr>
          <w:rFonts w:ascii="Arial" w:hAnsi="Arial" w:cs="Arial"/>
          <w:sz w:val="24"/>
          <w:szCs w:val="24"/>
        </w:rPr>
        <w:t xml:space="preserve">Lecture/seminar slides/outlines made available in electronic format in </w:t>
      </w:r>
      <w:hyperlink w:history="1" r:id="rId14">
        <w:r w:rsidRPr="005C6657">
          <w:rPr>
            <w:rStyle w:val="Hyperlink"/>
            <w:rFonts w:ascii="Arial" w:hAnsi="Arial" w:cs="Arial"/>
            <w:sz w:val="24"/>
            <w:szCs w:val="24"/>
          </w:rPr>
          <w:t>advance</w:t>
        </w:r>
      </w:hyperlink>
      <w:r w:rsidRPr="005C6657">
        <w:rPr>
          <w:rFonts w:ascii="Arial" w:hAnsi="Arial" w:cs="Arial"/>
          <w:sz w:val="24"/>
          <w:szCs w:val="24"/>
        </w:rPr>
        <w:t xml:space="preserve"> (e.g. at least 24 hours) to allow all students to prepare (particularly students with </w:t>
      </w:r>
      <w:r w:rsidRPr="005C6657">
        <w:rPr>
          <w:rFonts w:ascii="Arial" w:hAnsi="Arial" w:cs="Arial"/>
          <w:iCs/>
          <w:noProof/>
          <w:sz w:val="24"/>
          <w:szCs w:val="24"/>
          <w:lang w:val="en-US"/>
        </w:rPr>
        <w:t>notetaking</w:t>
      </w:r>
      <w:r w:rsidRPr="005C6657">
        <w:rPr>
          <w:rFonts w:ascii="Arial" w:hAnsi="Arial" w:cs="Arial"/>
          <w:iCs/>
          <w:sz w:val="24"/>
          <w:szCs w:val="24"/>
          <w:lang w:val="en-US"/>
        </w:rPr>
        <w:t xml:space="preserve"> difficulties). </w:t>
      </w:r>
    </w:p>
    <w:p w:rsidRPr="005C6657" w:rsidR="005C6657" w:rsidP="00767BDC" w:rsidRDefault="005C6657" w14:paraId="3AA9DEFD" w14:textId="77777777">
      <w:pPr>
        <w:pStyle w:val="ListParagraph"/>
        <w:spacing w:after="120" w:line="240" w:lineRule="auto"/>
        <w:ind w:left="567" w:right="237"/>
        <w:contextualSpacing w:val="0"/>
        <w:rPr>
          <w:rFonts w:ascii="Arial" w:hAnsi="Arial" w:cs="Arial"/>
          <w:bCs/>
          <w:color w:val="0563C1" w:themeColor="hyperlink"/>
          <w:sz w:val="28"/>
          <w:szCs w:val="24"/>
          <w:u w:val="single"/>
        </w:rPr>
      </w:pPr>
      <w:r>
        <w:rPr>
          <w:rFonts w:ascii="Arial" w:hAnsi="Arial" w:cs="Arial"/>
          <w:sz w:val="24"/>
        </w:rPr>
        <w:t xml:space="preserve">This could be </w:t>
      </w:r>
      <w:r w:rsidRPr="005C6657">
        <w:rPr>
          <w:rFonts w:ascii="Arial" w:hAnsi="Arial" w:cs="Arial"/>
          <w:sz w:val="24"/>
        </w:rPr>
        <w:t>via Moodle</w:t>
      </w:r>
      <w:r w:rsidRPr="005C6657">
        <w:rPr>
          <w:rFonts w:ascii="Arial" w:hAnsi="Arial" w:cs="Arial"/>
          <w:b/>
          <w:sz w:val="24"/>
        </w:rPr>
        <w:t xml:space="preserve">. </w:t>
      </w:r>
      <w:r w:rsidRPr="005C6657">
        <w:rPr>
          <w:rFonts w:ascii="Arial" w:hAnsi="Arial" w:cs="Arial"/>
          <w:sz w:val="24"/>
        </w:rPr>
        <w:t xml:space="preserve">Benefits include helping students to familiarise themselves with lecture material ahead of classes, providing an opportunity for preparatory background reading and allowing them to prepare any questions that they may have. It will also facilitate </w:t>
      </w:r>
      <w:proofErr w:type="gramStart"/>
      <w:r w:rsidRPr="005C6657">
        <w:rPr>
          <w:rFonts w:ascii="Arial" w:hAnsi="Arial" w:cs="Arial"/>
          <w:sz w:val="24"/>
        </w:rPr>
        <w:t>note-taking</w:t>
      </w:r>
      <w:proofErr w:type="gramEnd"/>
      <w:r w:rsidRPr="005C6657">
        <w:rPr>
          <w:rFonts w:ascii="Arial" w:hAnsi="Arial" w:cs="Arial"/>
          <w:sz w:val="24"/>
        </w:rPr>
        <w:t xml:space="preserve"> during lectures by removing the need for students to copy down content from slides. Advance electronic delivery enables student self-sufficiency to readily convert </w:t>
      </w:r>
      <w:r w:rsidRPr="005C6657">
        <w:rPr>
          <w:rFonts w:ascii="Arial" w:hAnsi="Arial" w:cs="Arial"/>
          <w:sz w:val="24"/>
        </w:rPr>
        <w:lastRenderedPageBreak/>
        <w:t>materials using text-to-speech, or text-to-Braille applications; this is in line with JISC (2016) recommendations for inclusive learner experiences in higher education to “ensure all key lecture content is available online before the lecture”.</w:t>
      </w:r>
    </w:p>
    <w:p w:rsidRPr="005C6657" w:rsidR="00893840" w:rsidP="00767BDC" w:rsidRDefault="000B6070" w14:paraId="21DC5D77" w14:textId="77777777">
      <w:pPr>
        <w:pStyle w:val="ListParagraph"/>
        <w:numPr>
          <w:ilvl w:val="0"/>
          <w:numId w:val="4"/>
        </w:numPr>
        <w:spacing w:after="120" w:line="240" w:lineRule="auto"/>
        <w:ind w:left="567" w:right="237" w:hanging="567"/>
        <w:contextualSpacing w:val="0"/>
        <w:rPr>
          <w:rFonts w:ascii="Arial" w:hAnsi="Arial" w:cs="Arial"/>
          <w:bCs/>
          <w:color w:val="0563C1" w:themeColor="hyperlink"/>
          <w:sz w:val="24"/>
          <w:szCs w:val="24"/>
          <w:u w:val="single"/>
        </w:rPr>
      </w:pPr>
      <w:hyperlink w:history="1" r:id="rId15">
        <w:r w:rsidRPr="005C6657" w:rsidR="00893840">
          <w:rPr>
            <w:rStyle w:val="Hyperlink"/>
            <w:rFonts w:ascii="Arial" w:hAnsi="Arial" w:cs="Arial"/>
            <w:sz w:val="24"/>
            <w:szCs w:val="24"/>
          </w:rPr>
          <w:t>Lecture capture</w:t>
        </w:r>
      </w:hyperlink>
      <w:r w:rsidRPr="005C6657" w:rsidR="00893840">
        <w:rPr>
          <w:rFonts w:ascii="Arial" w:hAnsi="Arial" w:cs="Arial"/>
          <w:sz w:val="24"/>
          <w:szCs w:val="24"/>
        </w:rPr>
        <w:t xml:space="preserve"> used to assist </w:t>
      </w:r>
      <w:hyperlink w:history="1" r:id="rId16">
        <w:r w:rsidRPr="005C6657" w:rsidR="00893840">
          <w:rPr>
            <w:rStyle w:val="Hyperlink"/>
            <w:rFonts w:ascii="Arial" w:hAnsi="Arial" w:cs="Arial"/>
            <w:sz w:val="24"/>
            <w:szCs w:val="24"/>
          </w:rPr>
          <w:t>notetaking</w:t>
        </w:r>
      </w:hyperlink>
      <w:r w:rsidRPr="005C6657" w:rsidR="00893840">
        <w:rPr>
          <w:rFonts w:ascii="Arial" w:hAnsi="Arial" w:cs="Arial"/>
          <w:sz w:val="24"/>
          <w:szCs w:val="24"/>
        </w:rPr>
        <w:t xml:space="preserve">, ideally for everyone, but at least, for those students with Inclusive Learning Plans (ILPs). </w:t>
      </w:r>
    </w:p>
    <w:p w:rsidR="005C6657" w:rsidP="00767BDC" w:rsidRDefault="005C6657" w14:paraId="1DFA51A2" w14:textId="77777777">
      <w:pPr>
        <w:pStyle w:val="ListParagraph"/>
        <w:spacing w:after="120" w:line="240" w:lineRule="auto"/>
        <w:ind w:left="567" w:right="237"/>
        <w:contextualSpacing w:val="0"/>
        <w:rPr>
          <w:rFonts w:ascii="Arial" w:hAnsi="Arial" w:cs="Arial"/>
          <w:sz w:val="24"/>
        </w:rPr>
      </w:pPr>
      <w:r w:rsidRPr="005C6657">
        <w:rPr>
          <w:rFonts w:ascii="Arial" w:hAnsi="Arial" w:cs="Arial"/>
          <w:b/>
          <w:sz w:val="24"/>
        </w:rPr>
        <w:t>Note 1:</w:t>
      </w:r>
      <w:r>
        <w:rPr>
          <w:rFonts w:ascii="Arial" w:hAnsi="Arial" w:cs="Arial"/>
          <w:sz w:val="24"/>
        </w:rPr>
        <w:t xml:space="preserve"> </w:t>
      </w:r>
      <w:r w:rsidRPr="005C6657">
        <w:rPr>
          <w:rFonts w:ascii="Arial" w:hAnsi="Arial" w:cs="Arial"/>
          <w:sz w:val="24"/>
        </w:rPr>
        <w:t>Where institutional lecture capture is not possible (either universally or through targeted delivery to ILP students) students should be enabled to audio record lectures and seminars using their own equipment for their own use.</w:t>
      </w:r>
    </w:p>
    <w:p w:rsidRPr="005C6657" w:rsidR="005C6657" w:rsidP="00767BDC" w:rsidRDefault="005C6657" w14:paraId="271A7E8F" w14:textId="77777777">
      <w:pPr>
        <w:pStyle w:val="ListParagraph"/>
        <w:spacing w:after="120" w:line="240" w:lineRule="auto"/>
        <w:ind w:left="567" w:right="237"/>
        <w:contextualSpacing w:val="0"/>
        <w:rPr>
          <w:rStyle w:val="Hyperlink"/>
          <w:rFonts w:ascii="Arial" w:hAnsi="Arial" w:cs="Arial"/>
          <w:bCs/>
          <w:sz w:val="32"/>
          <w:szCs w:val="24"/>
        </w:rPr>
      </w:pPr>
      <w:r w:rsidRPr="005C6657">
        <w:rPr>
          <w:rFonts w:ascii="Arial" w:hAnsi="Arial" w:cs="Arial"/>
          <w:b/>
          <w:sz w:val="24"/>
        </w:rPr>
        <w:t>Note 2:</w:t>
      </w:r>
      <w:r w:rsidRPr="005C6657">
        <w:rPr>
          <w:rFonts w:ascii="Arial" w:hAnsi="Arial" w:cs="Arial"/>
          <w:sz w:val="24"/>
        </w:rPr>
        <w:t xml:space="preserve"> Benefit is “to support students’ note-taking efforts, facilitate review of complex content and aid revision” (University of Edinburgh, 2012).</w:t>
      </w:r>
    </w:p>
    <w:p w:rsidRPr="00F53819" w:rsidR="00893840" w:rsidP="00D422AF" w:rsidRDefault="00893840" w14:paraId="3E75EB19" w14:textId="77777777">
      <w:pPr>
        <w:pStyle w:val="ListParagraph"/>
        <w:spacing w:after="120" w:line="240" w:lineRule="auto"/>
        <w:ind w:right="237"/>
        <w:contextualSpacing w:val="0"/>
        <w:jc w:val="both"/>
        <w:rPr>
          <w:rStyle w:val="Hyperlink"/>
          <w:rFonts w:ascii="Arial" w:hAnsi="Arial" w:cs="Arial"/>
          <w:bCs/>
          <w:sz w:val="24"/>
          <w:szCs w:val="24"/>
        </w:rPr>
      </w:pPr>
    </w:p>
    <w:p w:rsidRPr="00F53819" w:rsidR="00893840" w:rsidP="00A322E6" w:rsidRDefault="00893840" w14:paraId="4CC8EBEF" w14:textId="77777777">
      <w:pPr>
        <w:pStyle w:val="Heading1"/>
        <w:numPr>
          <w:ilvl w:val="0"/>
          <w:numId w:val="0"/>
        </w:numPr>
        <w:ind w:left="567" w:hanging="567"/>
      </w:pPr>
      <w:bookmarkStart w:name="_Toc449539303" w:id="4"/>
      <w:bookmarkStart w:name="_Toc449542829" w:id="5"/>
      <w:r w:rsidRPr="00F53819">
        <w:t>b) Learning, teaching and assessment methods</w:t>
      </w:r>
      <w:bookmarkEnd w:id="4"/>
      <w:bookmarkEnd w:id="5"/>
    </w:p>
    <w:p w:rsidRPr="00F53819" w:rsidR="00893840" w:rsidP="0049179A" w:rsidRDefault="00893840" w14:paraId="530FFF19" w14:textId="77777777">
      <w:pPr>
        <w:spacing w:after="120" w:line="240" w:lineRule="auto"/>
        <w:ind w:left="0" w:right="237" w:firstLine="0"/>
        <w:jc w:val="left"/>
        <w:rPr>
          <w:sz w:val="24"/>
          <w:szCs w:val="24"/>
        </w:rPr>
      </w:pPr>
      <w:r w:rsidRPr="00F53819">
        <w:rPr>
          <w:sz w:val="24"/>
          <w:szCs w:val="24"/>
        </w:rPr>
        <w:t xml:space="preserve">This includes, but is not necessarily limited to, classroom practices and activities, independent study requirements, assessments including coursework, in-course </w:t>
      </w:r>
      <w:r w:rsidRPr="00F53819">
        <w:rPr>
          <w:noProof/>
          <w:sz w:val="24"/>
          <w:szCs w:val="24"/>
        </w:rPr>
        <w:t>tests</w:t>
      </w:r>
      <w:r w:rsidRPr="00F53819">
        <w:rPr>
          <w:sz w:val="24"/>
          <w:szCs w:val="24"/>
        </w:rPr>
        <w:t xml:space="preserve"> and examinations. </w:t>
      </w:r>
    </w:p>
    <w:p w:rsidRPr="00F53819" w:rsidR="00893840" w:rsidP="00D422AF" w:rsidRDefault="00893840" w14:paraId="27BA42AB" w14:textId="77777777">
      <w:pPr>
        <w:spacing w:after="120" w:line="240" w:lineRule="auto"/>
        <w:ind w:right="237"/>
        <w:rPr>
          <w:b/>
          <w:sz w:val="24"/>
          <w:szCs w:val="24"/>
        </w:rPr>
      </w:pPr>
    </w:p>
    <w:p w:rsidRPr="00F53819" w:rsidR="00893840" w:rsidP="00D422AF" w:rsidRDefault="000B6070" w14:paraId="2F9C52C5" w14:textId="77777777">
      <w:pPr>
        <w:spacing w:after="120" w:line="240" w:lineRule="auto"/>
        <w:ind w:right="237"/>
        <w:rPr>
          <w:b/>
          <w:sz w:val="24"/>
          <w:szCs w:val="24"/>
        </w:rPr>
      </w:pPr>
      <w:hyperlink w:history="1" r:id="rId17">
        <w:r w:rsidRPr="00F53819" w:rsidR="00893840">
          <w:rPr>
            <w:rStyle w:val="Hyperlink"/>
            <w:b/>
            <w:sz w:val="24"/>
            <w:szCs w:val="24"/>
          </w:rPr>
          <w:t>Kent Inclusive practices</w:t>
        </w:r>
      </w:hyperlink>
      <w:r w:rsidRPr="00F53819" w:rsidR="00893840">
        <w:rPr>
          <w:b/>
          <w:sz w:val="24"/>
          <w:szCs w:val="24"/>
        </w:rPr>
        <w:t xml:space="preserve"> (KIPs)</w:t>
      </w:r>
    </w:p>
    <w:p w:rsidRPr="00F53819" w:rsidR="00893840" w:rsidP="00183B0F" w:rsidRDefault="00893840" w14:paraId="1B200F55" w14:textId="77777777">
      <w:pPr>
        <w:pStyle w:val="ListParagraph"/>
        <w:numPr>
          <w:ilvl w:val="0"/>
          <w:numId w:val="3"/>
        </w:numPr>
        <w:spacing w:after="120" w:line="240" w:lineRule="auto"/>
        <w:ind w:left="567" w:right="237" w:hanging="567"/>
        <w:contextualSpacing w:val="0"/>
        <w:rPr>
          <w:rFonts w:ascii="Arial" w:hAnsi="Arial" w:cs="Arial"/>
          <w:sz w:val="24"/>
          <w:szCs w:val="24"/>
        </w:rPr>
      </w:pPr>
      <w:r w:rsidRPr="00F53819">
        <w:rPr>
          <w:rFonts w:ascii="Arial" w:hAnsi="Arial" w:cs="Arial"/>
          <w:sz w:val="24"/>
          <w:szCs w:val="24"/>
        </w:rPr>
        <w:t xml:space="preserve">Promote and embed </w:t>
      </w:r>
      <w:hyperlink w:history="1" r:id="rId18">
        <w:r w:rsidRPr="00183B0F">
          <w:rPr>
            <w:rStyle w:val="Hyperlink"/>
            <w:rFonts w:ascii="Arial" w:hAnsi="Arial" w:cs="Arial"/>
            <w:sz w:val="24"/>
            <w:szCs w:val="24"/>
          </w:rPr>
          <w:t>inclusive teaching practices</w:t>
        </w:r>
      </w:hyperlink>
      <w:r w:rsidRPr="00F53819">
        <w:rPr>
          <w:rFonts w:ascii="Arial" w:hAnsi="Arial" w:cs="Arial"/>
          <w:sz w:val="24"/>
          <w:szCs w:val="24"/>
        </w:rPr>
        <w:t>.</w:t>
      </w:r>
    </w:p>
    <w:p w:rsidRPr="00F53819" w:rsidR="00893840" w:rsidP="00183B0F" w:rsidRDefault="00893840" w14:paraId="37F8F976" w14:textId="77777777">
      <w:pPr>
        <w:pStyle w:val="ListParagraph"/>
        <w:numPr>
          <w:ilvl w:val="1"/>
          <w:numId w:val="5"/>
        </w:numPr>
        <w:spacing w:after="120" w:line="240" w:lineRule="auto"/>
        <w:ind w:left="993" w:right="237" w:hanging="426"/>
        <w:contextualSpacing w:val="0"/>
        <w:rPr>
          <w:rFonts w:ascii="Arial" w:hAnsi="Arial" w:cs="Arial"/>
          <w:sz w:val="24"/>
          <w:szCs w:val="24"/>
        </w:rPr>
      </w:pPr>
      <w:r w:rsidRPr="00F53819">
        <w:rPr>
          <w:rFonts w:ascii="Arial" w:hAnsi="Arial" w:cs="Arial"/>
          <w:sz w:val="24"/>
          <w:szCs w:val="24"/>
        </w:rPr>
        <w:t xml:space="preserve">Be aware of the particular demands of the individual module, </w:t>
      </w:r>
      <w:proofErr w:type="gramStart"/>
      <w:r w:rsidRPr="00F53819">
        <w:rPr>
          <w:rFonts w:ascii="Arial" w:hAnsi="Arial" w:cs="Arial"/>
          <w:sz w:val="24"/>
          <w:szCs w:val="24"/>
        </w:rPr>
        <w:t>e.g.</w:t>
      </w:r>
      <w:proofErr w:type="gramEnd"/>
      <w:r w:rsidRPr="00F53819">
        <w:rPr>
          <w:rFonts w:ascii="Arial" w:hAnsi="Arial" w:cs="Arial"/>
          <w:sz w:val="24"/>
          <w:szCs w:val="24"/>
        </w:rPr>
        <w:t xml:space="preserve"> field trips or practical work that may have specific requirements. </w:t>
      </w:r>
    </w:p>
    <w:p w:rsidRPr="00F53819" w:rsidR="00893840" w:rsidP="00183B0F" w:rsidRDefault="00893840" w14:paraId="6586E594" w14:textId="77777777">
      <w:pPr>
        <w:pStyle w:val="ListParagraph"/>
        <w:numPr>
          <w:ilvl w:val="1"/>
          <w:numId w:val="5"/>
        </w:numPr>
        <w:spacing w:after="120" w:line="240" w:lineRule="auto"/>
        <w:ind w:left="993" w:right="237" w:hanging="426"/>
        <w:contextualSpacing w:val="0"/>
        <w:rPr>
          <w:rFonts w:ascii="Arial" w:hAnsi="Arial" w:cs="Arial"/>
          <w:sz w:val="24"/>
          <w:szCs w:val="24"/>
        </w:rPr>
      </w:pPr>
      <w:r w:rsidRPr="00F53819">
        <w:rPr>
          <w:rFonts w:ascii="Arial" w:hAnsi="Arial" w:cs="Arial"/>
          <w:sz w:val="24"/>
          <w:szCs w:val="24"/>
        </w:rPr>
        <w:t xml:space="preserve">Be clear about arrangements necessary to ensure the student </w:t>
      </w:r>
      <w:proofErr w:type="gramStart"/>
      <w:r w:rsidRPr="00F53819">
        <w:rPr>
          <w:rFonts w:ascii="Arial" w:hAnsi="Arial" w:cs="Arial"/>
          <w:sz w:val="24"/>
          <w:szCs w:val="24"/>
        </w:rPr>
        <w:t>has the opportunity to</w:t>
      </w:r>
      <w:proofErr w:type="gramEnd"/>
      <w:r w:rsidRPr="00F53819">
        <w:rPr>
          <w:rFonts w:ascii="Arial" w:hAnsi="Arial" w:cs="Arial"/>
          <w:sz w:val="24"/>
          <w:szCs w:val="24"/>
        </w:rPr>
        <w:t xml:space="preserve"> achieve the learning outcomes of the module. </w:t>
      </w:r>
    </w:p>
    <w:p w:rsidRPr="00F53819" w:rsidR="00893840" w:rsidP="00183B0F" w:rsidRDefault="00893840" w14:paraId="03224413" w14:textId="77777777">
      <w:pPr>
        <w:pStyle w:val="ListParagraph"/>
        <w:numPr>
          <w:ilvl w:val="1"/>
          <w:numId w:val="5"/>
        </w:numPr>
        <w:spacing w:after="120" w:line="240" w:lineRule="auto"/>
        <w:ind w:left="993" w:right="237" w:hanging="426"/>
        <w:contextualSpacing w:val="0"/>
        <w:rPr>
          <w:rFonts w:ascii="Arial" w:hAnsi="Arial" w:cs="Arial"/>
          <w:sz w:val="24"/>
          <w:szCs w:val="24"/>
        </w:rPr>
      </w:pPr>
      <w:r w:rsidRPr="00F53819">
        <w:rPr>
          <w:rFonts w:ascii="Arial" w:hAnsi="Arial" w:cs="Arial"/>
          <w:sz w:val="24"/>
          <w:szCs w:val="24"/>
        </w:rPr>
        <w:t xml:space="preserve">Consider potential accessibility benefits and barriers in the choice of teaching methods (e.g. </w:t>
      </w:r>
      <w:hyperlink w:history="1" r:id="rId19">
        <w:r w:rsidRPr="00183B0F">
          <w:rPr>
            <w:rStyle w:val="Hyperlink"/>
            <w:rFonts w:ascii="Arial" w:hAnsi="Arial" w:cs="Arial"/>
            <w:sz w:val="24"/>
            <w:szCs w:val="24"/>
          </w:rPr>
          <w:t>lectures and seminars</w:t>
        </w:r>
      </w:hyperlink>
      <w:r w:rsidRPr="00F53819">
        <w:rPr>
          <w:rFonts w:ascii="Arial" w:hAnsi="Arial" w:cs="Arial"/>
          <w:sz w:val="24"/>
          <w:szCs w:val="24"/>
        </w:rPr>
        <w:t xml:space="preserve">, </w:t>
      </w:r>
      <w:r w:rsidRPr="00F53819">
        <w:rPr>
          <w:rFonts w:ascii="Arial" w:hAnsi="Arial" w:cs="Arial"/>
          <w:noProof/>
          <w:sz w:val="24"/>
          <w:szCs w:val="24"/>
        </w:rPr>
        <w:t>field work,</w:t>
      </w:r>
      <w:r w:rsidRPr="00F53819">
        <w:rPr>
          <w:rFonts w:ascii="Arial" w:hAnsi="Arial" w:cs="Arial"/>
          <w:sz w:val="24"/>
          <w:szCs w:val="24"/>
        </w:rPr>
        <w:t xml:space="preserve"> online learning, group work, laboratory requirements, online forums, flipped classroom, third party learning platforms/systems).</w:t>
      </w:r>
      <w:r w:rsidRPr="00F53819">
        <w:rPr>
          <w:rFonts w:ascii="Arial" w:hAnsi="Arial" w:cs="Arial"/>
          <w:iCs/>
          <w:sz w:val="24"/>
          <w:szCs w:val="24"/>
          <w:lang w:val="en-US"/>
        </w:rPr>
        <w:t xml:space="preserve"> Is the physical environment, </w:t>
      </w:r>
      <w:proofErr w:type="gramStart"/>
      <w:r w:rsidRPr="00F53819">
        <w:rPr>
          <w:rFonts w:ascii="Arial" w:hAnsi="Arial" w:cs="Arial"/>
          <w:iCs/>
          <w:sz w:val="24"/>
          <w:szCs w:val="24"/>
          <w:lang w:val="en-US"/>
        </w:rPr>
        <w:t>e.g.</w:t>
      </w:r>
      <w:proofErr w:type="gramEnd"/>
      <w:r w:rsidRPr="00F53819">
        <w:rPr>
          <w:rFonts w:ascii="Arial" w:hAnsi="Arial" w:cs="Arial"/>
          <w:iCs/>
          <w:sz w:val="24"/>
          <w:szCs w:val="24"/>
          <w:lang w:val="en-US"/>
        </w:rPr>
        <w:t xml:space="preserve"> a field trip, accessible to students with mobility difficulties?</w:t>
      </w:r>
    </w:p>
    <w:p w:rsidRPr="00F53819" w:rsidR="00893840" w:rsidP="00D422AF" w:rsidRDefault="00893840" w14:paraId="549A3031" w14:textId="77777777">
      <w:pPr>
        <w:pStyle w:val="ListParagraph"/>
        <w:spacing w:after="120" w:line="240" w:lineRule="auto"/>
        <w:ind w:left="1440" w:right="237"/>
        <w:contextualSpacing w:val="0"/>
        <w:jc w:val="both"/>
        <w:rPr>
          <w:rFonts w:ascii="Arial" w:hAnsi="Arial" w:cs="Arial"/>
          <w:sz w:val="24"/>
          <w:szCs w:val="24"/>
        </w:rPr>
      </w:pPr>
    </w:p>
    <w:p w:rsidRPr="00F53819" w:rsidR="00893840" w:rsidP="00183B0F" w:rsidRDefault="00893840" w14:paraId="3A37B6D9" w14:textId="77777777">
      <w:pPr>
        <w:pStyle w:val="ListParagraph"/>
        <w:numPr>
          <w:ilvl w:val="0"/>
          <w:numId w:val="3"/>
        </w:numPr>
        <w:spacing w:after="120" w:line="240" w:lineRule="auto"/>
        <w:ind w:left="567" w:right="237" w:hanging="567"/>
        <w:contextualSpacing w:val="0"/>
        <w:rPr>
          <w:rFonts w:ascii="Arial" w:hAnsi="Arial" w:cs="Arial"/>
          <w:sz w:val="24"/>
          <w:szCs w:val="24"/>
        </w:rPr>
      </w:pPr>
      <w:r w:rsidRPr="00F53819">
        <w:rPr>
          <w:rFonts w:ascii="Arial" w:hAnsi="Arial" w:cs="Arial"/>
          <w:sz w:val="24"/>
          <w:szCs w:val="24"/>
        </w:rPr>
        <w:t xml:space="preserve">Ensure </w:t>
      </w:r>
      <w:hyperlink w:history="1" r:id="rId20">
        <w:r w:rsidRPr="00183B0F">
          <w:rPr>
            <w:rStyle w:val="Hyperlink"/>
            <w:rFonts w:ascii="Arial" w:hAnsi="Arial" w:cs="Arial"/>
            <w:sz w:val="24"/>
            <w:szCs w:val="24"/>
          </w:rPr>
          <w:t>assessment methods</w:t>
        </w:r>
      </w:hyperlink>
      <w:r w:rsidRPr="00F53819">
        <w:rPr>
          <w:rFonts w:ascii="Arial" w:hAnsi="Arial" w:cs="Arial"/>
          <w:sz w:val="24"/>
          <w:szCs w:val="24"/>
        </w:rPr>
        <w:t xml:space="preserve"> are varied and appropriate to the </w:t>
      </w:r>
      <w:hyperlink w:history="1" r:id="rId21">
        <w:r w:rsidRPr="00183B0F">
          <w:rPr>
            <w:rStyle w:val="Hyperlink"/>
            <w:rFonts w:ascii="Arial" w:hAnsi="Arial" w:cs="Arial"/>
            <w:sz w:val="24"/>
            <w:szCs w:val="24"/>
          </w:rPr>
          <w:t>learning outcomes</w:t>
        </w:r>
      </w:hyperlink>
      <w:r w:rsidRPr="00F53819">
        <w:rPr>
          <w:rFonts w:ascii="Arial" w:hAnsi="Arial" w:cs="Arial"/>
          <w:sz w:val="24"/>
          <w:szCs w:val="24"/>
        </w:rPr>
        <w:t>.</w:t>
      </w:r>
    </w:p>
    <w:p w:rsidRPr="00F53819" w:rsidR="00893840" w:rsidP="00183B0F" w:rsidRDefault="00893840" w14:paraId="066E74A8" w14:textId="77777777">
      <w:pPr>
        <w:pStyle w:val="ListParagraph"/>
        <w:numPr>
          <w:ilvl w:val="1"/>
          <w:numId w:val="6"/>
        </w:numPr>
        <w:spacing w:after="120" w:line="240" w:lineRule="auto"/>
        <w:ind w:left="993" w:right="237" w:hanging="426"/>
        <w:contextualSpacing w:val="0"/>
        <w:rPr>
          <w:rFonts w:ascii="Arial" w:hAnsi="Arial" w:cs="Arial"/>
          <w:iCs/>
          <w:sz w:val="24"/>
          <w:szCs w:val="24"/>
          <w:lang w:val="en-US"/>
        </w:rPr>
      </w:pPr>
      <w:r w:rsidRPr="00F53819">
        <w:rPr>
          <w:rFonts w:ascii="Arial" w:hAnsi="Arial" w:cs="Arial"/>
          <w:iCs/>
          <w:sz w:val="24"/>
          <w:szCs w:val="24"/>
          <w:lang w:val="en-US"/>
        </w:rPr>
        <w:t xml:space="preserve">Do the number and timing of in-class assessments for the module </w:t>
      </w:r>
      <w:proofErr w:type="gramStart"/>
      <w:r w:rsidRPr="00F53819">
        <w:rPr>
          <w:rFonts w:ascii="Arial" w:hAnsi="Arial" w:cs="Arial"/>
          <w:iCs/>
          <w:sz w:val="24"/>
          <w:szCs w:val="24"/>
          <w:lang w:val="en-US"/>
        </w:rPr>
        <w:t>take into account</w:t>
      </w:r>
      <w:proofErr w:type="gramEnd"/>
      <w:r w:rsidRPr="00F53819">
        <w:rPr>
          <w:rFonts w:ascii="Arial" w:hAnsi="Arial" w:cs="Arial"/>
          <w:iCs/>
          <w:sz w:val="24"/>
          <w:szCs w:val="24"/>
          <w:lang w:val="en-US"/>
        </w:rPr>
        <w:t xml:space="preserve"> the practicalities of any students with extra time arrangements (such as the </w:t>
      </w:r>
      <w:r w:rsidRPr="00F53819">
        <w:rPr>
          <w:rFonts w:ascii="Arial" w:hAnsi="Arial" w:cs="Arial"/>
          <w:iCs/>
          <w:noProof/>
          <w:sz w:val="24"/>
          <w:szCs w:val="24"/>
          <w:lang w:val="en-US"/>
        </w:rPr>
        <w:t>timing</w:t>
      </w:r>
      <w:r w:rsidRPr="00F53819">
        <w:rPr>
          <w:rFonts w:ascii="Arial" w:hAnsi="Arial" w:cs="Arial"/>
          <w:iCs/>
          <w:sz w:val="24"/>
          <w:szCs w:val="24"/>
          <w:lang w:val="en-US"/>
        </w:rPr>
        <w:t xml:space="preserve"> of laboratory practical assessments)?</w:t>
      </w:r>
    </w:p>
    <w:p w:rsidRPr="00F53819" w:rsidR="00893840" w:rsidP="00183B0F" w:rsidRDefault="00893840" w14:paraId="567E11FE" w14:textId="77777777">
      <w:pPr>
        <w:pStyle w:val="ListParagraph"/>
        <w:numPr>
          <w:ilvl w:val="1"/>
          <w:numId w:val="6"/>
        </w:numPr>
        <w:spacing w:after="120" w:line="240" w:lineRule="auto"/>
        <w:ind w:left="993" w:right="237" w:hanging="426"/>
        <w:contextualSpacing w:val="0"/>
        <w:rPr>
          <w:rFonts w:ascii="Arial" w:hAnsi="Arial" w:cs="Arial"/>
          <w:iCs/>
          <w:sz w:val="24"/>
          <w:szCs w:val="24"/>
          <w:lang w:val="en-US"/>
        </w:rPr>
      </w:pPr>
      <w:r w:rsidRPr="00F53819">
        <w:rPr>
          <w:rFonts w:ascii="Arial" w:hAnsi="Arial" w:cs="Arial"/>
          <w:iCs/>
          <w:sz w:val="24"/>
          <w:szCs w:val="24"/>
          <w:lang w:val="en-US"/>
        </w:rPr>
        <w:lastRenderedPageBreak/>
        <w:t>Are spelling, punctuation and grammar an appropriate part of the assessment criteria? If these are critical to the learning outcome (</w:t>
      </w:r>
      <w:proofErr w:type="gramStart"/>
      <w:r w:rsidRPr="00F53819">
        <w:rPr>
          <w:rFonts w:ascii="Arial" w:hAnsi="Arial" w:cs="Arial"/>
          <w:iCs/>
          <w:sz w:val="24"/>
          <w:szCs w:val="24"/>
          <w:lang w:val="en-US"/>
        </w:rPr>
        <w:t>e.g.</w:t>
      </w:r>
      <w:proofErr w:type="gramEnd"/>
      <w:r w:rsidRPr="00F53819">
        <w:rPr>
          <w:rFonts w:ascii="Arial" w:hAnsi="Arial" w:cs="Arial"/>
          <w:iCs/>
          <w:sz w:val="24"/>
          <w:szCs w:val="24"/>
          <w:lang w:val="en-US"/>
        </w:rPr>
        <w:t xml:space="preserve"> language studies), this should be clearly stated in advance in the module specification. If not, can marking schemes allow </w:t>
      </w:r>
      <w:r w:rsidRPr="00F53819">
        <w:rPr>
          <w:rFonts w:ascii="Arial" w:hAnsi="Arial" w:cs="Arial"/>
          <w:iCs/>
          <w:noProof/>
          <w:sz w:val="24"/>
          <w:szCs w:val="24"/>
          <w:lang w:val="en-US"/>
        </w:rPr>
        <w:t>exclusion</w:t>
      </w:r>
      <w:r w:rsidRPr="00F53819">
        <w:rPr>
          <w:rFonts w:ascii="Arial" w:hAnsi="Arial" w:cs="Arial"/>
          <w:iCs/>
          <w:sz w:val="24"/>
          <w:szCs w:val="24"/>
          <w:lang w:val="en-US"/>
        </w:rPr>
        <w:t xml:space="preserve"> of these criteria where this is required as a reasonable adjustment (</w:t>
      </w:r>
      <w:proofErr w:type="gramStart"/>
      <w:r w:rsidRPr="00F53819">
        <w:rPr>
          <w:rFonts w:ascii="Arial" w:hAnsi="Arial" w:cs="Arial"/>
          <w:iCs/>
          <w:sz w:val="24"/>
          <w:szCs w:val="24"/>
          <w:lang w:val="en-US"/>
        </w:rPr>
        <w:t>e.g.</w:t>
      </w:r>
      <w:proofErr w:type="gramEnd"/>
      <w:r w:rsidRPr="00F53819">
        <w:rPr>
          <w:rFonts w:ascii="Arial" w:hAnsi="Arial" w:cs="Arial"/>
          <w:iCs/>
          <w:sz w:val="24"/>
          <w:szCs w:val="24"/>
          <w:lang w:val="en-US"/>
        </w:rPr>
        <w:t xml:space="preserve"> for students with specific learning difficulties)?</w:t>
      </w:r>
    </w:p>
    <w:p w:rsidR="00893840" w:rsidP="00183B0F" w:rsidRDefault="00893840" w14:paraId="3D85299F" w14:textId="77777777">
      <w:pPr>
        <w:pStyle w:val="ListParagraph"/>
        <w:numPr>
          <w:ilvl w:val="1"/>
          <w:numId w:val="6"/>
        </w:numPr>
        <w:spacing w:after="120" w:line="240" w:lineRule="auto"/>
        <w:ind w:left="993" w:right="237" w:hanging="426"/>
        <w:contextualSpacing w:val="0"/>
        <w:rPr>
          <w:rFonts w:ascii="Arial" w:hAnsi="Arial" w:cs="Arial"/>
          <w:sz w:val="24"/>
          <w:szCs w:val="24"/>
        </w:rPr>
      </w:pPr>
      <w:r w:rsidRPr="00F53819">
        <w:rPr>
          <w:rFonts w:ascii="Arial" w:hAnsi="Arial" w:cs="Arial"/>
          <w:sz w:val="24"/>
          <w:szCs w:val="24"/>
        </w:rPr>
        <w:t>It may be helpful for schools to bear in mind the kinds of alternative assessments most frequently requested when completing module specification documents. Of course, it is not possible to anticipate everything in advance</w:t>
      </w:r>
      <w:r w:rsidR="00183B0F">
        <w:rPr>
          <w:rFonts w:ascii="Arial" w:hAnsi="Arial" w:cs="Arial"/>
          <w:sz w:val="24"/>
          <w:szCs w:val="24"/>
        </w:rPr>
        <w:t>,</w:t>
      </w:r>
      <w:r w:rsidRPr="00F53819">
        <w:rPr>
          <w:rFonts w:ascii="Arial" w:hAnsi="Arial" w:cs="Arial"/>
          <w:sz w:val="24"/>
          <w:szCs w:val="24"/>
        </w:rPr>
        <w:t xml:space="preserve"> but schools may have an idea what assessment adjustments have been most frequently requested in the past (for </w:t>
      </w:r>
      <w:r w:rsidRPr="00F53819">
        <w:rPr>
          <w:rFonts w:ascii="Arial" w:hAnsi="Arial" w:cs="Arial"/>
          <w:noProof/>
          <w:sz w:val="24"/>
          <w:szCs w:val="24"/>
        </w:rPr>
        <w:t>example</w:t>
      </w:r>
      <w:r w:rsidRPr="00F53819">
        <w:rPr>
          <w:rFonts w:ascii="Arial" w:hAnsi="Arial" w:cs="Arial"/>
          <w:sz w:val="24"/>
          <w:szCs w:val="24"/>
        </w:rPr>
        <w:t xml:space="preserve"> exams, </w:t>
      </w:r>
      <w:r w:rsidRPr="00F53819">
        <w:rPr>
          <w:rFonts w:ascii="Arial" w:hAnsi="Arial" w:cs="Arial"/>
          <w:noProof/>
          <w:sz w:val="24"/>
          <w:szCs w:val="24"/>
        </w:rPr>
        <w:t>presentations</w:t>
      </w:r>
      <w:r w:rsidRPr="00F53819">
        <w:rPr>
          <w:rFonts w:ascii="Arial" w:hAnsi="Arial" w:cs="Arial"/>
          <w:sz w:val="24"/>
          <w:szCs w:val="24"/>
        </w:rPr>
        <w:t xml:space="preserve"> and group work).</w:t>
      </w:r>
    </w:p>
    <w:p w:rsidRPr="005C6657" w:rsidR="005C6657" w:rsidP="005C6657" w:rsidRDefault="005C6657" w14:paraId="389A8544" w14:textId="77777777">
      <w:pPr>
        <w:pStyle w:val="ListParagraph"/>
        <w:spacing w:after="120" w:line="240" w:lineRule="auto"/>
        <w:ind w:left="993" w:right="237"/>
        <w:contextualSpacing w:val="0"/>
        <w:rPr>
          <w:rFonts w:ascii="Arial" w:hAnsi="Arial" w:cs="Arial"/>
          <w:sz w:val="28"/>
          <w:szCs w:val="24"/>
        </w:rPr>
      </w:pPr>
      <w:r w:rsidRPr="005C6657">
        <w:rPr>
          <w:rFonts w:ascii="Arial" w:hAnsi="Arial" w:cs="Arial"/>
          <w:sz w:val="24"/>
        </w:rPr>
        <w:t xml:space="preserve">This is in line with ECU guidance for inclusive assessment: “review assessment methods at the design, validation and delivery phase, in line with learning outcomes and competence standards, to provide a range of alternative assessment methods for measuring student knowledge. Recognising and anticipating students’ needs through introducing a choice of formative and summative assessment methods (for example </w:t>
      </w:r>
      <w:proofErr w:type="spellStart"/>
      <w:r w:rsidRPr="005C6657">
        <w:rPr>
          <w:rFonts w:ascii="Arial" w:hAnsi="Arial" w:cs="Arial"/>
          <w:sz w:val="24"/>
        </w:rPr>
        <w:t>vivas</w:t>
      </w:r>
      <w:proofErr w:type="spellEnd"/>
      <w:r w:rsidRPr="005C6657">
        <w:rPr>
          <w:rFonts w:ascii="Arial" w:hAnsi="Arial" w:cs="Arial"/>
          <w:sz w:val="24"/>
        </w:rPr>
        <w:t>, presentations, projects and coursework in addition to formal examination) as part of mainstream practice may lessen the need for case-by-case individual adjustments” (ECU 2010).</w:t>
      </w:r>
    </w:p>
    <w:p w:rsidRPr="00F53819" w:rsidR="00893840" w:rsidP="00183B0F" w:rsidRDefault="00893840" w14:paraId="1AF746A4" w14:textId="77777777">
      <w:pPr>
        <w:pStyle w:val="ListParagraph"/>
        <w:numPr>
          <w:ilvl w:val="1"/>
          <w:numId w:val="6"/>
        </w:numPr>
        <w:spacing w:after="120" w:line="240" w:lineRule="auto"/>
        <w:ind w:left="993" w:right="237" w:hanging="426"/>
        <w:contextualSpacing w:val="0"/>
        <w:rPr>
          <w:rFonts w:ascii="Arial" w:hAnsi="Arial" w:cs="Arial"/>
          <w:sz w:val="24"/>
          <w:szCs w:val="24"/>
        </w:rPr>
      </w:pPr>
      <w:r w:rsidRPr="00F53819">
        <w:rPr>
          <w:rFonts w:ascii="Arial" w:hAnsi="Arial" w:cs="Arial"/>
          <w:sz w:val="24"/>
          <w:szCs w:val="24"/>
        </w:rPr>
        <w:t xml:space="preserve">Supporting statements to show how adjustments may or may not be incorporated into a module can be based on the generic examples below: </w:t>
      </w:r>
    </w:p>
    <w:p w:rsidRPr="00F53819" w:rsidR="00893840" w:rsidP="00183B0F" w:rsidRDefault="00893840" w14:paraId="1B5DB941" w14:textId="77777777">
      <w:pPr>
        <w:pStyle w:val="ListParagraph"/>
        <w:numPr>
          <w:ilvl w:val="3"/>
          <w:numId w:val="7"/>
        </w:numPr>
        <w:spacing w:after="120" w:line="240" w:lineRule="auto"/>
        <w:ind w:left="1418" w:right="237" w:hanging="425"/>
        <w:contextualSpacing w:val="0"/>
        <w:rPr>
          <w:rFonts w:ascii="Arial" w:hAnsi="Arial" w:cs="Arial"/>
          <w:sz w:val="24"/>
          <w:szCs w:val="24"/>
        </w:rPr>
      </w:pPr>
      <w:r w:rsidRPr="00F53819">
        <w:rPr>
          <w:rFonts w:ascii="Arial" w:hAnsi="Arial" w:cs="Arial"/>
          <w:sz w:val="24"/>
          <w:szCs w:val="24"/>
        </w:rPr>
        <w:t xml:space="preserve">Students who are deemed to be entitled to an alternative to an exam may be required to write an essay of suitable length </w:t>
      </w:r>
      <w:r w:rsidRPr="00F53819">
        <w:rPr>
          <w:rFonts w:ascii="Arial" w:hAnsi="Arial" w:cs="Arial"/>
          <w:iCs/>
          <w:sz w:val="24"/>
          <w:szCs w:val="24"/>
          <w:lang w:val="en-US"/>
        </w:rPr>
        <w:t>(where this is consistent with learning outcomes).</w:t>
      </w:r>
    </w:p>
    <w:p w:rsidRPr="00F53819" w:rsidR="00893840" w:rsidP="00183B0F" w:rsidRDefault="00893840" w14:paraId="7598A483" w14:textId="77777777">
      <w:pPr>
        <w:pStyle w:val="ListParagraph"/>
        <w:numPr>
          <w:ilvl w:val="3"/>
          <w:numId w:val="7"/>
        </w:numPr>
        <w:spacing w:after="120" w:line="240" w:lineRule="auto"/>
        <w:ind w:left="1418" w:right="237" w:hanging="425"/>
        <w:contextualSpacing w:val="0"/>
        <w:rPr>
          <w:rFonts w:ascii="Arial" w:hAnsi="Arial" w:cs="Arial"/>
          <w:sz w:val="24"/>
          <w:szCs w:val="24"/>
        </w:rPr>
      </w:pPr>
      <w:r w:rsidRPr="00F53819">
        <w:rPr>
          <w:rFonts w:ascii="Arial" w:hAnsi="Arial" w:cs="Arial"/>
          <w:sz w:val="24"/>
          <w:szCs w:val="24"/>
        </w:rPr>
        <w:t>Students who are deemed to be entitled to alternative assessments may be required to</w:t>
      </w:r>
      <w:r w:rsidRPr="00F53819" w:rsidDel="007046A6">
        <w:rPr>
          <w:rFonts w:ascii="Arial" w:hAnsi="Arial" w:cs="Arial"/>
          <w:sz w:val="24"/>
          <w:szCs w:val="24"/>
        </w:rPr>
        <w:t xml:space="preserve"> </w:t>
      </w:r>
      <w:r w:rsidRPr="00F53819">
        <w:rPr>
          <w:rFonts w:ascii="Arial" w:hAnsi="Arial" w:cs="Arial"/>
          <w:sz w:val="24"/>
          <w:szCs w:val="24"/>
        </w:rPr>
        <w:t>deliver a project or make another demonstration of ability (under controlled conditions) (</w:t>
      </w:r>
      <w:r w:rsidRPr="00F53819">
        <w:rPr>
          <w:rFonts w:ascii="Arial" w:hAnsi="Arial" w:cs="Arial"/>
          <w:iCs/>
          <w:sz w:val="24"/>
          <w:szCs w:val="24"/>
          <w:lang w:val="en-US"/>
        </w:rPr>
        <w:t>where this is consistent with learning outcomes)</w:t>
      </w:r>
      <w:r w:rsidRPr="00F53819">
        <w:rPr>
          <w:rFonts w:ascii="Arial" w:hAnsi="Arial" w:cs="Arial"/>
          <w:sz w:val="24"/>
          <w:szCs w:val="24"/>
        </w:rPr>
        <w:t>.</w:t>
      </w:r>
    </w:p>
    <w:p w:rsidRPr="00F53819" w:rsidR="00893840" w:rsidP="00183B0F" w:rsidRDefault="00893840" w14:paraId="7BEC34BD" w14:textId="77777777">
      <w:pPr>
        <w:pStyle w:val="ListParagraph"/>
        <w:numPr>
          <w:ilvl w:val="3"/>
          <w:numId w:val="7"/>
        </w:numPr>
        <w:spacing w:after="120" w:line="240" w:lineRule="auto"/>
        <w:ind w:left="1418" w:right="237" w:hanging="425"/>
        <w:contextualSpacing w:val="0"/>
        <w:rPr>
          <w:rFonts w:ascii="Arial" w:hAnsi="Arial" w:cs="Arial"/>
          <w:sz w:val="24"/>
          <w:szCs w:val="24"/>
        </w:rPr>
      </w:pPr>
      <w:r w:rsidRPr="00F53819">
        <w:rPr>
          <w:rFonts w:ascii="Arial" w:hAnsi="Arial" w:cs="Arial"/>
          <w:sz w:val="24"/>
          <w:szCs w:val="24"/>
        </w:rPr>
        <w:t xml:space="preserve">Students who are deemed to be entitled to an alternative assessment to </w:t>
      </w:r>
      <w:r w:rsidRPr="00F53819">
        <w:rPr>
          <w:rFonts w:ascii="Arial" w:hAnsi="Arial" w:cs="Arial"/>
          <w:iCs/>
          <w:sz w:val="24"/>
          <w:szCs w:val="24"/>
          <w:lang w:val="en-US"/>
        </w:rPr>
        <w:t>group presentations could be required to deliver a pre-recorded or one-to-one presentation (where this is consistent with learning outcomes).</w:t>
      </w:r>
    </w:p>
    <w:p w:rsidR="00893840" w:rsidP="00183B0F" w:rsidRDefault="00893840" w14:paraId="2FB0404E" w14:textId="77777777">
      <w:pPr>
        <w:pStyle w:val="ListParagraph"/>
        <w:numPr>
          <w:ilvl w:val="3"/>
          <w:numId w:val="7"/>
        </w:numPr>
        <w:spacing w:after="120" w:line="240" w:lineRule="auto"/>
        <w:ind w:left="1418" w:right="237" w:hanging="425"/>
        <w:contextualSpacing w:val="0"/>
        <w:rPr>
          <w:rFonts w:ascii="Arial" w:hAnsi="Arial" w:cs="Arial"/>
          <w:sz w:val="24"/>
          <w:szCs w:val="24"/>
        </w:rPr>
      </w:pPr>
      <w:r w:rsidRPr="00F53819">
        <w:rPr>
          <w:rFonts w:ascii="Arial" w:hAnsi="Arial" w:cs="Arial"/>
          <w:sz w:val="24"/>
          <w:szCs w:val="24"/>
        </w:rPr>
        <w:t xml:space="preserve">Alternative assessments may not always be possible where they conflict with the learning outcome(s) of this module and/or prevent the student from meeting a requirement of a professional accrediting body (PSRB). </w:t>
      </w:r>
    </w:p>
    <w:p w:rsidRPr="005C6657" w:rsidR="005C6657" w:rsidP="005C6657" w:rsidRDefault="005C6657" w14:paraId="179FBDBD" w14:textId="77777777">
      <w:pPr>
        <w:pStyle w:val="ListParagraph"/>
        <w:spacing w:after="120" w:line="240" w:lineRule="auto"/>
        <w:ind w:left="1418" w:right="237"/>
        <w:contextualSpacing w:val="0"/>
        <w:rPr>
          <w:rFonts w:ascii="Arial" w:hAnsi="Arial" w:cs="Arial"/>
          <w:sz w:val="28"/>
          <w:szCs w:val="24"/>
        </w:rPr>
      </w:pPr>
      <w:r w:rsidRPr="005C6657">
        <w:rPr>
          <w:rFonts w:ascii="Arial" w:hAnsi="Arial" w:cs="Arial"/>
          <w:sz w:val="24"/>
        </w:rPr>
        <w:lastRenderedPageBreak/>
        <w:t>Where it appears that the requirements of a PSRB may inhibit the ability to make reasonable adjustments</w:t>
      </w:r>
      <w:r>
        <w:rPr>
          <w:rFonts w:ascii="Arial" w:hAnsi="Arial" w:cs="Arial"/>
          <w:sz w:val="24"/>
        </w:rPr>
        <w:t>,</w:t>
      </w:r>
      <w:r w:rsidRPr="005C6657">
        <w:rPr>
          <w:rFonts w:ascii="Arial" w:hAnsi="Arial" w:cs="Arial"/>
          <w:sz w:val="24"/>
        </w:rPr>
        <w:t xml:space="preserve"> it is advisable to seek clarification</w:t>
      </w:r>
      <w:r>
        <w:rPr>
          <w:rFonts w:ascii="Arial" w:hAnsi="Arial" w:cs="Arial"/>
          <w:sz w:val="24"/>
        </w:rPr>
        <w:t xml:space="preserve"> from the PSRB</w:t>
      </w:r>
      <w:r w:rsidRPr="005C6657">
        <w:rPr>
          <w:rFonts w:ascii="Arial" w:hAnsi="Arial" w:cs="Arial"/>
          <w:sz w:val="24"/>
        </w:rPr>
        <w:t xml:space="preserve"> to see if it is possible to identify an acceptable alternative.</w:t>
      </w:r>
    </w:p>
    <w:p w:rsidR="00893840" w:rsidP="00D422AF" w:rsidRDefault="00893840" w14:paraId="663EC77C" w14:textId="77777777">
      <w:pPr>
        <w:spacing w:after="120" w:line="240" w:lineRule="auto"/>
        <w:ind w:right="237"/>
        <w:rPr>
          <w:sz w:val="24"/>
          <w:szCs w:val="24"/>
        </w:rPr>
      </w:pPr>
    </w:p>
    <w:p w:rsidR="00893840" w:rsidP="00D422AF" w:rsidRDefault="00893840" w14:paraId="1177D95C" w14:textId="77777777">
      <w:pPr>
        <w:spacing w:after="120" w:line="240" w:lineRule="auto"/>
        <w:ind w:right="237"/>
        <w:rPr>
          <w:sz w:val="24"/>
          <w:szCs w:val="24"/>
        </w:rPr>
      </w:pPr>
    </w:p>
    <w:sectPr w:rsidR="00893840" w:rsidSect="00D422AF">
      <w:headerReference w:type="default" r:id="rId22"/>
      <w:footerReference w:type="default" r:id="rId23"/>
      <w:pgSz w:w="11906" w:h="16838" w:orient="portrait"/>
      <w:pgMar w:top="2702"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230" w:rsidP="002750C2" w:rsidRDefault="00BE5230" w14:paraId="256BE28A" w14:textId="77777777">
      <w:pPr>
        <w:spacing w:after="0" w:line="240" w:lineRule="auto"/>
      </w:pPr>
      <w:r>
        <w:separator/>
      </w:r>
    </w:p>
  </w:endnote>
  <w:endnote w:type="continuationSeparator" w:id="0">
    <w:p w:rsidR="00BE5230" w:rsidP="002750C2" w:rsidRDefault="00BE5230" w14:paraId="14E4AB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F7E36" w:rsidRDefault="002750C2" w14:paraId="37C63CF8" w14:textId="77777777">
    <w:pPr>
      <w:pStyle w:val="Header"/>
      <w:jc w:val="left"/>
      <w:rPr>
        <w:rStyle w:val="eop"/>
        <w:sz w:val="20"/>
        <w:szCs w:val="20"/>
      </w:rPr>
    </w:pPr>
    <w:r>
      <w:rPr>
        <w:rStyle w:val="normaltextrun"/>
        <w:sz w:val="20"/>
        <w:szCs w:val="20"/>
      </w:rPr>
      <w:t>Author: QACO</w:t>
    </w:r>
    <w:r>
      <w:rPr>
        <w:rStyle w:val="eop"/>
        <w:sz w:val="20"/>
        <w:szCs w:val="20"/>
      </w:rPr>
      <w:t> </w:t>
    </w:r>
  </w:p>
  <w:p w:rsidR="008B3878" w:rsidP="002F7E36" w:rsidRDefault="008B3878" w14:paraId="2520AF0D" w14:textId="7BA71C9C">
    <w:pPr>
      <w:pStyle w:val="Header"/>
      <w:jc w:val="left"/>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452987">
      <w:rPr>
        <w:rStyle w:val="eop"/>
        <w:sz w:val="20"/>
        <w:szCs w:val="20"/>
      </w:rPr>
      <w:t>2</w:t>
    </w:r>
    <w:r>
      <w:rPr>
        <w:rStyle w:val="eop"/>
        <w:sz w:val="20"/>
        <w:szCs w:val="20"/>
      </w:rPr>
      <w:t>/2</w:t>
    </w:r>
    <w:r w:rsidR="00452987">
      <w:rPr>
        <w:rStyle w:val="eop"/>
        <w:sz w:val="20"/>
        <w:szCs w:val="20"/>
      </w:rPr>
      <w:t>3</w:t>
    </w:r>
  </w:p>
  <w:p w:rsidR="002F7E36" w:rsidP="002F7E36" w:rsidRDefault="002750C2" w14:paraId="4B1DC657"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2F895D67" w:rsidRDefault="002750C2" w14:paraId="504EE60D" w14:textId="3D59F707">
    <w:pPr>
      <w:pStyle w:val="paragraph"/>
      <w:spacing w:before="0" w:beforeAutospacing="off" w:after="0" w:afterAutospacing="off"/>
      <w:jc w:val="left"/>
      <w:textAlignment w:val="baseline"/>
      <w:rPr>
        <w:rStyle w:val="normaltextrun"/>
        <w:rFonts w:ascii="Arial" w:hAnsi="Arial" w:cs="Arial"/>
        <w:sz w:val="20"/>
        <w:szCs w:val="20"/>
      </w:rPr>
    </w:pPr>
    <w:r w:rsidRPr="2F895D67" w:rsidR="2F895D67">
      <w:rPr>
        <w:rStyle w:val="normaltextrun"/>
        <w:rFonts w:ascii="Arial" w:hAnsi="Arial" w:cs="Arial"/>
        <w:sz w:val="20"/>
        <w:szCs w:val="20"/>
      </w:rPr>
      <w:t xml:space="preserve">Last Revised: </w:t>
    </w:r>
    <w:r w:rsidRPr="2F895D67" w:rsidR="2F895D67">
      <w:rPr>
        <w:rStyle w:val="normaltextrun"/>
        <w:rFonts w:ascii="Arial" w:hAnsi="Arial" w:cs="Arial"/>
        <w:sz w:val="20"/>
        <w:szCs w:val="20"/>
      </w:rPr>
      <w:t>November 2023</w:t>
    </w:r>
  </w:p>
  <w:p w:rsidR="002750C2" w:rsidP="2F895D67" w:rsidRDefault="002750C2" w14:paraId="7DDC5085" w14:textId="4848E6D0">
    <w:pPr>
      <w:pStyle w:val="paragraph"/>
      <w:spacing w:before="0" w:beforeAutospacing="off" w:after="0" w:afterAutospacing="off"/>
      <w:jc w:val="left"/>
      <w:textAlignment w:val="baseline"/>
      <w:rPr>
        <w:rStyle w:val="normaltextrun"/>
        <w:rFonts w:ascii="Arial" w:hAnsi="Arial" w:cs="Arial"/>
        <w:sz w:val="20"/>
        <w:szCs w:val="20"/>
        <w:lang w:val="en-US"/>
      </w:rPr>
    </w:pPr>
    <w:r w:rsidRPr="2F895D67" w:rsidR="2F895D67">
      <w:rPr>
        <w:rStyle w:val="normaltextrun"/>
        <w:rFonts w:ascii="Arial" w:hAnsi="Arial" w:cs="Arial"/>
        <w:sz w:val="20"/>
        <w:szCs w:val="20"/>
      </w:rPr>
      <w:t>Next review: September 202</w:t>
    </w:r>
    <w:r w:rsidRPr="2F895D67" w:rsidR="2F895D67">
      <w:rPr>
        <w:rStyle w:val="normaltextrun"/>
        <w:rFonts w:ascii="Arial" w:hAnsi="Arial" w:cs="Arial"/>
        <w:sz w:val="20"/>
        <w:szCs w:val="20"/>
      </w:rPr>
      <w:t>4</w:t>
    </w:r>
  </w:p>
  <w:p w:rsidR="002750C2" w:rsidP="002750C2" w:rsidRDefault="002750C2" w14:paraId="0809E951"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A322E6">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A322E6">
      <w:rPr>
        <w:rStyle w:val="PageNumber"/>
        <w:noProof/>
        <w:sz w:val="20"/>
      </w:rPr>
      <w:t>5</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230" w:rsidP="002750C2" w:rsidRDefault="00BE5230" w14:paraId="3A7C66C4" w14:textId="77777777">
      <w:pPr>
        <w:spacing w:after="0" w:line="240" w:lineRule="auto"/>
      </w:pPr>
      <w:r>
        <w:separator/>
      </w:r>
    </w:p>
  </w:footnote>
  <w:footnote w:type="continuationSeparator" w:id="0">
    <w:p w:rsidR="00BE5230" w:rsidP="002750C2" w:rsidRDefault="00BE5230" w14:paraId="19B5CF9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847D7A" w14:paraId="19302F8F" w14:textId="243F472C">
    <w:pPr>
      <w:pStyle w:val="Header"/>
      <w:jc w:val="right"/>
    </w:pPr>
    <w:r>
      <w:rPr>
        <w:noProof/>
      </w:rPr>
      <w:drawing>
        <wp:anchor distT="0" distB="0" distL="114300" distR="114300" simplePos="0" relativeHeight="251658240" behindDoc="0" locked="0" layoutInCell="1" allowOverlap="1" wp14:anchorId="2A9A3867" wp14:editId="4D690676">
          <wp:simplePos x="0" y="0"/>
          <wp:positionH relativeFrom="column">
            <wp:posOffset>-916305</wp:posOffset>
          </wp:positionH>
          <wp:positionV relativeFrom="paragraph">
            <wp:posOffset>-448945</wp:posOffset>
          </wp:positionV>
          <wp:extent cx="7560000" cy="111817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689D4B6D" w14:textId="6603C05D">
    <w:pPr>
      <w:pStyle w:val="Header"/>
      <w:ind w:right="284"/>
      <w:jc w:val="center"/>
      <w:rPr>
        <w:b/>
        <w:sz w:val="24"/>
      </w:rPr>
    </w:pPr>
    <w:r>
      <w:rPr>
        <w:b/>
        <w:sz w:val="24"/>
      </w:rPr>
      <w:t xml:space="preserve">                </w:t>
    </w:r>
    <w:r w:rsidRPr="002750C2" w:rsidR="002750C2">
      <w:rPr>
        <w:b/>
        <w:sz w:val="24"/>
      </w:rPr>
      <w:t xml:space="preserve">Code of Practice for Quality Assurance of </w:t>
    </w:r>
    <w:r w:rsidR="00EE7692">
      <w:rPr>
        <w:b/>
        <w:sz w:val="24"/>
      </w:rPr>
      <w:t xml:space="preserve">Taught </w:t>
    </w:r>
    <w:r w:rsidRPr="002750C2" w:rsidR="002750C2">
      <w:rPr>
        <w:b/>
        <w:sz w:val="24"/>
      </w:rPr>
      <w:t>Courses of Study</w:t>
    </w:r>
  </w:p>
  <w:p w:rsidR="002750C2" w:rsidRDefault="002750C2" w14:paraId="756383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6E8"/>
    <w:multiLevelType w:val="hybridMultilevel"/>
    <w:tmpl w:val="11A41ACA"/>
    <w:lvl w:ilvl="0" w:tplc="A58457D4">
      <w:start w:val="1"/>
      <w:numFmt w:val="bullet"/>
      <w:lvlText w:val=""/>
      <w:lvlJc w:val="left"/>
      <w:pPr>
        <w:ind w:left="1440" w:hanging="360"/>
      </w:pPr>
      <w:rPr>
        <w:rFonts w:hint="default" w:ascii="Symbol" w:hAnsi="Symbol"/>
      </w:rPr>
    </w:lvl>
    <w:lvl w:ilvl="1" w:tplc="A58457D4">
      <w:start w:val="1"/>
      <w:numFmt w:val="bullet"/>
      <w:lvlText w:val=""/>
      <w:lvlJc w:val="left"/>
      <w:pPr>
        <w:ind w:left="2160" w:hanging="360"/>
      </w:pPr>
      <w:rPr>
        <w:rFonts w:hint="default" w:ascii="Symbol" w:hAnsi="Symbol"/>
      </w:rPr>
    </w:lvl>
    <w:lvl w:ilvl="2" w:tplc="08090005">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5699D"/>
    <w:multiLevelType w:val="hybridMultilevel"/>
    <w:tmpl w:val="1062D290"/>
    <w:lvl w:ilvl="0" w:tplc="08090001">
      <w:start w:val="1"/>
      <w:numFmt w:val="bullet"/>
      <w:lvlText w:val=""/>
      <w:lvlJc w:val="left"/>
      <w:pPr>
        <w:ind w:left="720" w:hanging="360"/>
      </w:pPr>
      <w:rPr>
        <w:rFonts w:hint="default" w:ascii="Symbol" w:hAnsi="Symbol"/>
      </w:rPr>
    </w:lvl>
    <w:lvl w:ilvl="1" w:tplc="08090005">
      <w:start w:val="1"/>
      <w:numFmt w:val="bullet"/>
      <w:lvlText w:val=""/>
      <w:lvlJc w:val="left"/>
      <w:pPr>
        <w:ind w:left="1440" w:hanging="360"/>
      </w:pPr>
      <w:rPr>
        <w:rFonts w:hint="default" w:ascii="Wingdings" w:hAnsi="Wingdings"/>
      </w:rPr>
    </w:lvl>
    <w:lvl w:ilvl="2" w:tplc="08090005">
      <w:start w:val="1"/>
      <w:numFmt w:val="bullet"/>
      <w:lvlText w:val=""/>
      <w:lvlJc w:val="left"/>
      <w:pPr>
        <w:ind w:left="2160" w:hanging="360"/>
      </w:pPr>
      <w:rPr>
        <w:rFonts w:hint="default" w:ascii="Wingdings" w:hAnsi="Wingdings"/>
      </w:rPr>
    </w:lvl>
    <w:lvl w:ilvl="3" w:tplc="08090003">
      <w:start w:val="1"/>
      <w:numFmt w:val="bullet"/>
      <w:lvlText w:val="o"/>
      <w:lvlJc w:val="left"/>
      <w:pPr>
        <w:ind w:left="2880" w:hanging="360"/>
      </w:pPr>
      <w:rPr>
        <w:rFonts w:hint="default" w:ascii="Courier New" w:hAnsi="Courier New" w:cs="Courier New"/>
      </w:rPr>
    </w:lvl>
    <w:lvl w:ilvl="4" w:tplc="08090003">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64625957"/>
    <w:multiLevelType w:val="hybridMultilevel"/>
    <w:tmpl w:val="06F679AC"/>
    <w:lvl w:ilvl="0" w:tplc="1B6A0CF0">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7417EDE"/>
    <w:multiLevelType w:val="hybridMultilevel"/>
    <w:tmpl w:val="B1A216E6"/>
    <w:lvl w:ilvl="0" w:tplc="0809000F">
      <w:start w:val="1"/>
      <w:numFmt w:val="decimal"/>
      <w:lvlText w:val="%1."/>
      <w:lvlJc w:val="left"/>
      <w:pPr>
        <w:ind w:left="720" w:hanging="360"/>
      </w:pPr>
      <w:rPr>
        <w:rFonts w:hint="default"/>
      </w:rPr>
    </w:lvl>
    <w:lvl w:ilvl="1" w:tplc="A58457D4">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137EA3"/>
    <w:multiLevelType w:val="hybridMultilevel"/>
    <w:tmpl w:val="8ECEDCE2"/>
    <w:lvl w:ilvl="0" w:tplc="08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hint="default" w:ascii="Wingdings" w:hAnsi="Wingding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1616450601">
    <w:abstractNumId w:val="3"/>
  </w:num>
  <w:num w:numId="2" w16cid:durableId="1301424858">
    <w:abstractNumId w:val="7"/>
  </w:num>
  <w:num w:numId="3" w16cid:durableId="919144992">
    <w:abstractNumId w:val="6"/>
  </w:num>
  <w:num w:numId="4" w16cid:durableId="1821458539">
    <w:abstractNumId w:val="4"/>
  </w:num>
  <w:num w:numId="5" w16cid:durableId="20135160">
    <w:abstractNumId w:val="5"/>
  </w:num>
  <w:num w:numId="6" w16cid:durableId="1809930963">
    <w:abstractNumId w:val="0"/>
  </w:num>
  <w:num w:numId="7" w16cid:durableId="1630863895">
    <w:abstractNumId w:val="2"/>
  </w:num>
  <w:num w:numId="8" w16cid:durableId="434984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B6070"/>
    <w:rsid w:val="00146B68"/>
    <w:rsid w:val="00183B0F"/>
    <w:rsid w:val="002750C2"/>
    <w:rsid w:val="002E2660"/>
    <w:rsid w:val="002F7E36"/>
    <w:rsid w:val="00447B06"/>
    <w:rsid w:val="00452987"/>
    <w:rsid w:val="0049179A"/>
    <w:rsid w:val="00516BB0"/>
    <w:rsid w:val="005C6657"/>
    <w:rsid w:val="0069079A"/>
    <w:rsid w:val="006F60A4"/>
    <w:rsid w:val="00767BDC"/>
    <w:rsid w:val="00847D7A"/>
    <w:rsid w:val="00893840"/>
    <w:rsid w:val="008B3878"/>
    <w:rsid w:val="009A2853"/>
    <w:rsid w:val="00A322E6"/>
    <w:rsid w:val="00BE5230"/>
    <w:rsid w:val="00C64F5C"/>
    <w:rsid w:val="00D422AF"/>
    <w:rsid w:val="00E14E33"/>
    <w:rsid w:val="00EE7692"/>
    <w:rsid w:val="00F25A3B"/>
    <w:rsid w:val="2F895D67"/>
    <w:rsid w:val="5B9E3A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A2801"/>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A322E6"/>
    <w:pPr>
      <w:keepNext/>
      <w:keepLines/>
      <w:numPr>
        <w:numId w:val="1"/>
      </w:numPr>
      <w:tabs>
        <w:tab w:val="left" w:pos="567"/>
      </w:tabs>
      <w:spacing w:after="120" w:line="240" w:lineRule="auto"/>
      <w:ind w:left="567" w:right="0" w:hanging="567"/>
      <w:jc w:val="left"/>
      <w:outlineLvl w:val="0"/>
    </w:pPr>
    <w:rPr>
      <w:rFonts w:eastAsiaTheme="majorEastAsia" w:cstheme="majorBidi"/>
      <w:b/>
      <w:sz w:val="24"/>
      <w:szCs w:val="32"/>
    </w:rPr>
  </w:style>
  <w:style w:type="paragraph" w:styleId="Heading3">
    <w:name w:val="heading 3"/>
    <w:basedOn w:val="Normal"/>
    <w:next w:val="Normal"/>
    <w:link w:val="Heading3Char"/>
    <w:uiPriority w:val="9"/>
    <w:unhideWhenUsed/>
    <w:qFormat/>
    <w:rsid w:val="00893840"/>
    <w:pPr>
      <w:keepNext/>
      <w:keepLines/>
      <w:spacing w:before="40" w:after="0" w:line="259" w:lineRule="auto"/>
      <w:ind w:left="0" w:right="0" w:firstLine="0"/>
      <w:jc w:val="left"/>
      <w:outlineLvl w:val="2"/>
    </w:pPr>
    <w:rPr>
      <w:rFonts w:asciiTheme="majorHAnsi" w:hAnsiTheme="majorHAnsi" w:eastAsiaTheme="majorEastAsia" w:cstheme="majorBidi"/>
      <w:color w:val="1F4D78" w:themeColor="accent1" w:themeShade="7F"/>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322E6"/>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3Char" w:customStyle="1">
    <w:name w:val="Heading 3 Char"/>
    <w:basedOn w:val="DefaultParagraphFont"/>
    <w:link w:val="Heading3"/>
    <w:uiPriority w:val="9"/>
    <w:rsid w:val="00893840"/>
    <w:rPr>
      <w:rFonts w:asciiTheme="majorHAnsi" w:hAnsiTheme="majorHAnsi" w:eastAsiaTheme="majorEastAsia" w:cstheme="majorBidi"/>
      <w:color w:val="1F4D78" w:themeColor="accent1" w:themeShade="7F"/>
      <w:sz w:val="24"/>
      <w:szCs w:val="24"/>
    </w:rPr>
  </w:style>
  <w:style w:type="paragraph" w:styleId="ListParagraph">
    <w:name w:val="List Paragraph"/>
    <w:basedOn w:val="Normal"/>
    <w:uiPriority w:val="34"/>
    <w:qFormat/>
    <w:rsid w:val="00893840"/>
    <w:pPr>
      <w:spacing w:after="160" w:line="259" w:lineRule="auto"/>
      <w:ind w:left="720" w:right="0" w:firstLine="0"/>
      <w:contextualSpacing/>
      <w:jc w:val="left"/>
    </w:pPr>
    <w:rPr>
      <w:rFonts w:asciiTheme="minorHAnsi" w:hAnsiTheme="minorHAnsi" w:eastAsiaTheme="minorHAnsi" w:cstheme="minorBidi"/>
      <w:color w:val="auto"/>
      <w:lang w:eastAsia="en-US"/>
    </w:rPr>
  </w:style>
  <w:style w:type="paragraph" w:styleId="FootnoteText">
    <w:name w:val="footnote text"/>
    <w:basedOn w:val="Normal"/>
    <w:link w:val="FootnoteTextChar"/>
    <w:uiPriority w:val="99"/>
    <w:unhideWhenUsed/>
    <w:rsid w:val="00893840"/>
    <w:pPr>
      <w:spacing w:after="0" w:line="240" w:lineRule="auto"/>
      <w:ind w:left="0" w:right="0" w:firstLine="0"/>
      <w:jc w:val="left"/>
    </w:pPr>
    <w:rPr>
      <w:rFonts w:asciiTheme="minorHAnsi" w:hAnsiTheme="minorHAnsi" w:eastAsiaTheme="minorHAnsi" w:cstheme="minorBidi"/>
      <w:color w:val="auto"/>
      <w:sz w:val="20"/>
      <w:szCs w:val="20"/>
      <w:lang w:eastAsia="en-US"/>
    </w:rPr>
  </w:style>
  <w:style w:type="character" w:styleId="FootnoteTextChar" w:customStyle="1">
    <w:name w:val="Footnote Text Char"/>
    <w:basedOn w:val="DefaultParagraphFont"/>
    <w:link w:val="FootnoteText"/>
    <w:uiPriority w:val="99"/>
    <w:rsid w:val="00893840"/>
    <w:rPr>
      <w:sz w:val="20"/>
      <w:szCs w:val="20"/>
    </w:rPr>
  </w:style>
  <w:style w:type="character" w:styleId="FootnoteReference">
    <w:name w:val="footnote reference"/>
    <w:basedOn w:val="DefaultParagraphFont"/>
    <w:uiPriority w:val="99"/>
    <w:semiHidden/>
    <w:unhideWhenUsed/>
    <w:rsid w:val="00893840"/>
    <w:rPr>
      <w:vertAlign w:val="superscript"/>
    </w:rPr>
  </w:style>
  <w:style w:type="paragraph" w:styleId="NoSpacing">
    <w:name w:val="No Spacing"/>
    <w:link w:val="NoSpacingChar"/>
    <w:uiPriority w:val="1"/>
    <w:qFormat/>
    <w:rsid w:val="00893840"/>
    <w:pPr>
      <w:spacing w:after="0" w:line="240" w:lineRule="auto"/>
    </w:pPr>
  </w:style>
  <w:style w:type="character" w:styleId="NoSpacingChar" w:customStyle="1">
    <w:name w:val="No Spacing Char"/>
    <w:basedOn w:val="DefaultParagraphFont"/>
    <w:link w:val="NoSpacing"/>
    <w:uiPriority w:val="1"/>
    <w:rsid w:val="00893840"/>
  </w:style>
  <w:style w:type="character" w:styleId="FollowedHyperlink">
    <w:name w:val="FollowedHyperlink"/>
    <w:basedOn w:val="DefaultParagraphFont"/>
    <w:uiPriority w:val="99"/>
    <w:semiHidden/>
    <w:unhideWhenUsed/>
    <w:rsid w:val="00F25A3B"/>
    <w:rPr>
      <w:color w:val="954F72" w:themeColor="followedHyperlink"/>
      <w:u w:val="single"/>
    </w:rPr>
  </w:style>
  <w:style w:type="character" w:styleId="UnresolvedMention">
    <w:name w:val="Unresolved Mention"/>
    <w:basedOn w:val="DefaultParagraphFont"/>
    <w:uiPriority w:val="99"/>
    <w:semiHidden/>
    <w:unhideWhenUsed/>
    <w:rsid w:val="009A2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kent.ac.uk/studentsupport/accessibility/inclusive-practice.html" TargetMode="External" Id="rId18" /><Relationship Type="http://schemas.openxmlformats.org/officeDocument/2006/relationships/customXml" Target="../customXml/item3.xml" Id="rId3" /><Relationship Type="http://schemas.openxmlformats.org/officeDocument/2006/relationships/hyperlink" Target="https://www.kent.ac.uk/teaching/assessment/?tab=learning-outcomes" TargetMode="External" Id="rId21" /><Relationship Type="http://schemas.openxmlformats.org/officeDocument/2006/relationships/webSettings" Target="webSettings.xml" Id="rId7" /><Relationship Type="http://schemas.openxmlformats.org/officeDocument/2006/relationships/hyperlink" Target="https://www.kent.ac.uk/studentsupport/accessibility/inclusive-practice.html"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kent.ac.uk/elearning/files/kentplayer/kentplayer-subfolders.pdf" TargetMode="External" Id="rId16" /><Relationship Type="http://schemas.openxmlformats.org/officeDocument/2006/relationships/hyperlink" Target="https://www.kent.ac.uk/teaching/assessment/"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kent.ac.uk/accessibility"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www.kent.ac.uk/elearning/kentplayer/" TargetMode="External" Id="rId15" /><Relationship Type="http://schemas.openxmlformats.org/officeDocument/2006/relationships/footer" Target="footer1.xml" Id="rId23" /><Relationship Type="http://schemas.openxmlformats.org/officeDocument/2006/relationships/hyperlink" Target="https://www.kent.ac.uk/studentsupport/accessibility/inclusive-practice.html" TargetMode="External" Id="rId10" /><Relationship Type="http://schemas.openxmlformats.org/officeDocument/2006/relationships/hyperlink" Target="https://www.kent.ac.uk/studentsupport/accessibility/lecturesandseminars.html"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kent.ac.uk/studentsupport/accessibility/inclusive-practice.html" TargetMode="External" Id="rId14" /><Relationship Type="http://schemas.openxmlformats.org/officeDocument/2006/relationships/header" Target="header1.xml" Id="rId22" /><Relationship Type="http://schemas.openxmlformats.org/officeDocument/2006/relationships/hyperlink" Target="https://www.kent.ac.uk/guides/reading-list-support-for-academic-staff/reading-list-guides-web-instructions" TargetMode="External" Id="R6be8de54bd2d4ff8" /><Relationship Type="http://schemas.openxmlformats.org/officeDocument/2006/relationships/hyperlink" Target="https://www.kent.ac.uk/guides/access-alternative-formats" TargetMode="External" Id="R81b0baa52b64443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4B3E3-B74C-4285-B423-AFB2779F538D}">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B64C6BFC-0FE1-4C8D-ADCA-F4E2E093D4ED}">
  <ds:schemaRefs>
    <ds:schemaRef ds:uri="http://schemas.microsoft.com/sharepoint/v3/contenttype/forms"/>
  </ds:schemaRefs>
</ds:datastoreItem>
</file>

<file path=customXml/itemProps3.xml><?xml version="1.0" encoding="utf-8"?>
<ds:datastoreItem xmlns:ds="http://schemas.openxmlformats.org/officeDocument/2006/customXml" ds:itemID="{F9919B6F-85D8-450C-9B2A-BEAF52487B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16</cp:revision>
  <dcterms:created xsi:type="dcterms:W3CDTF">2021-08-05T13:33:00Z</dcterms:created>
  <dcterms:modified xsi:type="dcterms:W3CDTF">2023-11-09T15:46:14Z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