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171B3" w14:textId="2FC3BC74" w:rsidR="00146FE1" w:rsidRPr="00302082" w:rsidRDefault="00146FE1" w:rsidP="00146FE1">
      <w:pPr>
        <w:spacing w:line="240" w:lineRule="auto"/>
        <w:rPr>
          <w:rFonts w:ascii="Arial" w:hAnsi="Arial" w:cs="Arial"/>
          <w:b/>
          <w:i/>
        </w:rPr>
      </w:pPr>
    </w:p>
    <w:p w14:paraId="73847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B723A9B" w14:textId="4DAD2AEB" w:rsidR="0083074C" w:rsidRPr="00EE1A6E" w:rsidRDefault="00EE1A6E" w:rsidP="00696FF5">
      <w:pPr>
        <w:spacing w:after="120" w:line="240" w:lineRule="auto"/>
        <w:ind w:left="567" w:right="260"/>
        <w:jc w:val="both"/>
        <w:rPr>
          <w:rFonts w:ascii="Arial" w:hAnsi="Arial" w:cs="Arial"/>
          <w:iCs/>
        </w:rPr>
      </w:pPr>
      <w:r w:rsidRPr="00EE1A6E">
        <w:rPr>
          <w:rFonts w:ascii="Arial" w:hAnsi="Arial" w:cs="Arial"/>
        </w:rPr>
        <w:t xml:space="preserve">PSCI6370 </w:t>
      </w:r>
      <w:r w:rsidR="00C57028" w:rsidRPr="00EE1A6E">
        <w:rPr>
          <w:rFonts w:ascii="Arial" w:hAnsi="Arial" w:cs="Arial"/>
          <w:iCs/>
        </w:rPr>
        <w:t>(</w:t>
      </w:r>
      <w:r w:rsidRPr="00EE1A6E">
        <w:rPr>
          <w:rFonts w:ascii="Arial" w:hAnsi="Arial" w:cs="Arial"/>
          <w:color w:val="000000"/>
        </w:rPr>
        <w:t>PS637</w:t>
      </w:r>
      <w:r w:rsidR="00D72CF0">
        <w:rPr>
          <w:rFonts w:ascii="Arial" w:hAnsi="Arial" w:cs="Arial"/>
          <w:iCs/>
        </w:rPr>
        <w:t xml:space="preserve">) </w:t>
      </w:r>
      <w:bookmarkStart w:id="0" w:name="_GoBack"/>
      <w:bookmarkEnd w:id="0"/>
      <w:r w:rsidRPr="00EE1A6E">
        <w:rPr>
          <w:rFonts w:ascii="Arial" w:hAnsi="Arial" w:cs="Arial"/>
          <w:color w:val="000000"/>
        </w:rPr>
        <w:t>DNA Analysis &amp; Interpretation</w:t>
      </w:r>
      <w:r w:rsidR="0083074C" w:rsidRPr="00EE1A6E">
        <w:rPr>
          <w:rFonts w:ascii="Arial" w:hAnsi="Arial" w:cs="Arial"/>
          <w:iCs/>
        </w:rPr>
        <w:t xml:space="preserve"> </w:t>
      </w:r>
    </w:p>
    <w:p w14:paraId="283F2626" w14:textId="77777777" w:rsidR="009A2D37" w:rsidRPr="00302082" w:rsidRDefault="009A2D37" w:rsidP="00302082">
      <w:pPr>
        <w:spacing w:after="120" w:line="240" w:lineRule="auto"/>
        <w:ind w:left="426" w:right="260"/>
        <w:jc w:val="both"/>
        <w:rPr>
          <w:rFonts w:ascii="Arial" w:hAnsi="Arial" w:cs="Arial"/>
        </w:rPr>
      </w:pPr>
    </w:p>
    <w:p w14:paraId="19A751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ED8EB6" w14:textId="77777777" w:rsidR="009A2D37" w:rsidRPr="0034243F" w:rsidRDefault="0034243F" w:rsidP="00696FF5">
      <w:pPr>
        <w:spacing w:after="120" w:line="240" w:lineRule="auto"/>
        <w:ind w:left="567" w:right="260"/>
        <w:rPr>
          <w:rFonts w:ascii="Arial" w:hAnsi="Arial" w:cs="Arial"/>
          <w:iCs/>
        </w:rPr>
      </w:pPr>
      <w:r w:rsidRPr="0034243F">
        <w:rPr>
          <w:rFonts w:ascii="Arial" w:hAnsi="Arial" w:cs="Arial"/>
          <w:iCs/>
        </w:rPr>
        <w:t>Physical Sciences</w:t>
      </w:r>
    </w:p>
    <w:p w14:paraId="2E88AA58" w14:textId="77777777" w:rsidR="009A2D37" w:rsidRPr="00302082" w:rsidRDefault="009A2D37" w:rsidP="00302082">
      <w:pPr>
        <w:spacing w:after="120" w:line="240" w:lineRule="auto"/>
        <w:ind w:left="426" w:right="260"/>
        <w:rPr>
          <w:rFonts w:ascii="Arial" w:hAnsi="Arial" w:cs="Arial"/>
          <w:i/>
          <w:iCs/>
        </w:rPr>
      </w:pPr>
    </w:p>
    <w:p w14:paraId="4BFBBD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AA2E30" w14:textId="77777777" w:rsidR="009A2D37" w:rsidRPr="0034243F" w:rsidRDefault="0034243F" w:rsidP="00696FF5">
      <w:pPr>
        <w:spacing w:after="120" w:line="240" w:lineRule="auto"/>
        <w:ind w:left="567" w:right="260"/>
        <w:jc w:val="both"/>
        <w:rPr>
          <w:rFonts w:ascii="Arial" w:hAnsi="Arial" w:cs="Arial"/>
        </w:rPr>
      </w:pPr>
      <w:r w:rsidRPr="0034243F">
        <w:rPr>
          <w:rFonts w:ascii="Arial" w:hAnsi="Arial" w:cs="Arial"/>
        </w:rPr>
        <w:t>Level 6</w:t>
      </w:r>
    </w:p>
    <w:p w14:paraId="02BAA1F6" w14:textId="77777777" w:rsidR="009A2D37" w:rsidRPr="00302082" w:rsidRDefault="009A2D37" w:rsidP="00302082">
      <w:pPr>
        <w:spacing w:after="120" w:line="240" w:lineRule="auto"/>
        <w:ind w:left="426" w:right="260"/>
        <w:rPr>
          <w:rFonts w:ascii="Arial" w:hAnsi="Arial" w:cs="Arial"/>
          <w:i/>
          <w:iCs/>
        </w:rPr>
      </w:pPr>
    </w:p>
    <w:p w14:paraId="4CE408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27D253" w14:textId="77777777" w:rsidR="009A2D37" w:rsidRPr="0034243F" w:rsidRDefault="009A2D37" w:rsidP="00696FF5">
      <w:pPr>
        <w:pStyle w:val="NormalWeb"/>
        <w:spacing w:before="0" w:beforeAutospacing="0" w:after="120" w:afterAutospacing="0"/>
        <w:ind w:left="567" w:right="260"/>
        <w:rPr>
          <w:rFonts w:ascii="Arial" w:hAnsi="Arial" w:cs="Arial"/>
          <w:sz w:val="22"/>
          <w:szCs w:val="22"/>
        </w:rPr>
      </w:pPr>
      <w:r w:rsidRPr="0034243F">
        <w:rPr>
          <w:rFonts w:ascii="Arial" w:hAnsi="Arial" w:cs="Arial"/>
          <w:sz w:val="22"/>
          <w:szCs w:val="22"/>
        </w:rPr>
        <w:t>15 credits (7.5 ECTS)</w:t>
      </w:r>
    </w:p>
    <w:p w14:paraId="09BC9C3D" w14:textId="77777777" w:rsidR="009A2D37" w:rsidRPr="00302082" w:rsidRDefault="009A2D37" w:rsidP="00302082">
      <w:pPr>
        <w:spacing w:after="120" w:line="240" w:lineRule="auto"/>
        <w:ind w:left="426" w:right="260"/>
        <w:rPr>
          <w:rFonts w:ascii="Arial" w:hAnsi="Arial" w:cs="Arial"/>
          <w:i/>
        </w:rPr>
      </w:pPr>
    </w:p>
    <w:p w14:paraId="23C27A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EAC546" w14:textId="77777777" w:rsidR="009A2D37" w:rsidRPr="0034243F" w:rsidRDefault="0034243F" w:rsidP="00696FF5">
      <w:pPr>
        <w:spacing w:after="120" w:line="240" w:lineRule="auto"/>
        <w:ind w:left="567" w:right="260"/>
        <w:jc w:val="both"/>
        <w:rPr>
          <w:rFonts w:ascii="Arial" w:hAnsi="Arial" w:cs="Arial"/>
          <w:iCs/>
        </w:rPr>
      </w:pPr>
      <w:r w:rsidRPr="0034243F">
        <w:rPr>
          <w:rFonts w:ascii="Arial" w:hAnsi="Arial" w:cs="Arial"/>
          <w:iCs/>
        </w:rPr>
        <w:t xml:space="preserve">Autumn and </w:t>
      </w:r>
      <w:proofErr w:type="gramStart"/>
      <w:r w:rsidRPr="0034243F">
        <w:rPr>
          <w:rFonts w:ascii="Arial" w:hAnsi="Arial" w:cs="Arial"/>
          <w:iCs/>
        </w:rPr>
        <w:t>Spring</w:t>
      </w:r>
      <w:proofErr w:type="gramEnd"/>
    </w:p>
    <w:p w14:paraId="279F05DE" w14:textId="77777777" w:rsidR="009A2D37" w:rsidRPr="00302082" w:rsidRDefault="009A2D37" w:rsidP="00302082">
      <w:pPr>
        <w:spacing w:after="120" w:line="240" w:lineRule="auto"/>
        <w:ind w:left="426" w:right="260"/>
        <w:rPr>
          <w:rFonts w:ascii="Arial" w:hAnsi="Arial" w:cs="Arial"/>
          <w:i/>
          <w:iCs/>
        </w:rPr>
      </w:pPr>
    </w:p>
    <w:p w14:paraId="1AB0DD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39FE9B" w14:textId="77777777" w:rsidR="009A2D37" w:rsidRPr="0034243F" w:rsidRDefault="0034243F" w:rsidP="00696FF5">
      <w:pPr>
        <w:spacing w:after="120" w:line="240" w:lineRule="auto"/>
        <w:ind w:left="567" w:right="260"/>
        <w:rPr>
          <w:rFonts w:ascii="Arial" w:hAnsi="Arial" w:cs="Arial"/>
          <w:iCs/>
        </w:rPr>
      </w:pPr>
      <w:r w:rsidRPr="0034243F">
        <w:rPr>
          <w:rFonts w:ascii="Arial" w:hAnsi="Arial" w:cs="Arial"/>
          <w:iCs/>
        </w:rPr>
        <w:t>Prerequisite:</w:t>
      </w:r>
    </w:p>
    <w:p w14:paraId="61E940D2" w14:textId="77777777" w:rsidR="0034243F" w:rsidRPr="0034243F" w:rsidRDefault="0034243F" w:rsidP="00696FF5">
      <w:pPr>
        <w:spacing w:after="120" w:line="240" w:lineRule="auto"/>
        <w:ind w:left="567" w:right="260"/>
        <w:rPr>
          <w:rFonts w:ascii="Arial" w:hAnsi="Arial" w:cs="Arial"/>
          <w:iCs/>
        </w:rPr>
      </w:pPr>
      <w:r w:rsidRPr="0034243F">
        <w:rPr>
          <w:rFonts w:ascii="Arial" w:hAnsi="Arial" w:cs="Arial"/>
          <w:color w:val="171717"/>
        </w:rPr>
        <w:t>CHEM3140 Introduction to Biochemistry and Drug Chemistry or equivalent</w:t>
      </w:r>
    </w:p>
    <w:p w14:paraId="4C68A130" w14:textId="77777777" w:rsidR="009A2D37" w:rsidRPr="00302082" w:rsidRDefault="009A2D37" w:rsidP="00302082">
      <w:pPr>
        <w:spacing w:after="120" w:line="240" w:lineRule="auto"/>
        <w:ind w:left="426" w:right="260"/>
        <w:rPr>
          <w:rFonts w:ascii="Arial" w:hAnsi="Arial" w:cs="Arial"/>
          <w:i/>
          <w:iCs/>
        </w:rPr>
      </w:pPr>
    </w:p>
    <w:p w14:paraId="64FC93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B9C9CF" w14:textId="77777777" w:rsidR="00AE08C0" w:rsidRDefault="00AE08C0" w:rsidP="00FA632E">
      <w:pPr>
        <w:spacing w:after="0" w:line="240" w:lineRule="auto"/>
        <w:ind w:right="260" w:firstLine="567"/>
        <w:rPr>
          <w:rFonts w:ascii="Arial" w:hAnsi="Arial" w:cs="Arial"/>
          <w:iCs/>
        </w:rPr>
      </w:pPr>
      <w:proofErr w:type="spellStart"/>
      <w:r>
        <w:rPr>
          <w:rFonts w:ascii="Arial" w:hAnsi="Arial" w:cs="Arial"/>
          <w:iCs/>
        </w:rPr>
        <w:t>MSci</w:t>
      </w:r>
      <w:proofErr w:type="spellEnd"/>
      <w:r>
        <w:rPr>
          <w:rFonts w:ascii="Arial" w:hAnsi="Arial" w:cs="Arial"/>
          <w:iCs/>
        </w:rPr>
        <w:t xml:space="preserve"> in Forensic Science</w:t>
      </w:r>
    </w:p>
    <w:p w14:paraId="1A7FD701" w14:textId="77777777" w:rsidR="00AE08C0" w:rsidRPr="00AE08C0" w:rsidRDefault="00AE08C0" w:rsidP="00AE08C0">
      <w:pPr>
        <w:spacing w:after="0" w:line="240" w:lineRule="auto"/>
        <w:ind w:left="567" w:right="260"/>
        <w:rPr>
          <w:rFonts w:ascii="Arial" w:hAnsi="Arial" w:cs="Arial"/>
          <w:iCs/>
        </w:rPr>
      </w:pPr>
      <w:proofErr w:type="spellStart"/>
      <w:r w:rsidRPr="00AE08C0">
        <w:rPr>
          <w:rFonts w:ascii="Arial" w:hAnsi="Arial" w:cs="Arial"/>
          <w:iCs/>
        </w:rPr>
        <w:t>MChem</w:t>
      </w:r>
      <w:proofErr w:type="spellEnd"/>
      <w:r w:rsidRPr="00AE08C0">
        <w:rPr>
          <w:rFonts w:ascii="Arial" w:hAnsi="Arial" w:cs="Arial"/>
          <w:iCs/>
        </w:rPr>
        <w:t xml:space="preserve"> in Chemistry</w:t>
      </w:r>
    </w:p>
    <w:p w14:paraId="3567FBCF" w14:textId="77777777" w:rsidR="00AE08C0" w:rsidRPr="00AE08C0" w:rsidRDefault="00AE08C0" w:rsidP="00AE08C0">
      <w:pPr>
        <w:spacing w:after="0" w:line="240" w:lineRule="auto"/>
        <w:ind w:left="567" w:right="260"/>
        <w:rPr>
          <w:rFonts w:ascii="Arial" w:hAnsi="Arial" w:cs="Arial"/>
          <w:iCs/>
        </w:rPr>
      </w:pPr>
      <w:r>
        <w:rPr>
          <w:rFonts w:ascii="Arial" w:hAnsi="Arial" w:cs="Arial"/>
          <w:iCs/>
        </w:rPr>
        <w:t>BSc in Forensic Science</w:t>
      </w:r>
      <w:r w:rsidRPr="00AE08C0">
        <w:rPr>
          <w:rFonts w:ascii="Arial" w:hAnsi="Arial" w:cs="Arial"/>
          <w:iCs/>
        </w:rPr>
        <w:t>/Chemistry including Year in Industry variants</w:t>
      </w:r>
    </w:p>
    <w:p w14:paraId="713401BF" w14:textId="77777777" w:rsidR="00AE08C0" w:rsidRDefault="00AE08C0" w:rsidP="00AE08C0">
      <w:pPr>
        <w:spacing w:after="0" w:line="240" w:lineRule="auto"/>
        <w:ind w:left="567" w:right="260"/>
        <w:rPr>
          <w:rFonts w:ascii="Arial" w:hAnsi="Arial" w:cs="Arial"/>
          <w:iCs/>
        </w:rPr>
      </w:pPr>
    </w:p>
    <w:p w14:paraId="7333FC83" w14:textId="77777777" w:rsidR="00B9109B" w:rsidRPr="00AE08C0" w:rsidRDefault="00AE08C0" w:rsidP="008C799A">
      <w:pPr>
        <w:spacing w:line="240" w:lineRule="auto"/>
        <w:ind w:left="567" w:right="260"/>
        <w:rPr>
          <w:rFonts w:ascii="Arial" w:hAnsi="Arial" w:cs="Arial"/>
          <w:iCs/>
          <w:highlight w:val="yellow"/>
        </w:rPr>
      </w:pPr>
      <w:r w:rsidRPr="00AE08C0">
        <w:rPr>
          <w:rFonts w:ascii="Arial" w:hAnsi="Arial" w:cs="Arial"/>
          <w:iCs/>
        </w:rPr>
        <w:t>This is not available as a wild module</w:t>
      </w:r>
      <w:r>
        <w:rPr>
          <w:rFonts w:ascii="Arial" w:hAnsi="Arial" w:cs="Arial"/>
          <w:iCs/>
        </w:rPr>
        <w:t>.</w:t>
      </w:r>
    </w:p>
    <w:p w14:paraId="2C6B1ECF" w14:textId="77777777" w:rsidR="009A2D37" w:rsidRPr="00302082" w:rsidRDefault="009A2D37" w:rsidP="008C799A">
      <w:pPr>
        <w:spacing w:after="0" w:line="240" w:lineRule="auto"/>
        <w:ind w:right="260"/>
        <w:rPr>
          <w:rFonts w:ascii="Arial" w:hAnsi="Arial" w:cs="Arial"/>
          <w:i/>
          <w:iCs/>
        </w:rPr>
      </w:pPr>
    </w:p>
    <w:p w14:paraId="2489B05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0479E8" w14:textId="4AC4FE3C" w:rsidR="00B70111" w:rsidRPr="007F2AE7" w:rsidRDefault="00B70111" w:rsidP="00A51A70">
      <w:pPr>
        <w:spacing w:line="240" w:lineRule="auto"/>
        <w:ind w:left="567" w:right="260"/>
        <w:rPr>
          <w:rFonts w:ascii="Arial" w:hAnsi="Arial" w:cs="Arial"/>
          <w:iCs/>
        </w:rPr>
      </w:pPr>
    </w:p>
    <w:p w14:paraId="7FC56CD4" w14:textId="025A286E" w:rsidR="007F2AE7" w:rsidRPr="00BF117E" w:rsidRDefault="0058543B" w:rsidP="00BF117E">
      <w:pPr>
        <w:pStyle w:val="ListParagraph"/>
        <w:numPr>
          <w:ilvl w:val="0"/>
          <w:numId w:val="10"/>
        </w:numPr>
        <w:spacing w:after="0" w:line="240" w:lineRule="auto"/>
        <w:ind w:right="-46"/>
        <w:jc w:val="both"/>
        <w:rPr>
          <w:rFonts w:ascii="Arial" w:hAnsi="Arial" w:cs="Arial"/>
          <w:color w:val="000000"/>
        </w:rPr>
      </w:pPr>
      <w:r>
        <w:rPr>
          <w:rFonts w:ascii="Arial" w:hAnsi="Arial" w:cs="Arial"/>
          <w:color w:val="000000"/>
        </w:rPr>
        <w:t>Demonstrate k</w:t>
      </w:r>
      <w:r w:rsidR="007F2AE7" w:rsidRPr="00BF117E">
        <w:rPr>
          <w:rFonts w:ascii="Arial" w:hAnsi="Arial" w:cs="Arial"/>
          <w:color w:val="000000"/>
        </w:rPr>
        <w:t>nowledge and understanding of core biological concepts, terminology, theory, units, conventions, and methods, including knowledge of cells, biochemistry and human DNA.</w:t>
      </w:r>
    </w:p>
    <w:p w14:paraId="53ED0005" w14:textId="57CDB543" w:rsidR="007F2AE7" w:rsidRPr="007F2AE7" w:rsidRDefault="0058543B" w:rsidP="007F2AE7">
      <w:pPr>
        <w:pStyle w:val="ListParagraph"/>
        <w:numPr>
          <w:ilvl w:val="0"/>
          <w:numId w:val="10"/>
        </w:numPr>
        <w:spacing w:after="0"/>
        <w:ind w:right="-46"/>
        <w:jc w:val="both"/>
        <w:rPr>
          <w:rFonts w:ascii="Arial" w:hAnsi="Arial" w:cs="Arial"/>
          <w:color w:val="000000"/>
        </w:rPr>
      </w:pPr>
      <w:r>
        <w:rPr>
          <w:rFonts w:ascii="Arial" w:hAnsi="Arial" w:cs="Arial"/>
          <w:color w:val="000000"/>
        </w:rPr>
        <w:t>Demonstrate k</w:t>
      </w:r>
      <w:r w:rsidR="007F2AE7" w:rsidRPr="007F2AE7">
        <w:rPr>
          <w:rFonts w:ascii="Arial" w:hAnsi="Arial" w:cs="Arial"/>
          <w:color w:val="000000"/>
        </w:rPr>
        <w:t>nowledge and understanding of concepts, principles &amp; theories of DNA &amp; forensic genetics, and ability to apply such knowledge and understanding to the solution of qualitative and quantitative problems in the area of DNA.</w:t>
      </w:r>
    </w:p>
    <w:p w14:paraId="46269529" w14:textId="09AFB91E" w:rsidR="007F2AE7" w:rsidRPr="007F2AE7" w:rsidRDefault="0058543B" w:rsidP="007F2AE7">
      <w:pPr>
        <w:pStyle w:val="ListParagraph"/>
        <w:numPr>
          <w:ilvl w:val="0"/>
          <w:numId w:val="10"/>
        </w:numPr>
        <w:spacing w:after="0"/>
        <w:ind w:right="-46"/>
        <w:jc w:val="both"/>
        <w:rPr>
          <w:rFonts w:ascii="Arial" w:hAnsi="Arial" w:cs="Arial"/>
          <w:color w:val="000000"/>
        </w:rPr>
      </w:pPr>
      <w:r>
        <w:rPr>
          <w:rFonts w:ascii="Arial" w:hAnsi="Arial" w:cs="Arial"/>
          <w:color w:val="000000"/>
        </w:rPr>
        <w:t>Use s</w:t>
      </w:r>
      <w:r w:rsidR="007F2AE7" w:rsidRPr="007F2AE7">
        <w:rPr>
          <w:rFonts w:ascii="Arial" w:hAnsi="Arial" w:cs="Arial"/>
          <w:color w:val="000000"/>
        </w:rPr>
        <w:t>kills required for, and knowledge of, the analysis of forensic DNA.</w:t>
      </w:r>
    </w:p>
    <w:p w14:paraId="51351B76" w14:textId="355D5BFC" w:rsidR="007F2AE7" w:rsidRPr="007F2AE7" w:rsidRDefault="0058543B" w:rsidP="007F2AE7">
      <w:pPr>
        <w:pStyle w:val="ListParagraph"/>
        <w:numPr>
          <w:ilvl w:val="0"/>
          <w:numId w:val="10"/>
        </w:numPr>
        <w:spacing w:after="0"/>
        <w:ind w:right="-46"/>
        <w:jc w:val="both"/>
        <w:rPr>
          <w:rFonts w:ascii="Arial" w:hAnsi="Arial" w:cs="Arial"/>
          <w:color w:val="000000"/>
        </w:rPr>
      </w:pPr>
      <w:r>
        <w:rPr>
          <w:rFonts w:ascii="Arial" w:hAnsi="Arial" w:cs="Arial"/>
          <w:color w:val="000000"/>
        </w:rPr>
        <w:t>I</w:t>
      </w:r>
      <w:r w:rsidR="007F2AE7" w:rsidRPr="007F2AE7">
        <w:rPr>
          <w:rFonts w:ascii="Arial" w:hAnsi="Arial" w:cs="Arial"/>
          <w:color w:val="000000"/>
        </w:rPr>
        <w:t>nterpret data derived from laboratory observations and measurements in terms of their underlying significance and the theory underpinning them.</w:t>
      </w:r>
    </w:p>
    <w:p w14:paraId="7D6B6856" w14:textId="599EB334" w:rsidR="007F2AE7" w:rsidRPr="007F2AE7" w:rsidRDefault="0058543B" w:rsidP="008C799A">
      <w:pPr>
        <w:pStyle w:val="ListParagraph"/>
        <w:numPr>
          <w:ilvl w:val="0"/>
          <w:numId w:val="10"/>
        </w:numPr>
        <w:ind w:right="-46"/>
        <w:jc w:val="both"/>
        <w:rPr>
          <w:rFonts w:ascii="Arial" w:hAnsi="Arial" w:cs="Arial"/>
          <w:color w:val="000000"/>
        </w:rPr>
      </w:pPr>
      <w:r>
        <w:rPr>
          <w:rFonts w:ascii="Arial" w:hAnsi="Arial" w:cs="Arial"/>
          <w:color w:val="000000"/>
        </w:rPr>
        <w:t>Display s</w:t>
      </w:r>
      <w:r w:rsidR="007F2AE7" w:rsidRPr="007F2AE7">
        <w:rPr>
          <w:rFonts w:ascii="Arial" w:hAnsi="Arial" w:cs="Arial"/>
          <w:color w:val="000000"/>
        </w:rPr>
        <w:t>kills in the safe handling of chemicals, taking into account their physical and chemical properties, including any hazards associated with their use and to risk assess such hazards.</w:t>
      </w:r>
    </w:p>
    <w:p w14:paraId="1C8EAFB8" w14:textId="77777777" w:rsidR="00AE08C0" w:rsidRDefault="00AE08C0" w:rsidP="008C799A">
      <w:pPr>
        <w:spacing w:after="0" w:line="240" w:lineRule="auto"/>
        <w:ind w:left="567" w:right="260"/>
        <w:rPr>
          <w:rFonts w:ascii="Arial" w:hAnsi="Arial" w:cs="Arial"/>
          <w:i/>
        </w:rPr>
      </w:pPr>
    </w:p>
    <w:p w14:paraId="56766482" w14:textId="77777777" w:rsidR="00972416" w:rsidRPr="00302082" w:rsidRDefault="00972416" w:rsidP="008C799A">
      <w:pPr>
        <w:spacing w:after="0" w:line="240" w:lineRule="auto"/>
        <w:ind w:left="567" w:right="260"/>
        <w:rPr>
          <w:rFonts w:ascii="Arial" w:hAnsi="Arial" w:cs="Arial"/>
          <w:i/>
        </w:rPr>
      </w:pPr>
    </w:p>
    <w:p w14:paraId="28F7DEB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DB8063" w14:textId="1893A1A8" w:rsidR="00B70111" w:rsidRDefault="00B70111" w:rsidP="00A51A70">
      <w:pPr>
        <w:pStyle w:val="Default"/>
        <w:spacing w:after="240"/>
        <w:ind w:right="260" w:firstLine="567"/>
        <w:rPr>
          <w:color w:val="auto"/>
          <w:sz w:val="22"/>
          <w:szCs w:val="22"/>
        </w:rPr>
      </w:pPr>
    </w:p>
    <w:p w14:paraId="28D918CD" w14:textId="72AD73FC" w:rsidR="007F2AE7" w:rsidRDefault="0058543B" w:rsidP="00BF117E">
      <w:pPr>
        <w:pStyle w:val="Default"/>
        <w:numPr>
          <w:ilvl w:val="0"/>
          <w:numId w:val="11"/>
        </w:numPr>
        <w:ind w:right="260"/>
        <w:rPr>
          <w:color w:val="auto"/>
          <w:sz w:val="22"/>
          <w:szCs w:val="22"/>
        </w:rPr>
      </w:pPr>
      <w:r>
        <w:rPr>
          <w:color w:val="auto"/>
          <w:sz w:val="22"/>
          <w:szCs w:val="22"/>
        </w:rPr>
        <w:t>R</w:t>
      </w:r>
      <w:r w:rsidR="007F2AE7" w:rsidRPr="007F2AE7">
        <w:rPr>
          <w:color w:val="auto"/>
          <w:sz w:val="22"/>
          <w:szCs w:val="22"/>
        </w:rPr>
        <w:t>ecognise and implement good m</w:t>
      </w:r>
      <w:r w:rsidR="007F2AE7">
        <w:rPr>
          <w:color w:val="auto"/>
          <w:sz w:val="22"/>
          <w:szCs w:val="22"/>
        </w:rPr>
        <w:t>easurement science and practice.</w:t>
      </w:r>
    </w:p>
    <w:p w14:paraId="27BA526A" w14:textId="667E094A" w:rsidR="007F2AE7" w:rsidRDefault="0058543B" w:rsidP="007F2AE7">
      <w:pPr>
        <w:pStyle w:val="Default"/>
        <w:numPr>
          <w:ilvl w:val="0"/>
          <w:numId w:val="11"/>
        </w:numPr>
        <w:ind w:right="260"/>
        <w:rPr>
          <w:color w:val="auto"/>
          <w:sz w:val="22"/>
          <w:szCs w:val="22"/>
        </w:rPr>
      </w:pPr>
      <w:r>
        <w:rPr>
          <w:color w:val="auto"/>
          <w:sz w:val="22"/>
          <w:szCs w:val="22"/>
        </w:rPr>
        <w:t>Solve p</w:t>
      </w:r>
      <w:r w:rsidR="007F2AE7" w:rsidRPr="007F2AE7">
        <w:rPr>
          <w:color w:val="auto"/>
          <w:sz w:val="22"/>
          <w:szCs w:val="22"/>
        </w:rPr>
        <w:t>roblems, relating to qualitative and quantitative information, extending to situations where evaluations have to be made on the basis of limited information</w:t>
      </w:r>
      <w:r w:rsidR="007F2AE7">
        <w:rPr>
          <w:color w:val="auto"/>
          <w:sz w:val="22"/>
          <w:szCs w:val="22"/>
        </w:rPr>
        <w:t>.</w:t>
      </w:r>
    </w:p>
    <w:p w14:paraId="32E72F2F" w14:textId="0C375BB7" w:rsidR="007F2AE7" w:rsidRDefault="0058543B" w:rsidP="007F2AE7">
      <w:pPr>
        <w:pStyle w:val="Default"/>
        <w:numPr>
          <w:ilvl w:val="0"/>
          <w:numId w:val="11"/>
        </w:numPr>
        <w:ind w:right="260"/>
        <w:rPr>
          <w:color w:val="auto"/>
          <w:sz w:val="22"/>
          <w:szCs w:val="22"/>
        </w:rPr>
      </w:pPr>
      <w:r>
        <w:rPr>
          <w:color w:val="auto"/>
          <w:sz w:val="22"/>
          <w:szCs w:val="22"/>
        </w:rPr>
        <w:t>Use i</w:t>
      </w:r>
      <w:r w:rsidR="007F2AE7" w:rsidRPr="007F2AE7">
        <w:rPr>
          <w:color w:val="auto"/>
          <w:sz w:val="22"/>
          <w:szCs w:val="22"/>
        </w:rPr>
        <w:t>nformation-retrieval skills, in relation to primary and secondary information sources, including information retrieval through on-line computer searches</w:t>
      </w:r>
      <w:r w:rsidR="007F2AE7">
        <w:rPr>
          <w:color w:val="auto"/>
          <w:sz w:val="22"/>
          <w:szCs w:val="22"/>
        </w:rPr>
        <w:t>.</w:t>
      </w:r>
    </w:p>
    <w:p w14:paraId="6A09EC5F" w14:textId="77777777" w:rsidR="007F2AE7" w:rsidRDefault="007F2AE7" w:rsidP="007F2AE7">
      <w:pPr>
        <w:pStyle w:val="Default"/>
        <w:spacing w:after="120"/>
        <w:ind w:right="260"/>
        <w:rPr>
          <w:color w:val="auto"/>
          <w:sz w:val="22"/>
          <w:szCs w:val="22"/>
        </w:rPr>
      </w:pPr>
    </w:p>
    <w:p w14:paraId="19BDF1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EA4271" w14:textId="77777777" w:rsidR="004F4DB9" w:rsidRPr="004F4DB9" w:rsidRDefault="004F4DB9" w:rsidP="004F4DB9">
      <w:pPr>
        <w:spacing w:after="120" w:line="240" w:lineRule="auto"/>
        <w:ind w:left="567" w:right="260"/>
        <w:jc w:val="both"/>
        <w:rPr>
          <w:rFonts w:ascii="Arial" w:hAnsi="Arial" w:cs="Arial"/>
          <w:iCs/>
        </w:rPr>
      </w:pPr>
      <w:r w:rsidRPr="004F4DB9">
        <w:rPr>
          <w:rFonts w:ascii="Arial" w:hAnsi="Arial" w:cs="Arial"/>
          <w:iCs/>
        </w:rPr>
        <w:t>The module lectures w</w:t>
      </w:r>
      <w:r>
        <w:rPr>
          <w:rFonts w:ascii="Arial" w:hAnsi="Arial" w:cs="Arial"/>
          <w:iCs/>
        </w:rPr>
        <w:t>ill cover the following topics:</w:t>
      </w:r>
    </w:p>
    <w:p w14:paraId="0403A3F3" w14:textId="77777777" w:rsidR="004F4DB9" w:rsidRPr="004F4DB9" w:rsidRDefault="004F4DB9" w:rsidP="004F4DB9">
      <w:pPr>
        <w:pStyle w:val="ListParagraph"/>
        <w:numPr>
          <w:ilvl w:val="0"/>
          <w:numId w:val="12"/>
        </w:numPr>
        <w:spacing w:after="120" w:line="240" w:lineRule="auto"/>
        <w:ind w:right="260"/>
        <w:jc w:val="both"/>
        <w:rPr>
          <w:rFonts w:ascii="Arial" w:hAnsi="Arial" w:cs="Arial"/>
          <w:iCs/>
        </w:rPr>
      </w:pPr>
      <w:r w:rsidRPr="004F4DB9">
        <w:rPr>
          <w:rFonts w:ascii="Arial" w:hAnsi="Arial" w:cs="Arial"/>
          <w:iCs/>
        </w:rPr>
        <w:t>Historical methods</w:t>
      </w:r>
    </w:p>
    <w:p w14:paraId="1AB54BEA" w14:textId="77777777" w:rsidR="004F4DB9" w:rsidRPr="004F4DB9" w:rsidRDefault="004F4DB9" w:rsidP="004F4DB9">
      <w:pPr>
        <w:pStyle w:val="ListParagraph"/>
        <w:numPr>
          <w:ilvl w:val="0"/>
          <w:numId w:val="12"/>
        </w:numPr>
        <w:spacing w:after="120" w:line="240" w:lineRule="auto"/>
        <w:ind w:right="260"/>
        <w:jc w:val="both"/>
        <w:rPr>
          <w:rFonts w:ascii="Arial" w:hAnsi="Arial" w:cs="Arial"/>
          <w:iCs/>
        </w:rPr>
      </w:pPr>
      <w:r w:rsidRPr="004F4DB9">
        <w:rPr>
          <w:rFonts w:ascii="Arial" w:hAnsi="Arial" w:cs="Arial"/>
          <w:iCs/>
        </w:rPr>
        <w:t>DNA sample collection, processing and storage</w:t>
      </w:r>
    </w:p>
    <w:p w14:paraId="382E110C" w14:textId="77777777" w:rsidR="004F4DB9" w:rsidRPr="004F4DB9" w:rsidRDefault="004F4DB9" w:rsidP="004F4DB9">
      <w:pPr>
        <w:pStyle w:val="ListParagraph"/>
        <w:numPr>
          <w:ilvl w:val="0"/>
          <w:numId w:val="12"/>
        </w:numPr>
        <w:spacing w:after="120" w:line="240" w:lineRule="auto"/>
        <w:ind w:right="260"/>
        <w:jc w:val="both"/>
        <w:rPr>
          <w:rFonts w:ascii="Arial" w:hAnsi="Arial" w:cs="Arial"/>
          <w:iCs/>
        </w:rPr>
      </w:pPr>
      <w:r w:rsidRPr="004F4DB9">
        <w:rPr>
          <w:rFonts w:ascii="Arial" w:hAnsi="Arial" w:cs="Arial"/>
          <w:iCs/>
        </w:rPr>
        <w:t>DNA theory</w:t>
      </w:r>
    </w:p>
    <w:p w14:paraId="5A50C64F" w14:textId="77777777" w:rsidR="004F4DB9" w:rsidRPr="004F4DB9" w:rsidRDefault="004F4DB9" w:rsidP="004F4DB9">
      <w:pPr>
        <w:pStyle w:val="ListParagraph"/>
        <w:numPr>
          <w:ilvl w:val="0"/>
          <w:numId w:val="12"/>
        </w:numPr>
        <w:spacing w:after="120" w:line="240" w:lineRule="auto"/>
        <w:ind w:right="260"/>
        <w:jc w:val="both"/>
        <w:rPr>
          <w:rFonts w:ascii="Arial" w:hAnsi="Arial" w:cs="Arial"/>
          <w:iCs/>
        </w:rPr>
      </w:pPr>
      <w:r w:rsidRPr="004F4DB9">
        <w:rPr>
          <w:rFonts w:ascii="Arial" w:hAnsi="Arial" w:cs="Arial"/>
          <w:iCs/>
        </w:rPr>
        <w:t>DNA databases and statistical interpretation</w:t>
      </w:r>
    </w:p>
    <w:p w14:paraId="67D4B371" w14:textId="77777777" w:rsidR="004F4DB9" w:rsidRPr="004F4DB9" w:rsidRDefault="004F4DB9" w:rsidP="004F4DB9">
      <w:pPr>
        <w:pStyle w:val="ListParagraph"/>
        <w:numPr>
          <w:ilvl w:val="0"/>
          <w:numId w:val="12"/>
        </w:numPr>
        <w:spacing w:after="120" w:line="240" w:lineRule="auto"/>
        <w:ind w:right="260"/>
        <w:jc w:val="both"/>
        <w:rPr>
          <w:rFonts w:ascii="Arial" w:hAnsi="Arial" w:cs="Arial"/>
          <w:iCs/>
        </w:rPr>
      </w:pPr>
      <w:r w:rsidRPr="004F4DB9">
        <w:rPr>
          <w:rFonts w:ascii="Arial" w:hAnsi="Arial" w:cs="Arial"/>
          <w:iCs/>
        </w:rPr>
        <w:t>Quality Assurance, management and control</w:t>
      </w:r>
    </w:p>
    <w:p w14:paraId="65F4E1B9" w14:textId="77777777" w:rsidR="004F4DB9" w:rsidRPr="004F4DB9" w:rsidRDefault="004F4DB9" w:rsidP="004F4DB9">
      <w:pPr>
        <w:pStyle w:val="ListParagraph"/>
        <w:numPr>
          <w:ilvl w:val="0"/>
          <w:numId w:val="12"/>
        </w:numPr>
        <w:spacing w:after="120" w:line="240" w:lineRule="auto"/>
        <w:ind w:right="260"/>
        <w:jc w:val="both"/>
        <w:rPr>
          <w:rFonts w:ascii="Arial" w:hAnsi="Arial" w:cs="Arial"/>
          <w:iCs/>
        </w:rPr>
      </w:pPr>
      <w:r w:rsidRPr="004F4DB9">
        <w:rPr>
          <w:rFonts w:ascii="Arial" w:hAnsi="Arial" w:cs="Arial"/>
          <w:iCs/>
        </w:rPr>
        <w:t>Legal aspects</w:t>
      </w:r>
    </w:p>
    <w:p w14:paraId="7E8450B8" w14:textId="77777777" w:rsidR="004F4DB9" w:rsidRPr="004F4DB9" w:rsidRDefault="004F4DB9" w:rsidP="004F4DB9">
      <w:pPr>
        <w:pStyle w:val="ListParagraph"/>
        <w:numPr>
          <w:ilvl w:val="0"/>
          <w:numId w:val="12"/>
        </w:numPr>
        <w:spacing w:after="120" w:line="240" w:lineRule="auto"/>
        <w:ind w:right="260"/>
        <w:jc w:val="both"/>
        <w:rPr>
          <w:rFonts w:ascii="Arial" w:hAnsi="Arial" w:cs="Arial"/>
          <w:iCs/>
        </w:rPr>
      </w:pPr>
      <w:r w:rsidRPr="004F4DB9">
        <w:rPr>
          <w:rFonts w:ascii="Arial" w:hAnsi="Arial" w:cs="Arial"/>
          <w:iCs/>
        </w:rPr>
        <w:t>Forensic case studies</w:t>
      </w:r>
    </w:p>
    <w:p w14:paraId="35198CDE" w14:textId="77777777" w:rsidR="009A2D37" w:rsidRPr="004F4DB9" w:rsidRDefault="004F4DB9" w:rsidP="004F4DB9">
      <w:pPr>
        <w:pStyle w:val="ListParagraph"/>
        <w:numPr>
          <w:ilvl w:val="0"/>
          <w:numId w:val="12"/>
        </w:numPr>
        <w:spacing w:after="120" w:line="240" w:lineRule="auto"/>
        <w:ind w:right="260"/>
        <w:jc w:val="both"/>
        <w:rPr>
          <w:rFonts w:ascii="Arial" w:hAnsi="Arial" w:cs="Arial"/>
          <w:iCs/>
        </w:rPr>
      </w:pPr>
      <w:r w:rsidRPr="004F4DB9">
        <w:rPr>
          <w:rFonts w:ascii="Arial" w:hAnsi="Arial" w:cs="Arial"/>
          <w:iCs/>
        </w:rPr>
        <w:t>Future trends</w:t>
      </w:r>
    </w:p>
    <w:p w14:paraId="303DFB63" w14:textId="77777777" w:rsidR="004F4DB9" w:rsidRPr="00302082" w:rsidRDefault="004F4DB9" w:rsidP="004F4DB9">
      <w:pPr>
        <w:spacing w:after="120" w:line="240" w:lineRule="auto"/>
        <w:ind w:left="567" w:right="260"/>
        <w:jc w:val="both"/>
        <w:rPr>
          <w:rFonts w:ascii="Arial" w:hAnsi="Arial" w:cs="Arial"/>
          <w:i/>
          <w:iCs/>
        </w:rPr>
      </w:pPr>
    </w:p>
    <w:p w14:paraId="54E1DD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7FC78B4" w14:textId="77777777" w:rsidR="004F4DB9" w:rsidRPr="000A65DD" w:rsidRDefault="004F4DB9" w:rsidP="000A65DD">
      <w:pPr>
        <w:pStyle w:val="ListParagraph"/>
        <w:numPr>
          <w:ilvl w:val="0"/>
          <w:numId w:val="13"/>
        </w:numPr>
        <w:spacing w:after="120" w:line="240" w:lineRule="auto"/>
        <w:ind w:right="260"/>
        <w:jc w:val="both"/>
        <w:rPr>
          <w:rFonts w:ascii="Arial" w:hAnsi="Arial" w:cs="Arial"/>
        </w:rPr>
      </w:pPr>
      <w:r w:rsidRPr="000A65DD">
        <w:rPr>
          <w:rFonts w:ascii="Arial" w:hAnsi="Arial" w:cs="Arial"/>
        </w:rPr>
        <w:t>Publications from the learned literature including journal articles from Science &amp; Justice and Forensic Science International</w:t>
      </w:r>
    </w:p>
    <w:p w14:paraId="6343DFAB" w14:textId="42C64150" w:rsidR="000A65DD" w:rsidRDefault="004F4DB9" w:rsidP="00B97244">
      <w:pPr>
        <w:pStyle w:val="ListParagraph"/>
        <w:numPr>
          <w:ilvl w:val="0"/>
          <w:numId w:val="13"/>
        </w:numPr>
        <w:spacing w:after="120" w:line="240" w:lineRule="auto"/>
        <w:ind w:right="260"/>
        <w:jc w:val="both"/>
        <w:rPr>
          <w:rFonts w:ascii="Arial" w:hAnsi="Arial" w:cs="Arial"/>
        </w:rPr>
      </w:pPr>
      <w:r w:rsidRPr="000A65DD">
        <w:rPr>
          <w:rFonts w:ascii="Arial" w:hAnsi="Arial" w:cs="Arial"/>
        </w:rPr>
        <w:t xml:space="preserve">Fundamentals of </w:t>
      </w:r>
      <w:r w:rsidR="000A65DD">
        <w:rPr>
          <w:rFonts w:ascii="Arial" w:hAnsi="Arial" w:cs="Arial"/>
        </w:rPr>
        <w:t>F</w:t>
      </w:r>
      <w:r w:rsidRPr="000A65DD">
        <w:rPr>
          <w:rFonts w:ascii="Arial" w:hAnsi="Arial" w:cs="Arial"/>
        </w:rPr>
        <w:t>orensic DNA typing (Butler 2009</w:t>
      </w:r>
      <w:r w:rsidR="00B97244">
        <w:rPr>
          <w:rFonts w:ascii="Arial" w:hAnsi="Arial" w:cs="Arial"/>
        </w:rPr>
        <w:t xml:space="preserve">, </w:t>
      </w:r>
      <w:r w:rsidR="00B97244" w:rsidRPr="00B97244">
        <w:rPr>
          <w:rFonts w:ascii="Arial" w:hAnsi="Arial" w:cs="Arial"/>
        </w:rPr>
        <w:t>Academic Press</w:t>
      </w:r>
      <w:r w:rsidRPr="000A65DD">
        <w:rPr>
          <w:rFonts w:ascii="Arial" w:hAnsi="Arial" w:cs="Arial"/>
        </w:rPr>
        <w:t xml:space="preserve">) </w:t>
      </w:r>
    </w:p>
    <w:p w14:paraId="0860322E" w14:textId="4AC47EFE" w:rsidR="004F4DB9" w:rsidRPr="000A65DD" w:rsidRDefault="004F4DB9" w:rsidP="00B97244">
      <w:pPr>
        <w:pStyle w:val="ListParagraph"/>
        <w:numPr>
          <w:ilvl w:val="0"/>
          <w:numId w:val="13"/>
        </w:numPr>
        <w:spacing w:after="120" w:line="240" w:lineRule="auto"/>
        <w:ind w:right="260"/>
        <w:jc w:val="both"/>
        <w:rPr>
          <w:rFonts w:ascii="Arial" w:hAnsi="Arial" w:cs="Arial"/>
        </w:rPr>
      </w:pPr>
      <w:r w:rsidRPr="000A65DD">
        <w:rPr>
          <w:rFonts w:ascii="Arial" w:hAnsi="Arial" w:cs="Arial"/>
        </w:rPr>
        <w:t xml:space="preserve">Forensic DNA typing </w:t>
      </w:r>
      <w:r w:rsidR="0058543B">
        <w:rPr>
          <w:rFonts w:ascii="Arial" w:hAnsi="Arial" w:cs="Arial"/>
        </w:rPr>
        <w:t>(</w:t>
      </w:r>
      <w:r w:rsidRPr="000A65DD">
        <w:rPr>
          <w:rFonts w:ascii="Arial" w:hAnsi="Arial" w:cs="Arial"/>
        </w:rPr>
        <w:t>Butler</w:t>
      </w:r>
      <w:r w:rsidR="0058543B">
        <w:rPr>
          <w:rFonts w:ascii="Arial" w:hAnsi="Arial" w:cs="Arial"/>
        </w:rPr>
        <w:t xml:space="preserve"> 2005</w:t>
      </w:r>
      <w:r w:rsidR="00B97244">
        <w:rPr>
          <w:rFonts w:ascii="Arial" w:hAnsi="Arial" w:cs="Arial"/>
        </w:rPr>
        <w:t xml:space="preserve">, </w:t>
      </w:r>
      <w:r w:rsidR="00B97244" w:rsidRPr="00B97244">
        <w:rPr>
          <w:rFonts w:ascii="Arial" w:hAnsi="Arial" w:cs="Arial"/>
        </w:rPr>
        <w:t>Academic Press</w:t>
      </w:r>
      <w:r w:rsidR="0058543B">
        <w:rPr>
          <w:rFonts w:ascii="Arial" w:hAnsi="Arial" w:cs="Arial"/>
        </w:rPr>
        <w:t>)</w:t>
      </w:r>
      <w:r w:rsidRPr="000A65DD">
        <w:rPr>
          <w:rFonts w:ascii="Arial" w:hAnsi="Arial" w:cs="Arial"/>
        </w:rPr>
        <w:t xml:space="preserve"> </w:t>
      </w:r>
    </w:p>
    <w:p w14:paraId="6D71C99A" w14:textId="77777777" w:rsidR="004F4DB9" w:rsidRPr="00302082" w:rsidRDefault="004F4DB9" w:rsidP="00302082">
      <w:pPr>
        <w:spacing w:after="120" w:line="240" w:lineRule="auto"/>
        <w:ind w:right="260"/>
        <w:jc w:val="both"/>
        <w:rPr>
          <w:rFonts w:ascii="Arial" w:hAnsi="Arial" w:cs="Arial"/>
          <w:b/>
        </w:rPr>
      </w:pPr>
    </w:p>
    <w:p w14:paraId="415010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8E67D0" w14:textId="039A7BD2" w:rsidR="009A2D37" w:rsidRPr="00831612" w:rsidRDefault="00C57028" w:rsidP="00696FF5">
      <w:pPr>
        <w:spacing w:after="120" w:line="240" w:lineRule="auto"/>
        <w:ind w:left="567" w:right="260"/>
        <w:jc w:val="both"/>
        <w:rPr>
          <w:rFonts w:ascii="Arial" w:hAnsi="Arial" w:cs="Arial"/>
          <w:iCs/>
        </w:rPr>
      </w:pPr>
      <w:r w:rsidRPr="00831612">
        <w:rPr>
          <w:rFonts w:ascii="Arial" w:hAnsi="Arial" w:cs="Arial"/>
          <w:iCs/>
        </w:rPr>
        <w:t>Total contact hours:</w:t>
      </w:r>
      <w:r w:rsidR="00831612" w:rsidRPr="00831612">
        <w:rPr>
          <w:rFonts w:ascii="Arial" w:hAnsi="Arial" w:cs="Arial"/>
          <w:iCs/>
        </w:rPr>
        <w:t xml:space="preserve"> 30</w:t>
      </w:r>
    </w:p>
    <w:p w14:paraId="6D316A7B" w14:textId="1A262B1F" w:rsidR="00C57028" w:rsidRPr="00831612" w:rsidRDefault="00C57028" w:rsidP="00C57028">
      <w:pPr>
        <w:spacing w:after="120" w:line="240" w:lineRule="auto"/>
        <w:ind w:left="567" w:right="260"/>
        <w:jc w:val="both"/>
        <w:rPr>
          <w:rFonts w:ascii="Arial" w:hAnsi="Arial" w:cs="Arial"/>
          <w:iCs/>
        </w:rPr>
      </w:pPr>
      <w:r w:rsidRPr="00831612">
        <w:rPr>
          <w:rFonts w:ascii="Arial" w:hAnsi="Arial" w:cs="Arial"/>
          <w:iCs/>
        </w:rPr>
        <w:t>Private study hours:</w:t>
      </w:r>
      <w:r w:rsidR="00831612" w:rsidRPr="00831612">
        <w:rPr>
          <w:rFonts w:ascii="Arial" w:hAnsi="Arial" w:cs="Arial"/>
          <w:iCs/>
        </w:rPr>
        <w:t xml:space="preserve"> 120</w:t>
      </w:r>
    </w:p>
    <w:p w14:paraId="1BCEDB4F" w14:textId="49F31862" w:rsidR="00C57028" w:rsidRPr="00831612" w:rsidRDefault="00C57028" w:rsidP="00C57028">
      <w:pPr>
        <w:spacing w:after="120" w:line="240" w:lineRule="auto"/>
        <w:ind w:left="567" w:right="260"/>
        <w:jc w:val="both"/>
        <w:rPr>
          <w:rFonts w:ascii="Arial" w:hAnsi="Arial" w:cs="Arial"/>
          <w:iCs/>
        </w:rPr>
      </w:pPr>
      <w:r w:rsidRPr="00831612">
        <w:rPr>
          <w:rFonts w:ascii="Arial" w:hAnsi="Arial" w:cs="Arial"/>
          <w:iCs/>
        </w:rPr>
        <w:t>Total study hours:</w:t>
      </w:r>
      <w:r w:rsidR="00831612" w:rsidRPr="00831612">
        <w:rPr>
          <w:rFonts w:ascii="Arial" w:hAnsi="Arial" w:cs="Arial"/>
          <w:iCs/>
        </w:rPr>
        <w:t xml:space="preserve"> 150</w:t>
      </w:r>
    </w:p>
    <w:p w14:paraId="69C02B75" w14:textId="77777777" w:rsidR="009A2D37" w:rsidRPr="00302082" w:rsidRDefault="009A2D37" w:rsidP="00302082">
      <w:pPr>
        <w:spacing w:after="120" w:line="240" w:lineRule="auto"/>
        <w:ind w:left="426" w:right="260"/>
        <w:rPr>
          <w:rFonts w:ascii="Arial" w:hAnsi="Arial" w:cs="Arial"/>
          <w:i/>
          <w:iCs/>
        </w:rPr>
      </w:pPr>
    </w:p>
    <w:p w14:paraId="0C50057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EE7786" w14:textId="7E3371F5" w:rsidR="00696FF5" w:rsidRPr="009426BB" w:rsidRDefault="00696FF5" w:rsidP="00696FF5">
      <w:pPr>
        <w:pStyle w:val="ListParagraph"/>
        <w:numPr>
          <w:ilvl w:val="1"/>
          <w:numId w:val="9"/>
        </w:numPr>
        <w:spacing w:after="120"/>
        <w:ind w:left="567" w:hanging="567"/>
        <w:rPr>
          <w:rFonts w:ascii="Arial" w:hAnsi="Arial" w:cs="Arial"/>
          <w:iCs/>
        </w:rPr>
      </w:pPr>
      <w:r w:rsidRPr="009426BB">
        <w:rPr>
          <w:rFonts w:ascii="Arial" w:hAnsi="Arial" w:cs="Arial"/>
          <w:iCs/>
        </w:rPr>
        <w:t>Main assessment methods</w:t>
      </w:r>
      <w:r w:rsidR="00972416" w:rsidRPr="009426BB">
        <w:rPr>
          <w:rFonts w:ascii="Arial" w:hAnsi="Arial" w:cs="Arial"/>
          <w:iCs/>
        </w:rPr>
        <w:t xml:space="preserve"> </w:t>
      </w:r>
    </w:p>
    <w:p w14:paraId="4181698C" w14:textId="449F7F4C" w:rsidR="00972416" w:rsidRPr="00972416" w:rsidRDefault="5397517A" w:rsidP="00972416">
      <w:pPr>
        <w:pStyle w:val="ListParagraph"/>
        <w:numPr>
          <w:ilvl w:val="0"/>
          <w:numId w:val="15"/>
        </w:numPr>
        <w:spacing w:after="120" w:line="240" w:lineRule="auto"/>
        <w:ind w:right="260"/>
        <w:jc w:val="both"/>
        <w:rPr>
          <w:rFonts w:ascii="Arial" w:hAnsi="Arial" w:cs="Arial"/>
          <w:b/>
          <w:i/>
          <w:iCs/>
        </w:rPr>
      </w:pPr>
      <w:r w:rsidRPr="5397517A">
        <w:rPr>
          <w:rFonts w:ascii="Arial" w:eastAsia="Arial" w:hAnsi="Arial" w:cs="Arial"/>
        </w:rPr>
        <w:t>G</w:t>
      </w:r>
      <w:r w:rsidR="00972416" w:rsidRPr="5397517A">
        <w:rPr>
          <w:rFonts w:ascii="Arial" w:eastAsia="Arial" w:hAnsi="Arial" w:cs="Arial"/>
        </w:rPr>
        <w:t>enotyping exercise</w:t>
      </w:r>
      <w:r w:rsidRPr="5397517A">
        <w:rPr>
          <w:rFonts w:ascii="Arial" w:eastAsia="Arial" w:hAnsi="Arial" w:cs="Arial"/>
        </w:rPr>
        <w:t xml:space="preserve"> (</w:t>
      </w:r>
      <w:r w:rsidR="00972416" w:rsidRPr="5397517A">
        <w:rPr>
          <w:rFonts w:ascii="Arial" w:eastAsia="Arial" w:hAnsi="Arial" w:cs="Arial"/>
        </w:rPr>
        <w:t>two page</w:t>
      </w:r>
      <w:r w:rsidRPr="5397517A">
        <w:rPr>
          <w:rFonts w:ascii="Arial" w:eastAsia="Arial" w:hAnsi="Arial" w:cs="Arial"/>
        </w:rPr>
        <w:t>s</w:t>
      </w:r>
      <w:r w:rsidR="00D72CF0" w:rsidRPr="5397517A">
        <w:rPr>
          <w:rFonts w:ascii="Arial" w:eastAsia="Arial" w:hAnsi="Arial" w:cs="Arial"/>
        </w:rPr>
        <w:t>, 10</w:t>
      </w:r>
      <w:r w:rsidR="00972416" w:rsidRPr="5397517A">
        <w:rPr>
          <w:rFonts w:ascii="Arial" w:eastAsia="Arial" w:hAnsi="Arial" w:cs="Arial"/>
        </w:rPr>
        <w:t>%)</w:t>
      </w:r>
    </w:p>
    <w:p w14:paraId="05B73D7A" w14:textId="65D8A4DC" w:rsidR="006043FC" w:rsidRPr="00972416" w:rsidRDefault="5397517A" w:rsidP="00972416">
      <w:pPr>
        <w:pStyle w:val="ListParagraph"/>
        <w:numPr>
          <w:ilvl w:val="0"/>
          <w:numId w:val="15"/>
        </w:numPr>
        <w:spacing w:after="120" w:line="240" w:lineRule="auto"/>
        <w:ind w:right="260"/>
        <w:jc w:val="both"/>
        <w:rPr>
          <w:rFonts w:ascii="Arial" w:hAnsi="Arial" w:cs="Arial"/>
          <w:b/>
          <w:i/>
          <w:iCs/>
        </w:rPr>
      </w:pPr>
      <w:r w:rsidRPr="5397517A">
        <w:rPr>
          <w:rFonts w:ascii="Arial" w:eastAsia="Arial" w:hAnsi="Arial" w:cs="Arial"/>
        </w:rPr>
        <w:t>L</w:t>
      </w:r>
      <w:r w:rsidR="00972416" w:rsidRPr="5397517A">
        <w:rPr>
          <w:rFonts w:ascii="Arial" w:eastAsia="Arial" w:hAnsi="Arial" w:cs="Arial"/>
        </w:rPr>
        <w:t>ab write up</w:t>
      </w:r>
      <w:r w:rsidRPr="5397517A">
        <w:rPr>
          <w:rFonts w:ascii="Arial" w:eastAsia="Arial" w:hAnsi="Arial" w:cs="Arial"/>
        </w:rPr>
        <w:t xml:space="preserve"> (six </w:t>
      </w:r>
      <w:r w:rsidR="00972416" w:rsidRPr="5397517A">
        <w:rPr>
          <w:rFonts w:ascii="Arial" w:eastAsia="Arial" w:hAnsi="Arial" w:cs="Arial"/>
        </w:rPr>
        <w:t>pages</w:t>
      </w:r>
      <w:r w:rsidRPr="5397517A">
        <w:rPr>
          <w:rFonts w:ascii="Arial" w:eastAsia="Arial" w:hAnsi="Arial" w:cs="Arial"/>
        </w:rPr>
        <w:t>,</w:t>
      </w:r>
      <w:r w:rsidR="00972416" w:rsidRPr="5397517A">
        <w:rPr>
          <w:rFonts w:ascii="Arial" w:eastAsia="Arial" w:hAnsi="Arial" w:cs="Arial"/>
        </w:rPr>
        <w:t xml:space="preserve"> 10%)</w:t>
      </w:r>
    </w:p>
    <w:p w14:paraId="6180CF79" w14:textId="43F92F16" w:rsidR="00972416" w:rsidRPr="00972416" w:rsidRDefault="5397517A" w:rsidP="00972416">
      <w:pPr>
        <w:pStyle w:val="ListParagraph"/>
        <w:numPr>
          <w:ilvl w:val="0"/>
          <w:numId w:val="15"/>
        </w:numPr>
        <w:spacing w:after="120" w:line="240" w:lineRule="auto"/>
        <w:ind w:right="260"/>
        <w:jc w:val="both"/>
        <w:rPr>
          <w:rFonts w:ascii="Arial" w:hAnsi="Arial" w:cs="Arial"/>
          <w:b/>
          <w:i/>
          <w:iCs/>
        </w:rPr>
      </w:pPr>
      <w:r w:rsidRPr="5397517A">
        <w:rPr>
          <w:rFonts w:ascii="Arial" w:eastAsia="Arial" w:hAnsi="Arial" w:cs="Arial"/>
        </w:rPr>
        <w:t>E</w:t>
      </w:r>
      <w:r w:rsidR="009426BB" w:rsidRPr="5397517A">
        <w:rPr>
          <w:rFonts w:ascii="Arial" w:eastAsia="Arial" w:hAnsi="Arial" w:cs="Arial"/>
        </w:rPr>
        <w:t>xamination</w:t>
      </w:r>
      <w:r w:rsidRPr="5397517A">
        <w:rPr>
          <w:rFonts w:ascii="Arial" w:eastAsia="Arial" w:hAnsi="Arial" w:cs="Arial"/>
        </w:rPr>
        <w:t xml:space="preserve"> (</w:t>
      </w:r>
      <w:r w:rsidR="009426BB" w:rsidRPr="5397517A">
        <w:rPr>
          <w:rFonts w:ascii="Arial" w:eastAsia="Arial" w:hAnsi="Arial" w:cs="Arial"/>
        </w:rPr>
        <w:t>three hours</w:t>
      </w:r>
      <w:r w:rsidRPr="5397517A">
        <w:rPr>
          <w:rFonts w:ascii="Arial" w:eastAsia="Arial" w:hAnsi="Arial" w:cs="Arial"/>
        </w:rPr>
        <w:t>,</w:t>
      </w:r>
      <w:r w:rsidR="009426BB" w:rsidRPr="5397517A">
        <w:rPr>
          <w:rFonts w:ascii="Arial" w:eastAsia="Arial" w:hAnsi="Arial" w:cs="Arial"/>
        </w:rPr>
        <w:t xml:space="preserve"> 80%)</w:t>
      </w:r>
    </w:p>
    <w:p w14:paraId="76DDBF30" w14:textId="07C97978" w:rsidR="00972416" w:rsidRPr="000C6544" w:rsidRDefault="00146FE1" w:rsidP="00972416">
      <w:pPr>
        <w:spacing w:after="120" w:line="240" w:lineRule="auto"/>
        <w:ind w:left="207" w:right="260"/>
        <w:jc w:val="both"/>
        <w:rPr>
          <w:rFonts w:ascii="Arial" w:hAnsi="Arial" w:cs="Arial"/>
          <w:iCs/>
        </w:rPr>
      </w:pPr>
      <w:r w:rsidRPr="000C6544">
        <w:rPr>
          <w:rFonts w:ascii="Arial" w:hAnsi="Arial" w:cs="Arial"/>
          <w:iCs/>
        </w:rPr>
        <w:t>The genotyping exercise and the lab write up are compulsory sub-elements</w:t>
      </w:r>
      <w:r w:rsidR="0058543B">
        <w:rPr>
          <w:rFonts w:ascii="Arial" w:hAnsi="Arial" w:cs="Arial"/>
          <w:iCs/>
        </w:rPr>
        <w:t xml:space="preserve"> and must be passed to pass the module</w:t>
      </w:r>
    </w:p>
    <w:p w14:paraId="652BE2A3" w14:textId="4967156F" w:rsidR="00972416" w:rsidRPr="00972416" w:rsidRDefault="00696FF5" w:rsidP="00972416">
      <w:pPr>
        <w:pStyle w:val="ListParagraph"/>
        <w:numPr>
          <w:ilvl w:val="1"/>
          <w:numId w:val="9"/>
        </w:numPr>
        <w:spacing w:after="120"/>
        <w:rPr>
          <w:rFonts w:ascii="Arial" w:hAnsi="Arial" w:cs="Arial"/>
          <w:iCs/>
        </w:rPr>
      </w:pPr>
      <w:r w:rsidRPr="00972416">
        <w:rPr>
          <w:rFonts w:ascii="Arial" w:hAnsi="Arial" w:cs="Arial"/>
          <w:iCs/>
        </w:rPr>
        <w:t>Reassessment methods</w:t>
      </w:r>
      <w:r w:rsidR="00972416" w:rsidRPr="00972416">
        <w:rPr>
          <w:rFonts w:ascii="Arial" w:hAnsi="Arial" w:cs="Arial"/>
          <w:iCs/>
        </w:rPr>
        <w:t xml:space="preserve"> – like for like</w:t>
      </w:r>
    </w:p>
    <w:p w14:paraId="7A59128F" w14:textId="3DEC95CB" w:rsidR="00972416" w:rsidRPr="00972416" w:rsidRDefault="00972416" w:rsidP="00972416">
      <w:pPr>
        <w:spacing w:after="120"/>
        <w:rPr>
          <w:rFonts w:ascii="Arial" w:hAnsi="Arial" w:cs="Arial"/>
          <w:iCs/>
        </w:rPr>
      </w:pPr>
    </w:p>
    <w:p w14:paraId="7494E898" w14:textId="77777777" w:rsidR="00274ED7" w:rsidRPr="000A65DD" w:rsidRDefault="006F3F8B" w:rsidP="00696FF5">
      <w:pPr>
        <w:numPr>
          <w:ilvl w:val="0"/>
          <w:numId w:val="1"/>
        </w:numPr>
        <w:spacing w:after="120" w:line="240" w:lineRule="auto"/>
        <w:ind w:left="567" w:right="261" w:hanging="567"/>
        <w:jc w:val="both"/>
        <w:rPr>
          <w:rFonts w:ascii="Arial" w:hAnsi="Arial" w:cs="Arial"/>
          <w:b/>
          <w:iCs/>
        </w:rPr>
      </w:pPr>
      <w:r w:rsidRPr="000A65DD">
        <w:rPr>
          <w:rFonts w:ascii="Arial" w:hAnsi="Arial" w:cs="Arial"/>
          <w:b/>
          <w:iCs/>
        </w:rPr>
        <w:lastRenderedPageBreak/>
        <w:t xml:space="preserve">Map of </w:t>
      </w:r>
      <w:r w:rsidR="00883204" w:rsidRPr="000A65DD">
        <w:rPr>
          <w:rFonts w:ascii="Arial" w:hAnsi="Arial" w:cs="Arial"/>
          <w:b/>
          <w:iCs/>
        </w:rPr>
        <w:t xml:space="preserve">module learning outcomes </w:t>
      </w:r>
      <w:r w:rsidR="00B30E07" w:rsidRPr="000A65DD">
        <w:rPr>
          <w:rFonts w:ascii="Arial" w:hAnsi="Arial" w:cs="Arial"/>
          <w:b/>
          <w:iCs/>
        </w:rPr>
        <w:t>(sections 8 &amp; 9)</w:t>
      </w:r>
      <w:r w:rsidR="00883204" w:rsidRPr="000A65DD">
        <w:rPr>
          <w:rFonts w:ascii="Arial" w:hAnsi="Arial" w:cs="Arial"/>
          <w:b/>
          <w:iCs/>
        </w:rPr>
        <w:t xml:space="preserve"> to l</w:t>
      </w:r>
      <w:r w:rsidRPr="000A65DD">
        <w:rPr>
          <w:rFonts w:ascii="Arial" w:hAnsi="Arial" w:cs="Arial"/>
          <w:b/>
          <w:iCs/>
        </w:rPr>
        <w:t>earning</w:t>
      </w:r>
      <w:r w:rsidR="00B30E07" w:rsidRPr="000A65DD">
        <w:rPr>
          <w:rFonts w:ascii="Arial" w:hAnsi="Arial" w:cs="Arial"/>
          <w:b/>
          <w:iCs/>
        </w:rPr>
        <w:t xml:space="preserve"> and </w:t>
      </w:r>
      <w:r w:rsidR="00883204" w:rsidRPr="000A65DD">
        <w:rPr>
          <w:rFonts w:ascii="Arial" w:hAnsi="Arial" w:cs="Arial"/>
          <w:b/>
          <w:iCs/>
        </w:rPr>
        <w:t>teaching m</w:t>
      </w:r>
      <w:r w:rsidR="00B30E07" w:rsidRPr="000A65DD">
        <w:rPr>
          <w:rFonts w:ascii="Arial" w:hAnsi="Arial" w:cs="Arial"/>
          <w:b/>
          <w:iCs/>
        </w:rPr>
        <w:t>ethods (section12</w:t>
      </w:r>
      <w:r w:rsidRPr="000A65DD">
        <w:rPr>
          <w:rFonts w:ascii="Arial" w:hAnsi="Arial" w:cs="Arial"/>
          <w:b/>
          <w:iCs/>
        </w:rPr>
        <w:t>) and m</w:t>
      </w:r>
      <w:r w:rsidR="00883204" w:rsidRPr="000A65DD">
        <w:rPr>
          <w:rFonts w:ascii="Arial" w:hAnsi="Arial" w:cs="Arial"/>
          <w:b/>
          <w:iCs/>
        </w:rPr>
        <w:t>ethods of a</w:t>
      </w:r>
      <w:r w:rsidR="00B30E07" w:rsidRPr="000A65DD">
        <w:rPr>
          <w:rFonts w:ascii="Arial" w:hAnsi="Arial" w:cs="Arial"/>
          <w:b/>
          <w:iCs/>
        </w:rPr>
        <w:t>ssessment (section 13</w:t>
      </w:r>
      <w:r w:rsidR="00EF4933" w:rsidRPr="000A65DD">
        <w:rPr>
          <w:rFonts w:ascii="Arial" w:hAnsi="Arial" w:cs="Arial"/>
          <w:b/>
          <w:iCs/>
        </w:rPr>
        <w:t>)</w:t>
      </w:r>
    </w:p>
    <w:p w14:paraId="57626DC6" w14:textId="2CD6E37C"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C823B8" w:rsidRPr="00302082" w14:paraId="13314122" w14:textId="77777777" w:rsidTr="00C823B8">
        <w:tc>
          <w:tcPr>
            <w:tcW w:w="1730" w:type="dxa"/>
            <w:shd w:val="clear" w:color="auto" w:fill="D9D9D9" w:themeFill="background1" w:themeFillShade="D9"/>
          </w:tcPr>
          <w:p w14:paraId="761A1F4A" w14:textId="77777777" w:rsidR="00C823B8" w:rsidRPr="00302082" w:rsidRDefault="00C823B8" w:rsidP="00302082">
            <w:pPr>
              <w:spacing w:after="120"/>
              <w:ind w:left="33"/>
              <w:rPr>
                <w:rFonts w:ascii="Arial" w:hAnsi="Arial" w:cs="Arial"/>
                <w:b/>
              </w:rPr>
            </w:pPr>
            <w:r w:rsidRPr="00302082">
              <w:rPr>
                <w:rFonts w:ascii="Arial" w:hAnsi="Arial" w:cs="Arial"/>
                <w:b/>
              </w:rPr>
              <w:t>Module learning outcome</w:t>
            </w:r>
          </w:p>
        </w:tc>
        <w:tc>
          <w:tcPr>
            <w:tcW w:w="567" w:type="dxa"/>
          </w:tcPr>
          <w:p w14:paraId="632F5C55" w14:textId="77777777" w:rsidR="00C823B8" w:rsidRPr="00302082" w:rsidRDefault="00C823B8" w:rsidP="00302082">
            <w:pPr>
              <w:spacing w:after="120"/>
              <w:rPr>
                <w:rFonts w:ascii="Arial" w:hAnsi="Arial" w:cs="Arial"/>
                <w:i/>
              </w:rPr>
            </w:pPr>
            <w:r w:rsidRPr="00302082">
              <w:rPr>
                <w:rFonts w:ascii="Arial" w:hAnsi="Arial" w:cs="Arial"/>
                <w:i/>
              </w:rPr>
              <w:t>8.1</w:t>
            </w:r>
          </w:p>
        </w:tc>
        <w:tc>
          <w:tcPr>
            <w:tcW w:w="567" w:type="dxa"/>
          </w:tcPr>
          <w:p w14:paraId="2AF60BDC" w14:textId="77777777" w:rsidR="00C823B8" w:rsidRPr="00302082" w:rsidRDefault="00C823B8" w:rsidP="00302082">
            <w:pPr>
              <w:spacing w:after="120"/>
              <w:rPr>
                <w:rFonts w:ascii="Arial" w:hAnsi="Arial" w:cs="Arial"/>
                <w:i/>
              </w:rPr>
            </w:pPr>
            <w:r w:rsidRPr="00302082">
              <w:rPr>
                <w:rFonts w:ascii="Arial" w:hAnsi="Arial" w:cs="Arial"/>
                <w:i/>
              </w:rPr>
              <w:t>8.2</w:t>
            </w:r>
          </w:p>
        </w:tc>
        <w:tc>
          <w:tcPr>
            <w:tcW w:w="567" w:type="dxa"/>
          </w:tcPr>
          <w:p w14:paraId="3C31CEBD" w14:textId="77777777" w:rsidR="00C823B8" w:rsidRPr="00302082" w:rsidRDefault="00C823B8" w:rsidP="00302082">
            <w:pPr>
              <w:spacing w:after="120"/>
              <w:rPr>
                <w:rFonts w:ascii="Arial" w:hAnsi="Arial" w:cs="Arial"/>
                <w:i/>
              </w:rPr>
            </w:pPr>
            <w:r w:rsidRPr="00302082">
              <w:rPr>
                <w:rFonts w:ascii="Arial" w:hAnsi="Arial" w:cs="Arial"/>
                <w:i/>
              </w:rPr>
              <w:t>8.3</w:t>
            </w:r>
          </w:p>
        </w:tc>
        <w:tc>
          <w:tcPr>
            <w:tcW w:w="567" w:type="dxa"/>
          </w:tcPr>
          <w:p w14:paraId="5DD4FE01" w14:textId="77777777" w:rsidR="00C823B8" w:rsidRPr="00302082" w:rsidRDefault="00C823B8" w:rsidP="00302082">
            <w:pPr>
              <w:spacing w:after="120"/>
              <w:rPr>
                <w:rFonts w:ascii="Arial" w:hAnsi="Arial" w:cs="Arial"/>
                <w:i/>
              </w:rPr>
            </w:pPr>
            <w:r w:rsidRPr="00302082">
              <w:rPr>
                <w:rFonts w:ascii="Arial" w:hAnsi="Arial" w:cs="Arial"/>
                <w:i/>
              </w:rPr>
              <w:t>8.4</w:t>
            </w:r>
          </w:p>
        </w:tc>
        <w:tc>
          <w:tcPr>
            <w:tcW w:w="567" w:type="dxa"/>
          </w:tcPr>
          <w:p w14:paraId="4F2141EE" w14:textId="77777777" w:rsidR="00C823B8" w:rsidRPr="00302082" w:rsidRDefault="00C823B8" w:rsidP="00302082">
            <w:pPr>
              <w:spacing w:after="120"/>
              <w:rPr>
                <w:rFonts w:ascii="Arial" w:hAnsi="Arial" w:cs="Arial"/>
                <w:i/>
              </w:rPr>
            </w:pPr>
            <w:r w:rsidRPr="00302082">
              <w:rPr>
                <w:rFonts w:ascii="Arial" w:hAnsi="Arial" w:cs="Arial"/>
                <w:i/>
              </w:rPr>
              <w:t>8.5</w:t>
            </w:r>
          </w:p>
        </w:tc>
        <w:tc>
          <w:tcPr>
            <w:tcW w:w="567" w:type="dxa"/>
          </w:tcPr>
          <w:p w14:paraId="5EE77BEF" w14:textId="77777777" w:rsidR="00C823B8" w:rsidRPr="00302082" w:rsidRDefault="00C823B8" w:rsidP="00302082">
            <w:pPr>
              <w:spacing w:after="120"/>
              <w:rPr>
                <w:rFonts w:ascii="Arial" w:hAnsi="Arial" w:cs="Arial"/>
                <w:i/>
              </w:rPr>
            </w:pPr>
            <w:r w:rsidRPr="00302082">
              <w:rPr>
                <w:rFonts w:ascii="Arial" w:hAnsi="Arial" w:cs="Arial"/>
                <w:i/>
              </w:rPr>
              <w:t>9.1</w:t>
            </w:r>
          </w:p>
        </w:tc>
        <w:tc>
          <w:tcPr>
            <w:tcW w:w="567" w:type="dxa"/>
          </w:tcPr>
          <w:p w14:paraId="718A5F0E" w14:textId="77777777" w:rsidR="00C823B8" w:rsidRPr="00302082" w:rsidRDefault="00C823B8" w:rsidP="00302082">
            <w:pPr>
              <w:spacing w:after="120"/>
              <w:rPr>
                <w:rFonts w:ascii="Arial" w:hAnsi="Arial" w:cs="Arial"/>
                <w:i/>
              </w:rPr>
            </w:pPr>
            <w:r w:rsidRPr="00302082">
              <w:rPr>
                <w:rFonts w:ascii="Arial" w:hAnsi="Arial" w:cs="Arial"/>
                <w:i/>
              </w:rPr>
              <w:t>9.2</w:t>
            </w:r>
          </w:p>
        </w:tc>
        <w:tc>
          <w:tcPr>
            <w:tcW w:w="567" w:type="dxa"/>
          </w:tcPr>
          <w:p w14:paraId="646D971E" w14:textId="77777777" w:rsidR="00C823B8" w:rsidRPr="00302082" w:rsidRDefault="00C823B8" w:rsidP="00302082">
            <w:pPr>
              <w:spacing w:after="120"/>
              <w:rPr>
                <w:rFonts w:ascii="Arial" w:hAnsi="Arial" w:cs="Arial"/>
                <w:i/>
              </w:rPr>
            </w:pPr>
            <w:r w:rsidRPr="00302082">
              <w:rPr>
                <w:rFonts w:ascii="Arial" w:hAnsi="Arial" w:cs="Arial"/>
                <w:i/>
              </w:rPr>
              <w:t>9.3</w:t>
            </w:r>
          </w:p>
        </w:tc>
      </w:tr>
      <w:tr w:rsidR="00C823B8" w:rsidRPr="00302082" w14:paraId="763B45BE" w14:textId="77777777" w:rsidTr="00C823B8">
        <w:tc>
          <w:tcPr>
            <w:tcW w:w="1730" w:type="dxa"/>
            <w:shd w:val="clear" w:color="auto" w:fill="D9D9D9" w:themeFill="background1" w:themeFillShade="D9"/>
          </w:tcPr>
          <w:p w14:paraId="639C8393" w14:textId="77777777" w:rsidR="00C823B8" w:rsidRPr="00302082" w:rsidRDefault="00C823B8" w:rsidP="00302082">
            <w:pPr>
              <w:spacing w:after="120"/>
              <w:rPr>
                <w:rFonts w:ascii="Arial" w:hAnsi="Arial" w:cs="Arial"/>
                <w:b/>
              </w:rPr>
            </w:pPr>
            <w:r w:rsidRPr="00302082">
              <w:rPr>
                <w:rFonts w:ascii="Arial" w:hAnsi="Arial" w:cs="Arial"/>
                <w:b/>
              </w:rPr>
              <w:t>Learning/ teaching method</w:t>
            </w:r>
          </w:p>
        </w:tc>
        <w:tc>
          <w:tcPr>
            <w:tcW w:w="567" w:type="dxa"/>
          </w:tcPr>
          <w:p w14:paraId="06709086" w14:textId="77777777" w:rsidR="00C823B8" w:rsidRPr="00302082" w:rsidRDefault="00C823B8" w:rsidP="00302082">
            <w:pPr>
              <w:spacing w:after="120"/>
              <w:rPr>
                <w:rFonts w:ascii="Arial" w:hAnsi="Arial" w:cs="Arial"/>
                <w:b/>
              </w:rPr>
            </w:pPr>
          </w:p>
        </w:tc>
        <w:tc>
          <w:tcPr>
            <w:tcW w:w="567" w:type="dxa"/>
          </w:tcPr>
          <w:p w14:paraId="27650A4C" w14:textId="77777777" w:rsidR="00C823B8" w:rsidRPr="00302082" w:rsidRDefault="00C823B8" w:rsidP="00302082">
            <w:pPr>
              <w:spacing w:after="120"/>
              <w:rPr>
                <w:rFonts w:ascii="Arial" w:hAnsi="Arial" w:cs="Arial"/>
                <w:b/>
              </w:rPr>
            </w:pPr>
          </w:p>
        </w:tc>
        <w:tc>
          <w:tcPr>
            <w:tcW w:w="567" w:type="dxa"/>
          </w:tcPr>
          <w:p w14:paraId="6A48C020" w14:textId="77777777" w:rsidR="00C823B8" w:rsidRPr="00302082" w:rsidRDefault="00C823B8" w:rsidP="00302082">
            <w:pPr>
              <w:spacing w:after="120"/>
              <w:rPr>
                <w:rFonts w:ascii="Arial" w:hAnsi="Arial" w:cs="Arial"/>
                <w:b/>
              </w:rPr>
            </w:pPr>
          </w:p>
        </w:tc>
        <w:tc>
          <w:tcPr>
            <w:tcW w:w="567" w:type="dxa"/>
          </w:tcPr>
          <w:p w14:paraId="03FF8683" w14:textId="77777777" w:rsidR="00C823B8" w:rsidRPr="00302082" w:rsidRDefault="00C823B8" w:rsidP="00302082">
            <w:pPr>
              <w:spacing w:after="120"/>
              <w:rPr>
                <w:rFonts w:ascii="Arial" w:hAnsi="Arial" w:cs="Arial"/>
                <w:b/>
              </w:rPr>
            </w:pPr>
          </w:p>
        </w:tc>
        <w:tc>
          <w:tcPr>
            <w:tcW w:w="567" w:type="dxa"/>
          </w:tcPr>
          <w:p w14:paraId="7CD7FEDE" w14:textId="77777777" w:rsidR="00C823B8" w:rsidRPr="00302082" w:rsidRDefault="00C823B8" w:rsidP="00302082">
            <w:pPr>
              <w:spacing w:after="120"/>
              <w:rPr>
                <w:rFonts w:ascii="Arial" w:hAnsi="Arial" w:cs="Arial"/>
                <w:b/>
              </w:rPr>
            </w:pPr>
          </w:p>
        </w:tc>
        <w:tc>
          <w:tcPr>
            <w:tcW w:w="567" w:type="dxa"/>
          </w:tcPr>
          <w:p w14:paraId="54FA587E" w14:textId="77777777" w:rsidR="00C823B8" w:rsidRPr="00302082" w:rsidRDefault="00C823B8" w:rsidP="00302082">
            <w:pPr>
              <w:spacing w:after="120"/>
              <w:rPr>
                <w:rFonts w:ascii="Arial" w:hAnsi="Arial" w:cs="Arial"/>
                <w:b/>
              </w:rPr>
            </w:pPr>
          </w:p>
        </w:tc>
        <w:tc>
          <w:tcPr>
            <w:tcW w:w="567" w:type="dxa"/>
          </w:tcPr>
          <w:p w14:paraId="2321C752" w14:textId="77777777" w:rsidR="00C823B8" w:rsidRPr="00302082" w:rsidRDefault="00C823B8" w:rsidP="00302082">
            <w:pPr>
              <w:spacing w:after="120"/>
              <w:rPr>
                <w:rFonts w:ascii="Arial" w:hAnsi="Arial" w:cs="Arial"/>
                <w:b/>
              </w:rPr>
            </w:pPr>
          </w:p>
        </w:tc>
        <w:tc>
          <w:tcPr>
            <w:tcW w:w="567" w:type="dxa"/>
          </w:tcPr>
          <w:p w14:paraId="61E85DB1" w14:textId="77777777" w:rsidR="00C823B8" w:rsidRPr="00302082" w:rsidRDefault="00C823B8" w:rsidP="00302082">
            <w:pPr>
              <w:spacing w:after="120"/>
              <w:rPr>
                <w:rFonts w:ascii="Arial" w:hAnsi="Arial" w:cs="Arial"/>
                <w:b/>
              </w:rPr>
            </w:pPr>
          </w:p>
        </w:tc>
      </w:tr>
      <w:tr w:rsidR="00C823B8" w:rsidRPr="00302082" w14:paraId="01084F07" w14:textId="77777777" w:rsidTr="00C823B8">
        <w:tc>
          <w:tcPr>
            <w:tcW w:w="1730" w:type="dxa"/>
          </w:tcPr>
          <w:p w14:paraId="5AEF8B33" w14:textId="77777777" w:rsidR="00C823B8" w:rsidRPr="00302082" w:rsidRDefault="00C823B8" w:rsidP="00302082">
            <w:pPr>
              <w:spacing w:after="120"/>
              <w:rPr>
                <w:rFonts w:ascii="Arial" w:hAnsi="Arial" w:cs="Arial"/>
                <w:b/>
              </w:rPr>
            </w:pPr>
            <w:r w:rsidRPr="27BA526A">
              <w:rPr>
                <w:rFonts w:ascii="Arial" w:eastAsia="Arial" w:hAnsi="Arial" w:cs="Arial"/>
              </w:rPr>
              <w:t>Private Study</w:t>
            </w:r>
          </w:p>
        </w:tc>
        <w:tc>
          <w:tcPr>
            <w:tcW w:w="567" w:type="dxa"/>
          </w:tcPr>
          <w:p w14:paraId="32BC0310" w14:textId="77777777" w:rsidR="00C823B8" w:rsidRPr="00302082" w:rsidRDefault="00C823B8" w:rsidP="00302082">
            <w:pPr>
              <w:spacing w:after="120"/>
              <w:rPr>
                <w:rFonts w:ascii="Arial" w:hAnsi="Arial" w:cs="Arial"/>
                <w:b/>
              </w:rPr>
            </w:pPr>
            <w:r>
              <w:t>x</w:t>
            </w:r>
          </w:p>
        </w:tc>
        <w:tc>
          <w:tcPr>
            <w:tcW w:w="567" w:type="dxa"/>
          </w:tcPr>
          <w:p w14:paraId="71CE46FD" w14:textId="77777777" w:rsidR="00C823B8" w:rsidRPr="00302082" w:rsidRDefault="00C823B8" w:rsidP="00302082">
            <w:pPr>
              <w:spacing w:after="120"/>
              <w:rPr>
                <w:rFonts w:ascii="Arial" w:hAnsi="Arial" w:cs="Arial"/>
                <w:b/>
              </w:rPr>
            </w:pPr>
            <w:r>
              <w:t>x</w:t>
            </w:r>
          </w:p>
        </w:tc>
        <w:tc>
          <w:tcPr>
            <w:tcW w:w="567" w:type="dxa"/>
          </w:tcPr>
          <w:p w14:paraId="1186515F" w14:textId="77777777" w:rsidR="00C823B8" w:rsidRPr="00302082" w:rsidRDefault="00C823B8" w:rsidP="00302082">
            <w:pPr>
              <w:spacing w:after="120"/>
              <w:rPr>
                <w:rFonts w:ascii="Arial" w:hAnsi="Arial" w:cs="Arial"/>
                <w:b/>
              </w:rPr>
            </w:pPr>
            <w:r>
              <w:t>x</w:t>
            </w:r>
          </w:p>
        </w:tc>
        <w:tc>
          <w:tcPr>
            <w:tcW w:w="567" w:type="dxa"/>
          </w:tcPr>
          <w:p w14:paraId="68EC6DEB" w14:textId="77777777" w:rsidR="00C823B8" w:rsidRPr="00302082" w:rsidRDefault="00C823B8" w:rsidP="00302082">
            <w:pPr>
              <w:spacing w:after="120"/>
              <w:rPr>
                <w:rFonts w:ascii="Arial" w:hAnsi="Arial" w:cs="Arial"/>
                <w:b/>
              </w:rPr>
            </w:pPr>
            <w:r>
              <w:t>x</w:t>
            </w:r>
          </w:p>
        </w:tc>
        <w:tc>
          <w:tcPr>
            <w:tcW w:w="567" w:type="dxa"/>
          </w:tcPr>
          <w:p w14:paraId="5141CA5B" w14:textId="77777777" w:rsidR="00C823B8" w:rsidRPr="00302082" w:rsidRDefault="00C823B8" w:rsidP="00302082">
            <w:pPr>
              <w:spacing w:after="120"/>
              <w:rPr>
                <w:rFonts w:ascii="Arial" w:hAnsi="Arial" w:cs="Arial"/>
                <w:b/>
              </w:rPr>
            </w:pPr>
            <w:r>
              <w:t>x</w:t>
            </w:r>
          </w:p>
        </w:tc>
        <w:tc>
          <w:tcPr>
            <w:tcW w:w="567" w:type="dxa"/>
          </w:tcPr>
          <w:p w14:paraId="7556825D" w14:textId="77777777" w:rsidR="00C823B8" w:rsidRPr="00302082" w:rsidRDefault="00C823B8" w:rsidP="00302082">
            <w:pPr>
              <w:spacing w:after="120"/>
              <w:rPr>
                <w:rFonts w:ascii="Arial" w:hAnsi="Arial" w:cs="Arial"/>
                <w:b/>
              </w:rPr>
            </w:pPr>
            <w:r>
              <w:t>x</w:t>
            </w:r>
          </w:p>
        </w:tc>
        <w:tc>
          <w:tcPr>
            <w:tcW w:w="567" w:type="dxa"/>
          </w:tcPr>
          <w:p w14:paraId="12D425A5" w14:textId="77777777" w:rsidR="00C823B8" w:rsidRPr="00302082" w:rsidRDefault="00C823B8" w:rsidP="00302082">
            <w:pPr>
              <w:spacing w:after="120"/>
              <w:rPr>
                <w:rFonts w:ascii="Arial" w:hAnsi="Arial" w:cs="Arial"/>
                <w:b/>
              </w:rPr>
            </w:pPr>
            <w:r>
              <w:t>x</w:t>
            </w:r>
          </w:p>
        </w:tc>
        <w:tc>
          <w:tcPr>
            <w:tcW w:w="567" w:type="dxa"/>
          </w:tcPr>
          <w:p w14:paraId="6FB4E828" w14:textId="77777777" w:rsidR="00C823B8" w:rsidRPr="00302082" w:rsidRDefault="00C823B8" w:rsidP="00302082">
            <w:pPr>
              <w:spacing w:after="120"/>
              <w:rPr>
                <w:rFonts w:ascii="Arial" w:hAnsi="Arial" w:cs="Arial"/>
                <w:b/>
              </w:rPr>
            </w:pPr>
            <w:r>
              <w:t>x</w:t>
            </w:r>
          </w:p>
        </w:tc>
      </w:tr>
      <w:tr w:rsidR="00C823B8" w:rsidRPr="00302082" w14:paraId="6C85BAE6" w14:textId="77777777" w:rsidTr="00C823B8">
        <w:tc>
          <w:tcPr>
            <w:tcW w:w="1730" w:type="dxa"/>
          </w:tcPr>
          <w:p w14:paraId="36CC6BE7" w14:textId="27BA526A" w:rsidR="00C823B8" w:rsidRPr="00C823B8" w:rsidRDefault="00C823B8" w:rsidP="00302082">
            <w:pPr>
              <w:spacing w:after="120"/>
              <w:rPr>
                <w:rFonts w:ascii="Arial" w:hAnsi="Arial" w:cs="Arial"/>
              </w:rPr>
            </w:pPr>
            <w:r w:rsidRPr="00C823B8">
              <w:rPr>
                <w:rFonts w:ascii="Arial" w:eastAsia="Arial" w:hAnsi="Arial" w:cs="Arial"/>
                <w:iCs/>
              </w:rPr>
              <w:t>Lectures</w:t>
            </w:r>
          </w:p>
        </w:tc>
        <w:tc>
          <w:tcPr>
            <w:tcW w:w="567" w:type="dxa"/>
          </w:tcPr>
          <w:p w14:paraId="5B5444C6" w14:textId="77777777" w:rsidR="00C823B8" w:rsidRPr="00302082" w:rsidRDefault="00C823B8" w:rsidP="00302082">
            <w:pPr>
              <w:spacing w:after="120"/>
              <w:rPr>
                <w:rFonts w:ascii="Arial" w:hAnsi="Arial" w:cs="Arial"/>
                <w:b/>
              </w:rPr>
            </w:pPr>
            <w:r>
              <w:t>x</w:t>
            </w:r>
          </w:p>
        </w:tc>
        <w:tc>
          <w:tcPr>
            <w:tcW w:w="567" w:type="dxa"/>
          </w:tcPr>
          <w:p w14:paraId="4ADF4CA6" w14:textId="77777777" w:rsidR="00C823B8" w:rsidRPr="00302082" w:rsidRDefault="00C823B8" w:rsidP="00302082">
            <w:pPr>
              <w:spacing w:after="120"/>
              <w:rPr>
                <w:rFonts w:ascii="Arial" w:hAnsi="Arial" w:cs="Arial"/>
                <w:b/>
              </w:rPr>
            </w:pPr>
            <w:r>
              <w:t>x</w:t>
            </w:r>
          </w:p>
        </w:tc>
        <w:tc>
          <w:tcPr>
            <w:tcW w:w="567" w:type="dxa"/>
          </w:tcPr>
          <w:p w14:paraId="738C6BA5" w14:textId="77777777" w:rsidR="00C823B8" w:rsidRPr="00302082" w:rsidRDefault="00C823B8" w:rsidP="00302082">
            <w:pPr>
              <w:spacing w:after="120"/>
              <w:rPr>
                <w:rFonts w:ascii="Arial" w:hAnsi="Arial" w:cs="Arial"/>
                <w:b/>
              </w:rPr>
            </w:pPr>
            <w:r>
              <w:t>x</w:t>
            </w:r>
          </w:p>
        </w:tc>
        <w:tc>
          <w:tcPr>
            <w:tcW w:w="567" w:type="dxa"/>
          </w:tcPr>
          <w:p w14:paraId="6D0A95FF" w14:textId="77777777" w:rsidR="00C823B8" w:rsidRPr="00302082" w:rsidRDefault="00C823B8" w:rsidP="00302082">
            <w:pPr>
              <w:spacing w:after="120"/>
              <w:rPr>
                <w:rFonts w:ascii="Arial" w:hAnsi="Arial" w:cs="Arial"/>
                <w:b/>
              </w:rPr>
            </w:pPr>
            <w:r>
              <w:t>x</w:t>
            </w:r>
          </w:p>
        </w:tc>
        <w:tc>
          <w:tcPr>
            <w:tcW w:w="567" w:type="dxa"/>
          </w:tcPr>
          <w:p w14:paraId="4A29379F" w14:textId="77777777" w:rsidR="00C823B8" w:rsidRPr="00302082" w:rsidRDefault="00C823B8" w:rsidP="00302082">
            <w:pPr>
              <w:spacing w:after="120"/>
              <w:rPr>
                <w:rFonts w:ascii="Arial" w:hAnsi="Arial" w:cs="Arial"/>
                <w:b/>
              </w:rPr>
            </w:pPr>
            <w:r>
              <w:t>x</w:t>
            </w:r>
          </w:p>
        </w:tc>
        <w:tc>
          <w:tcPr>
            <w:tcW w:w="567" w:type="dxa"/>
          </w:tcPr>
          <w:p w14:paraId="184A4292" w14:textId="77777777" w:rsidR="00C823B8" w:rsidRPr="00302082" w:rsidRDefault="00C823B8" w:rsidP="00302082">
            <w:pPr>
              <w:spacing w:after="120"/>
              <w:rPr>
                <w:rFonts w:ascii="Arial" w:hAnsi="Arial" w:cs="Arial"/>
                <w:b/>
              </w:rPr>
            </w:pPr>
            <w:r>
              <w:t>x</w:t>
            </w:r>
          </w:p>
        </w:tc>
        <w:tc>
          <w:tcPr>
            <w:tcW w:w="567" w:type="dxa"/>
          </w:tcPr>
          <w:p w14:paraId="73E89D7F" w14:textId="77777777" w:rsidR="00C823B8" w:rsidRPr="00302082" w:rsidRDefault="00C823B8" w:rsidP="00302082">
            <w:pPr>
              <w:spacing w:after="120"/>
              <w:rPr>
                <w:rFonts w:ascii="Arial" w:hAnsi="Arial" w:cs="Arial"/>
                <w:b/>
              </w:rPr>
            </w:pPr>
            <w:r>
              <w:t>x</w:t>
            </w:r>
          </w:p>
        </w:tc>
        <w:tc>
          <w:tcPr>
            <w:tcW w:w="567" w:type="dxa"/>
          </w:tcPr>
          <w:p w14:paraId="3DEF15C3" w14:textId="77777777" w:rsidR="00C823B8" w:rsidRPr="00302082" w:rsidRDefault="00C823B8" w:rsidP="00302082">
            <w:pPr>
              <w:spacing w:after="120"/>
              <w:rPr>
                <w:rFonts w:ascii="Arial" w:hAnsi="Arial" w:cs="Arial"/>
                <w:b/>
              </w:rPr>
            </w:pPr>
            <w:r>
              <w:t>x</w:t>
            </w:r>
          </w:p>
        </w:tc>
      </w:tr>
      <w:tr w:rsidR="00C823B8" w:rsidRPr="00302082" w14:paraId="140051C2" w14:textId="77777777" w:rsidTr="00C823B8">
        <w:tc>
          <w:tcPr>
            <w:tcW w:w="1730" w:type="dxa"/>
          </w:tcPr>
          <w:p w14:paraId="616000C4" w14:textId="04B8D5B6" w:rsidR="00C823B8" w:rsidRPr="00C823B8" w:rsidRDefault="00C823B8" w:rsidP="00302082">
            <w:pPr>
              <w:spacing w:after="120"/>
              <w:rPr>
                <w:rFonts w:ascii="Arial" w:hAnsi="Arial" w:cs="Arial"/>
              </w:rPr>
            </w:pPr>
            <w:r w:rsidRPr="00C823B8">
              <w:rPr>
                <w:rFonts w:ascii="Arial" w:eastAsia="Arial" w:hAnsi="Arial" w:cs="Arial"/>
                <w:iCs/>
              </w:rPr>
              <w:t>Laboratory</w:t>
            </w:r>
          </w:p>
        </w:tc>
        <w:tc>
          <w:tcPr>
            <w:tcW w:w="567" w:type="dxa"/>
            <w:shd w:val="clear" w:color="auto" w:fill="auto"/>
          </w:tcPr>
          <w:p w14:paraId="3B0A38BE"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122FAD30"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4A13CDF3"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74D0B000"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04FCF035"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38926993"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63E8F6A8"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7B4B6517"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r>
      <w:tr w:rsidR="00C823B8" w:rsidRPr="00302082" w14:paraId="30270CC6" w14:textId="77777777" w:rsidTr="00C823B8">
        <w:tc>
          <w:tcPr>
            <w:tcW w:w="1730" w:type="dxa"/>
            <w:shd w:val="clear" w:color="auto" w:fill="D9D9D9" w:themeFill="background1" w:themeFillShade="D9"/>
          </w:tcPr>
          <w:p w14:paraId="6EAA5068" w14:textId="77777777" w:rsidR="00C823B8" w:rsidRPr="00302082" w:rsidRDefault="00C823B8" w:rsidP="00302082">
            <w:pPr>
              <w:spacing w:after="120"/>
              <w:rPr>
                <w:rFonts w:ascii="Arial" w:hAnsi="Arial" w:cs="Arial"/>
                <w:b/>
              </w:rPr>
            </w:pPr>
            <w:r w:rsidRPr="00302082">
              <w:rPr>
                <w:rFonts w:ascii="Arial" w:hAnsi="Arial" w:cs="Arial"/>
                <w:b/>
              </w:rPr>
              <w:t>Assessment method</w:t>
            </w:r>
          </w:p>
        </w:tc>
        <w:tc>
          <w:tcPr>
            <w:tcW w:w="567" w:type="dxa"/>
            <w:shd w:val="clear" w:color="auto" w:fill="auto"/>
          </w:tcPr>
          <w:p w14:paraId="16DB9162" w14:textId="77777777" w:rsidR="00C823B8" w:rsidRPr="00C823B8" w:rsidRDefault="00C823B8" w:rsidP="00302082">
            <w:pPr>
              <w:spacing w:after="120"/>
              <w:rPr>
                <w:rFonts w:ascii="Arial" w:hAnsi="Arial" w:cs="Arial"/>
                <w:b/>
                <w:color w:val="000000" w:themeColor="text1"/>
              </w:rPr>
            </w:pPr>
          </w:p>
        </w:tc>
        <w:tc>
          <w:tcPr>
            <w:tcW w:w="567" w:type="dxa"/>
            <w:shd w:val="clear" w:color="auto" w:fill="auto"/>
          </w:tcPr>
          <w:p w14:paraId="006509CA" w14:textId="77777777" w:rsidR="00C823B8" w:rsidRPr="00C823B8" w:rsidRDefault="00C823B8" w:rsidP="00302082">
            <w:pPr>
              <w:spacing w:after="120"/>
              <w:rPr>
                <w:rFonts w:ascii="Arial" w:hAnsi="Arial" w:cs="Arial"/>
                <w:b/>
                <w:color w:val="000000" w:themeColor="text1"/>
              </w:rPr>
            </w:pPr>
          </w:p>
        </w:tc>
        <w:tc>
          <w:tcPr>
            <w:tcW w:w="567" w:type="dxa"/>
            <w:shd w:val="clear" w:color="auto" w:fill="auto"/>
          </w:tcPr>
          <w:p w14:paraId="3F352BCD" w14:textId="77777777" w:rsidR="00C823B8" w:rsidRPr="00C823B8" w:rsidRDefault="00C823B8" w:rsidP="00302082">
            <w:pPr>
              <w:spacing w:after="120"/>
              <w:rPr>
                <w:rFonts w:ascii="Arial" w:hAnsi="Arial" w:cs="Arial"/>
                <w:b/>
                <w:color w:val="000000" w:themeColor="text1"/>
              </w:rPr>
            </w:pPr>
          </w:p>
        </w:tc>
        <w:tc>
          <w:tcPr>
            <w:tcW w:w="567" w:type="dxa"/>
            <w:shd w:val="clear" w:color="auto" w:fill="auto"/>
          </w:tcPr>
          <w:p w14:paraId="75DE31C2" w14:textId="77777777" w:rsidR="00C823B8" w:rsidRPr="00C823B8" w:rsidRDefault="00C823B8" w:rsidP="00302082">
            <w:pPr>
              <w:spacing w:after="120"/>
              <w:rPr>
                <w:rFonts w:ascii="Arial" w:hAnsi="Arial" w:cs="Arial"/>
                <w:b/>
                <w:color w:val="000000" w:themeColor="text1"/>
              </w:rPr>
            </w:pPr>
          </w:p>
        </w:tc>
        <w:tc>
          <w:tcPr>
            <w:tcW w:w="567" w:type="dxa"/>
            <w:shd w:val="clear" w:color="auto" w:fill="auto"/>
          </w:tcPr>
          <w:p w14:paraId="6827E958" w14:textId="77777777" w:rsidR="00C823B8" w:rsidRPr="00C823B8" w:rsidRDefault="00C823B8" w:rsidP="00302082">
            <w:pPr>
              <w:spacing w:after="120"/>
              <w:rPr>
                <w:rFonts w:ascii="Arial" w:hAnsi="Arial" w:cs="Arial"/>
                <w:b/>
                <w:color w:val="000000" w:themeColor="text1"/>
              </w:rPr>
            </w:pPr>
          </w:p>
        </w:tc>
        <w:tc>
          <w:tcPr>
            <w:tcW w:w="567" w:type="dxa"/>
            <w:shd w:val="clear" w:color="auto" w:fill="auto"/>
          </w:tcPr>
          <w:p w14:paraId="6793FE62" w14:textId="77777777" w:rsidR="00C823B8" w:rsidRPr="00C823B8" w:rsidRDefault="00C823B8" w:rsidP="00302082">
            <w:pPr>
              <w:spacing w:after="120"/>
              <w:rPr>
                <w:rFonts w:ascii="Arial" w:hAnsi="Arial" w:cs="Arial"/>
                <w:b/>
                <w:color w:val="000000" w:themeColor="text1"/>
              </w:rPr>
            </w:pPr>
          </w:p>
        </w:tc>
        <w:tc>
          <w:tcPr>
            <w:tcW w:w="567" w:type="dxa"/>
            <w:shd w:val="clear" w:color="auto" w:fill="auto"/>
          </w:tcPr>
          <w:p w14:paraId="3392F428" w14:textId="77777777" w:rsidR="00C823B8" w:rsidRPr="00C823B8" w:rsidRDefault="00C823B8" w:rsidP="00302082">
            <w:pPr>
              <w:spacing w:after="120"/>
              <w:rPr>
                <w:rFonts w:ascii="Arial" w:hAnsi="Arial" w:cs="Arial"/>
                <w:b/>
                <w:color w:val="000000" w:themeColor="text1"/>
              </w:rPr>
            </w:pPr>
          </w:p>
        </w:tc>
        <w:tc>
          <w:tcPr>
            <w:tcW w:w="567" w:type="dxa"/>
            <w:shd w:val="clear" w:color="auto" w:fill="auto"/>
          </w:tcPr>
          <w:p w14:paraId="27AD745B" w14:textId="77777777" w:rsidR="00C823B8" w:rsidRPr="00C823B8" w:rsidRDefault="00C823B8" w:rsidP="00302082">
            <w:pPr>
              <w:spacing w:after="120"/>
              <w:rPr>
                <w:rFonts w:ascii="Arial" w:hAnsi="Arial" w:cs="Arial"/>
                <w:b/>
                <w:color w:val="000000" w:themeColor="text1"/>
              </w:rPr>
            </w:pPr>
          </w:p>
        </w:tc>
      </w:tr>
      <w:tr w:rsidR="00C823B8" w:rsidRPr="00302082" w14:paraId="4284B3C8" w14:textId="77777777" w:rsidTr="00C823B8">
        <w:tc>
          <w:tcPr>
            <w:tcW w:w="1730" w:type="dxa"/>
          </w:tcPr>
          <w:p w14:paraId="6521E5F6" w14:textId="1217A9E0" w:rsidR="00C823B8" w:rsidRPr="00C823B8" w:rsidRDefault="00C823B8" w:rsidP="009426BB">
            <w:pPr>
              <w:spacing w:after="120"/>
              <w:rPr>
                <w:rFonts w:ascii="Arial" w:hAnsi="Arial" w:cs="Arial"/>
              </w:rPr>
            </w:pPr>
            <w:r w:rsidRPr="00C823B8">
              <w:rPr>
                <w:rFonts w:ascii="Arial" w:eastAsia="Arial" w:hAnsi="Arial" w:cs="Arial"/>
                <w:iCs/>
              </w:rPr>
              <w:t xml:space="preserve"> Genotype exercise</w:t>
            </w:r>
          </w:p>
        </w:tc>
        <w:tc>
          <w:tcPr>
            <w:tcW w:w="567" w:type="dxa"/>
            <w:shd w:val="clear" w:color="auto" w:fill="auto"/>
          </w:tcPr>
          <w:p w14:paraId="60800CFF"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2B7F6B6E"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524917CD"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59230031"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2ECB4725"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75515142"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4BA73DFF"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6A024490" w14:textId="50B35010" w:rsidR="00C823B8" w:rsidRPr="00C823B8" w:rsidRDefault="00C823B8" w:rsidP="00302082">
            <w:pPr>
              <w:spacing w:after="120"/>
              <w:rPr>
                <w:rFonts w:ascii="Arial" w:hAnsi="Arial" w:cs="Arial"/>
                <w:b/>
                <w:color w:val="000000" w:themeColor="text1"/>
              </w:rPr>
            </w:pPr>
          </w:p>
        </w:tc>
      </w:tr>
      <w:tr w:rsidR="00C823B8" w:rsidRPr="00302082" w14:paraId="49D0DE80" w14:textId="77777777" w:rsidTr="00C823B8">
        <w:tc>
          <w:tcPr>
            <w:tcW w:w="1730" w:type="dxa"/>
          </w:tcPr>
          <w:p w14:paraId="2725153D" w14:textId="18D95432" w:rsidR="00C823B8" w:rsidRPr="00C823B8" w:rsidRDefault="00C823B8" w:rsidP="009426BB">
            <w:pPr>
              <w:spacing w:after="120"/>
              <w:rPr>
                <w:rFonts w:ascii="Arial" w:hAnsi="Arial" w:cs="Arial"/>
              </w:rPr>
            </w:pPr>
            <w:r w:rsidRPr="00C823B8">
              <w:rPr>
                <w:rFonts w:ascii="Arial" w:eastAsia="Arial" w:hAnsi="Arial" w:cs="Arial"/>
                <w:iCs/>
              </w:rPr>
              <w:t>Lab write up</w:t>
            </w:r>
          </w:p>
        </w:tc>
        <w:tc>
          <w:tcPr>
            <w:tcW w:w="567" w:type="dxa"/>
            <w:shd w:val="clear" w:color="auto" w:fill="auto"/>
          </w:tcPr>
          <w:p w14:paraId="54AC987B"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7C627FEB"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69D26762"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47D5151C"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5497AC56"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7F69E236"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1C1822D6"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64FD30E6"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r>
      <w:tr w:rsidR="00C823B8" w:rsidRPr="00302082" w14:paraId="2ACA9587" w14:textId="77777777" w:rsidTr="00C823B8">
        <w:tc>
          <w:tcPr>
            <w:tcW w:w="1730" w:type="dxa"/>
          </w:tcPr>
          <w:p w14:paraId="6CF4A9D7" w14:textId="77777777" w:rsidR="00C823B8" w:rsidRPr="00C823B8" w:rsidRDefault="00C823B8" w:rsidP="00302082">
            <w:pPr>
              <w:spacing w:after="120"/>
              <w:rPr>
                <w:rFonts w:ascii="Arial" w:hAnsi="Arial" w:cs="Arial"/>
              </w:rPr>
            </w:pPr>
            <w:r w:rsidRPr="00C823B8">
              <w:rPr>
                <w:rFonts w:ascii="Arial" w:eastAsia="Arial" w:hAnsi="Arial" w:cs="Arial"/>
                <w:iCs/>
              </w:rPr>
              <w:t>Examination</w:t>
            </w:r>
          </w:p>
        </w:tc>
        <w:tc>
          <w:tcPr>
            <w:tcW w:w="567" w:type="dxa"/>
            <w:shd w:val="clear" w:color="auto" w:fill="auto"/>
          </w:tcPr>
          <w:p w14:paraId="0124990B"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740FD8E4"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1F008EE1"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737609E7"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1266DDA7" w14:textId="0A135533" w:rsidR="00C823B8" w:rsidRPr="00C823B8" w:rsidRDefault="00C823B8" w:rsidP="00302082">
            <w:pPr>
              <w:spacing w:after="120"/>
              <w:rPr>
                <w:rFonts w:ascii="Arial" w:hAnsi="Arial" w:cs="Arial"/>
                <w:b/>
                <w:color w:val="000000" w:themeColor="text1"/>
              </w:rPr>
            </w:pPr>
          </w:p>
        </w:tc>
        <w:tc>
          <w:tcPr>
            <w:tcW w:w="567" w:type="dxa"/>
            <w:shd w:val="clear" w:color="auto" w:fill="auto"/>
          </w:tcPr>
          <w:p w14:paraId="5B5D50EF"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25F6D830" w14:textId="77777777" w:rsidR="00C823B8" w:rsidRPr="00C823B8" w:rsidRDefault="00C823B8" w:rsidP="00302082">
            <w:pPr>
              <w:spacing w:after="120"/>
              <w:rPr>
                <w:rFonts w:ascii="Arial" w:hAnsi="Arial" w:cs="Arial"/>
                <w:b/>
                <w:color w:val="000000" w:themeColor="text1"/>
              </w:rPr>
            </w:pPr>
            <w:r w:rsidRPr="00C823B8">
              <w:rPr>
                <w:color w:val="000000" w:themeColor="text1"/>
              </w:rPr>
              <w:t>x</w:t>
            </w:r>
          </w:p>
        </w:tc>
        <w:tc>
          <w:tcPr>
            <w:tcW w:w="567" w:type="dxa"/>
            <w:shd w:val="clear" w:color="auto" w:fill="auto"/>
          </w:tcPr>
          <w:p w14:paraId="09D06A7B" w14:textId="22B841C6" w:rsidR="00C823B8" w:rsidRPr="00C823B8" w:rsidRDefault="00C823B8" w:rsidP="00302082">
            <w:pPr>
              <w:spacing w:after="120"/>
              <w:rPr>
                <w:rFonts w:ascii="Arial" w:hAnsi="Arial" w:cs="Arial"/>
                <w:b/>
                <w:color w:val="000000" w:themeColor="text1"/>
              </w:rPr>
            </w:pPr>
          </w:p>
        </w:tc>
      </w:tr>
    </w:tbl>
    <w:p w14:paraId="38E12243" w14:textId="77777777" w:rsidR="007A6245" w:rsidRDefault="007A6245" w:rsidP="00302082">
      <w:pPr>
        <w:spacing w:after="120" w:line="240" w:lineRule="auto"/>
        <w:ind w:left="426" w:right="260"/>
        <w:rPr>
          <w:rFonts w:ascii="Arial" w:hAnsi="Arial" w:cs="Arial"/>
          <w:b/>
          <w:iCs/>
        </w:rPr>
      </w:pPr>
    </w:p>
    <w:p w14:paraId="2FEC3B4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AA216E" w14:textId="098F599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46481">
        <w:rPr>
          <w:rFonts w:ascii="Arial" w:hAnsi="Arial" w:cs="Arial"/>
        </w:rPr>
        <w:t>The School</w:t>
      </w:r>
      <w:r w:rsidR="00946481" w:rsidRPr="00946481">
        <w:rPr>
          <w:rFonts w:ascii="Arial" w:hAnsi="Arial" w:cs="Arial"/>
        </w:rPr>
        <w:t xml:space="preserve"> </w:t>
      </w:r>
      <w:r w:rsidRPr="0094648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D133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A82A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76C4D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26B1C3E" w14:textId="77777777" w:rsidR="00096DA4" w:rsidRPr="00302082" w:rsidRDefault="00096DA4" w:rsidP="00302082">
      <w:pPr>
        <w:spacing w:after="120" w:line="240" w:lineRule="auto"/>
        <w:ind w:left="426" w:right="260"/>
        <w:rPr>
          <w:rFonts w:ascii="Arial" w:hAnsi="Arial" w:cs="Arial"/>
          <w:i/>
          <w:iCs/>
        </w:rPr>
      </w:pPr>
    </w:p>
    <w:p w14:paraId="022734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521010D" w14:textId="5A9DB636" w:rsidR="009A2D37" w:rsidRPr="00946481" w:rsidRDefault="00946481" w:rsidP="00696FF5">
      <w:pPr>
        <w:spacing w:after="120" w:line="240" w:lineRule="auto"/>
        <w:ind w:left="567" w:right="260"/>
        <w:jc w:val="both"/>
        <w:rPr>
          <w:rFonts w:ascii="Arial" w:hAnsi="Arial" w:cs="Arial"/>
          <w:b/>
        </w:rPr>
      </w:pPr>
      <w:r w:rsidRPr="00946481">
        <w:rPr>
          <w:rFonts w:ascii="Arial" w:hAnsi="Arial" w:cs="Arial"/>
        </w:rPr>
        <w:t>Canterbury</w:t>
      </w:r>
    </w:p>
    <w:p w14:paraId="4E321722" w14:textId="77777777" w:rsidR="009A2D37" w:rsidRDefault="009A2D37" w:rsidP="00302082">
      <w:pPr>
        <w:spacing w:after="120" w:line="240" w:lineRule="auto"/>
        <w:ind w:left="426" w:right="260"/>
        <w:rPr>
          <w:rFonts w:ascii="Arial" w:hAnsi="Arial" w:cs="Arial"/>
          <w:i/>
          <w:iCs/>
        </w:rPr>
      </w:pPr>
    </w:p>
    <w:p w14:paraId="72AE41C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84F905" w14:textId="0D9F37CD" w:rsidR="009426BB" w:rsidRPr="009426BB" w:rsidRDefault="009426BB" w:rsidP="00696FF5">
      <w:pPr>
        <w:autoSpaceDE w:val="0"/>
        <w:autoSpaceDN w:val="0"/>
        <w:adjustRightInd w:val="0"/>
        <w:spacing w:after="120" w:line="240" w:lineRule="auto"/>
        <w:ind w:left="567" w:right="261"/>
        <w:jc w:val="both"/>
        <w:rPr>
          <w:rFonts w:ascii="Arial" w:hAnsi="Arial" w:cs="Arial"/>
        </w:rPr>
      </w:pPr>
      <w:r>
        <w:rPr>
          <w:rFonts w:ascii="Arial" w:hAnsi="Arial" w:cs="Arial"/>
        </w:rPr>
        <w:t>T</w:t>
      </w:r>
      <w:r w:rsidRPr="009426BB">
        <w:rPr>
          <w:rFonts w:ascii="Arial" w:hAnsi="Arial" w:cs="Arial"/>
        </w:rPr>
        <w:t>he module embraces the concept of internationalisation</w:t>
      </w:r>
      <w:r>
        <w:rPr>
          <w:rFonts w:ascii="Arial" w:hAnsi="Arial" w:cs="Arial"/>
        </w:rPr>
        <w:t xml:space="preserve"> by teaching and </w:t>
      </w:r>
      <w:r w:rsidR="00D72CF0">
        <w:rPr>
          <w:rFonts w:ascii="Arial" w:hAnsi="Arial" w:cs="Arial"/>
        </w:rPr>
        <w:t>embedding methods</w:t>
      </w:r>
      <w:r>
        <w:rPr>
          <w:rFonts w:ascii="Arial" w:hAnsi="Arial" w:cs="Arial"/>
        </w:rPr>
        <w:t xml:space="preserve"> from both the UK, USA and wider afield</w:t>
      </w:r>
    </w:p>
    <w:p w14:paraId="45F25DC4" w14:textId="77777777" w:rsidR="009426BB" w:rsidRDefault="009426BB" w:rsidP="00696FF5">
      <w:pPr>
        <w:autoSpaceDE w:val="0"/>
        <w:autoSpaceDN w:val="0"/>
        <w:adjustRightInd w:val="0"/>
        <w:spacing w:after="120" w:line="240" w:lineRule="auto"/>
        <w:ind w:left="567" w:right="261"/>
        <w:jc w:val="both"/>
        <w:rPr>
          <w:rFonts w:ascii="Arial" w:hAnsi="Arial" w:cs="Arial"/>
          <w:highlight w:val="yellow"/>
        </w:rPr>
      </w:pPr>
    </w:p>
    <w:p w14:paraId="521321EA" w14:textId="39C58726" w:rsidR="00883204" w:rsidRPr="00883204" w:rsidRDefault="00883204" w:rsidP="00883204">
      <w:pPr>
        <w:spacing w:after="120" w:line="240" w:lineRule="auto"/>
        <w:ind w:right="260"/>
        <w:rPr>
          <w:rFonts w:ascii="Arial" w:hAnsi="Arial" w:cs="Arial"/>
          <w:b/>
        </w:rPr>
      </w:pPr>
    </w:p>
    <w:p w14:paraId="4308F88E" w14:textId="77777777" w:rsidR="00641D6D" w:rsidRPr="00302082" w:rsidRDefault="00641D6D" w:rsidP="00302082">
      <w:pPr>
        <w:pBdr>
          <w:bottom w:val="single" w:sz="6" w:space="1" w:color="auto"/>
        </w:pBdr>
        <w:spacing w:after="120" w:line="240" w:lineRule="auto"/>
        <w:ind w:right="260"/>
        <w:rPr>
          <w:rFonts w:ascii="Arial" w:hAnsi="Arial" w:cs="Arial"/>
        </w:rPr>
      </w:pPr>
    </w:p>
    <w:p w14:paraId="4A3444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3B08D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DD028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CF6CFDB" w14:textId="77777777" w:rsidTr="00694309">
        <w:trPr>
          <w:trHeight w:val="317"/>
        </w:trPr>
        <w:tc>
          <w:tcPr>
            <w:tcW w:w="1526" w:type="dxa"/>
          </w:tcPr>
          <w:p w14:paraId="759D81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703D0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AE25E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61AA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2E742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2A4869" w14:textId="77777777" w:rsidTr="00694309">
        <w:trPr>
          <w:trHeight w:val="305"/>
        </w:trPr>
        <w:tc>
          <w:tcPr>
            <w:tcW w:w="1526" w:type="dxa"/>
          </w:tcPr>
          <w:p w14:paraId="4390BD94" w14:textId="16F22415" w:rsidR="00422B69" w:rsidRPr="00302082" w:rsidRDefault="00D72CF0" w:rsidP="00302082">
            <w:pPr>
              <w:spacing w:after="120"/>
              <w:ind w:right="-330"/>
              <w:rPr>
                <w:rFonts w:ascii="Arial" w:hAnsi="Arial" w:cs="Arial"/>
              </w:rPr>
            </w:pPr>
            <w:r>
              <w:rPr>
                <w:rFonts w:ascii="Arial" w:hAnsi="Arial" w:cs="Arial"/>
              </w:rPr>
              <w:t>28/02/19</w:t>
            </w:r>
          </w:p>
        </w:tc>
        <w:tc>
          <w:tcPr>
            <w:tcW w:w="1701" w:type="dxa"/>
          </w:tcPr>
          <w:p w14:paraId="22C5B960" w14:textId="6156F299" w:rsidR="00422B69" w:rsidRPr="00302082" w:rsidRDefault="00D72CF0" w:rsidP="00302082">
            <w:pPr>
              <w:spacing w:after="120"/>
              <w:ind w:right="-330"/>
              <w:rPr>
                <w:rFonts w:ascii="Arial" w:hAnsi="Arial" w:cs="Arial"/>
              </w:rPr>
            </w:pPr>
            <w:r>
              <w:rPr>
                <w:rFonts w:ascii="Arial" w:hAnsi="Arial" w:cs="Arial"/>
              </w:rPr>
              <w:t>Major</w:t>
            </w:r>
          </w:p>
        </w:tc>
        <w:tc>
          <w:tcPr>
            <w:tcW w:w="2410" w:type="dxa"/>
          </w:tcPr>
          <w:p w14:paraId="16654CDA" w14:textId="178F4BF4" w:rsidR="00422B69" w:rsidRPr="00302082" w:rsidRDefault="00D72CF0" w:rsidP="00302082">
            <w:pPr>
              <w:spacing w:after="120"/>
              <w:ind w:right="-330"/>
              <w:rPr>
                <w:rFonts w:ascii="Arial" w:hAnsi="Arial" w:cs="Arial"/>
              </w:rPr>
            </w:pPr>
            <w:r>
              <w:rPr>
                <w:rFonts w:ascii="Arial" w:hAnsi="Arial" w:cs="Arial"/>
              </w:rPr>
              <w:t>September 2019</w:t>
            </w:r>
          </w:p>
        </w:tc>
        <w:tc>
          <w:tcPr>
            <w:tcW w:w="2448" w:type="dxa"/>
          </w:tcPr>
          <w:p w14:paraId="47420AC8" w14:textId="300551FB" w:rsidR="00422B69" w:rsidRPr="00302082" w:rsidRDefault="00D72CF0" w:rsidP="00302082">
            <w:pPr>
              <w:spacing w:after="120"/>
              <w:ind w:right="-330"/>
              <w:rPr>
                <w:rFonts w:ascii="Arial" w:hAnsi="Arial" w:cs="Arial"/>
              </w:rPr>
            </w:pPr>
            <w:r>
              <w:rPr>
                <w:rFonts w:ascii="Arial" w:hAnsi="Arial" w:cs="Arial"/>
              </w:rPr>
              <w:t>8,9,11,13</w:t>
            </w:r>
          </w:p>
        </w:tc>
        <w:tc>
          <w:tcPr>
            <w:tcW w:w="2597" w:type="dxa"/>
          </w:tcPr>
          <w:p w14:paraId="4BA46E5A" w14:textId="5ECE092D" w:rsidR="00422B69" w:rsidRPr="00302082" w:rsidRDefault="00D72CF0" w:rsidP="00302082">
            <w:pPr>
              <w:spacing w:after="120"/>
              <w:ind w:right="-330"/>
              <w:rPr>
                <w:rFonts w:ascii="Arial" w:hAnsi="Arial" w:cs="Arial"/>
              </w:rPr>
            </w:pPr>
            <w:r>
              <w:rPr>
                <w:rFonts w:ascii="Arial" w:hAnsi="Arial" w:cs="Arial"/>
              </w:rPr>
              <w:t>no</w:t>
            </w:r>
          </w:p>
        </w:tc>
      </w:tr>
      <w:tr w:rsidR="00302082" w:rsidRPr="00302082" w14:paraId="607C607F" w14:textId="77777777" w:rsidTr="00694309">
        <w:trPr>
          <w:trHeight w:val="305"/>
        </w:trPr>
        <w:tc>
          <w:tcPr>
            <w:tcW w:w="1526" w:type="dxa"/>
          </w:tcPr>
          <w:p w14:paraId="3728DC8E" w14:textId="77777777" w:rsidR="00422B69" w:rsidRPr="00302082" w:rsidRDefault="00422B69" w:rsidP="00302082">
            <w:pPr>
              <w:spacing w:after="120"/>
              <w:ind w:right="-330"/>
              <w:rPr>
                <w:rFonts w:ascii="Arial" w:hAnsi="Arial" w:cs="Arial"/>
              </w:rPr>
            </w:pPr>
          </w:p>
        </w:tc>
        <w:tc>
          <w:tcPr>
            <w:tcW w:w="1701" w:type="dxa"/>
          </w:tcPr>
          <w:p w14:paraId="35A20988" w14:textId="77777777" w:rsidR="00422B69" w:rsidRPr="00302082" w:rsidRDefault="00422B69" w:rsidP="00302082">
            <w:pPr>
              <w:spacing w:after="120"/>
              <w:ind w:right="-330"/>
              <w:rPr>
                <w:rFonts w:ascii="Arial" w:hAnsi="Arial" w:cs="Arial"/>
              </w:rPr>
            </w:pPr>
          </w:p>
        </w:tc>
        <w:tc>
          <w:tcPr>
            <w:tcW w:w="2410" w:type="dxa"/>
          </w:tcPr>
          <w:p w14:paraId="245466FF" w14:textId="77777777" w:rsidR="00422B69" w:rsidRPr="00302082" w:rsidRDefault="00422B69" w:rsidP="00302082">
            <w:pPr>
              <w:spacing w:after="120"/>
              <w:ind w:right="-330"/>
              <w:rPr>
                <w:rFonts w:ascii="Arial" w:hAnsi="Arial" w:cs="Arial"/>
              </w:rPr>
            </w:pPr>
          </w:p>
        </w:tc>
        <w:tc>
          <w:tcPr>
            <w:tcW w:w="2448" w:type="dxa"/>
          </w:tcPr>
          <w:p w14:paraId="55000E24" w14:textId="77777777" w:rsidR="00422B69" w:rsidRPr="00302082" w:rsidRDefault="00422B69" w:rsidP="00302082">
            <w:pPr>
              <w:spacing w:after="120"/>
              <w:ind w:right="-330"/>
              <w:rPr>
                <w:rFonts w:ascii="Arial" w:hAnsi="Arial" w:cs="Arial"/>
              </w:rPr>
            </w:pPr>
          </w:p>
        </w:tc>
        <w:tc>
          <w:tcPr>
            <w:tcW w:w="2597" w:type="dxa"/>
          </w:tcPr>
          <w:p w14:paraId="7E2B5C2F" w14:textId="77777777" w:rsidR="00422B69" w:rsidRPr="00302082" w:rsidRDefault="00422B69" w:rsidP="00302082">
            <w:pPr>
              <w:spacing w:after="120"/>
              <w:ind w:right="-330"/>
              <w:rPr>
                <w:rFonts w:ascii="Arial" w:hAnsi="Arial" w:cs="Arial"/>
              </w:rPr>
            </w:pPr>
          </w:p>
        </w:tc>
      </w:tr>
    </w:tbl>
    <w:p w14:paraId="1E8ED7DB" w14:textId="77777777" w:rsidR="00D83563" w:rsidRDefault="00D83563" w:rsidP="00302082">
      <w:pPr>
        <w:spacing w:after="120" w:line="240" w:lineRule="auto"/>
        <w:ind w:right="-330"/>
        <w:rPr>
          <w:rFonts w:ascii="Arial" w:hAnsi="Arial" w:cs="Arial"/>
        </w:rPr>
      </w:pPr>
    </w:p>
    <w:p w14:paraId="68FBBFB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AE12" w14:textId="77777777" w:rsidR="001E5B04" w:rsidRDefault="001E5B04" w:rsidP="009A2D37">
      <w:pPr>
        <w:spacing w:after="0" w:line="240" w:lineRule="auto"/>
      </w:pPr>
      <w:r>
        <w:separator/>
      </w:r>
    </w:p>
  </w:endnote>
  <w:endnote w:type="continuationSeparator" w:id="0">
    <w:p w14:paraId="5A741406" w14:textId="77777777" w:rsidR="001E5B04" w:rsidRDefault="001E5B04" w:rsidP="009A2D37">
      <w:pPr>
        <w:spacing w:after="0" w:line="240" w:lineRule="auto"/>
      </w:pPr>
      <w:r>
        <w:continuationSeparator/>
      </w:r>
    </w:p>
  </w:endnote>
  <w:endnote w:type="continuationNotice" w:id="1">
    <w:p w14:paraId="1D8264D8" w14:textId="77777777" w:rsidR="001E5B04" w:rsidRDefault="001E5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EA0AD0" w14:textId="1D576715" w:rsidR="008B2543" w:rsidRDefault="0019787E" w:rsidP="009A2D37">
        <w:pPr>
          <w:pStyle w:val="Footer"/>
          <w:jc w:val="center"/>
        </w:pPr>
        <w:r>
          <w:fldChar w:fldCharType="begin"/>
        </w:r>
        <w:r>
          <w:instrText xml:space="preserve"> PAGE   \* MERGEFORMAT </w:instrText>
        </w:r>
        <w:r>
          <w:fldChar w:fldCharType="separate"/>
        </w:r>
        <w:r w:rsidR="00D72CF0">
          <w:rPr>
            <w:noProof/>
          </w:rPr>
          <w:t>4</w:t>
        </w:r>
        <w:r>
          <w:rPr>
            <w:noProof/>
          </w:rPr>
          <w:fldChar w:fldCharType="end"/>
        </w:r>
      </w:p>
    </w:sdtContent>
  </w:sdt>
  <w:p w14:paraId="38AD955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0CFC" w14:textId="77777777" w:rsidR="001E5B04" w:rsidRDefault="001E5B04" w:rsidP="009A2D37">
      <w:pPr>
        <w:spacing w:after="0" w:line="240" w:lineRule="auto"/>
      </w:pPr>
      <w:r>
        <w:separator/>
      </w:r>
    </w:p>
  </w:footnote>
  <w:footnote w:type="continuationSeparator" w:id="0">
    <w:p w14:paraId="354A4C2C" w14:textId="77777777" w:rsidR="001E5B04" w:rsidRDefault="001E5B04" w:rsidP="009A2D37">
      <w:pPr>
        <w:spacing w:after="0" w:line="240" w:lineRule="auto"/>
      </w:pPr>
      <w:r>
        <w:continuationSeparator/>
      </w:r>
    </w:p>
  </w:footnote>
  <w:footnote w:type="continuationNotice" w:id="1">
    <w:p w14:paraId="39C1C5D5" w14:textId="77777777" w:rsidR="001E5B04" w:rsidRDefault="001E5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D1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62C14" wp14:editId="1F95E7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40775E" w14:textId="77777777" w:rsidR="008B2543" w:rsidRPr="008C00F8" w:rsidRDefault="008B2543" w:rsidP="005E6D38">
    <w:pPr>
      <w:pStyle w:val="Heading1"/>
      <w:spacing w:before="60" w:after="60"/>
      <w:rPr>
        <w:rFonts w:ascii="Arial" w:hAnsi="Arial" w:cs="Arial"/>
      </w:rPr>
    </w:pPr>
  </w:p>
  <w:p w14:paraId="253040B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581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A9F00" wp14:editId="62129B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6777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43DBC"/>
    <w:multiLevelType w:val="hybridMultilevel"/>
    <w:tmpl w:val="5F2A5448"/>
    <w:lvl w:ilvl="0" w:tplc="D84ED494">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0755E9"/>
    <w:multiLevelType w:val="hybridMultilevel"/>
    <w:tmpl w:val="3FF4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C2859"/>
    <w:multiLevelType w:val="hybridMultilevel"/>
    <w:tmpl w:val="83582C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7FE37C6"/>
    <w:multiLevelType w:val="hybridMultilevel"/>
    <w:tmpl w:val="67EC3C38"/>
    <w:lvl w:ilvl="0" w:tplc="AEFEB2E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720908"/>
    <w:multiLevelType w:val="hybridMultilevel"/>
    <w:tmpl w:val="57105F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4"/>
  </w:num>
  <w:num w:numId="8">
    <w:abstractNumId w:val="11"/>
  </w:num>
  <w:num w:numId="9">
    <w:abstractNumId w:val="7"/>
  </w:num>
  <w:num w:numId="10">
    <w:abstractNumId w:val="9"/>
  </w:num>
  <w:num w:numId="11">
    <w:abstractNumId w:val="1"/>
  </w:num>
  <w:num w:numId="12">
    <w:abstractNumId w:val="13"/>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9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3698"/>
    <w:rsid w:val="00094810"/>
    <w:rsid w:val="00096DA4"/>
    <w:rsid w:val="000A65DD"/>
    <w:rsid w:val="000C0294"/>
    <w:rsid w:val="000C654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FE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B04"/>
    <w:rsid w:val="001E62C1"/>
    <w:rsid w:val="001F0779"/>
    <w:rsid w:val="001F3C3E"/>
    <w:rsid w:val="00201C5F"/>
    <w:rsid w:val="0020243A"/>
    <w:rsid w:val="0021578E"/>
    <w:rsid w:val="00227582"/>
    <w:rsid w:val="002308BE"/>
    <w:rsid w:val="0023777B"/>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243F"/>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A43"/>
    <w:rsid w:val="00471C6C"/>
    <w:rsid w:val="00472023"/>
    <w:rsid w:val="00486993"/>
    <w:rsid w:val="00492DA4"/>
    <w:rsid w:val="00496AA3"/>
    <w:rsid w:val="00497C98"/>
    <w:rsid w:val="004A39D7"/>
    <w:rsid w:val="004A55FA"/>
    <w:rsid w:val="004B5D03"/>
    <w:rsid w:val="004C1EC4"/>
    <w:rsid w:val="004C22B4"/>
    <w:rsid w:val="004D035C"/>
    <w:rsid w:val="004E3A33"/>
    <w:rsid w:val="004F3C18"/>
    <w:rsid w:val="004F4328"/>
    <w:rsid w:val="004F4DB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3B"/>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2AE7"/>
    <w:rsid w:val="007F393D"/>
    <w:rsid w:val="008029AF"/>
    <w:rsid w:val="00802FFA"/>
    <w:rsid w:val="008102E5"/>
    <w:rsid w:val="008111B4"/>
    <w:rsid w:val="008133F0"/>
    <w:rsid w:val="00815880"/>
    <w:rsid w:val="0082322C"/>
    <w:rsid w:val="00823942"/>
    <w:rsid w:val="00827FFD"/>
    <w:rsid w:val="0083074C"/>
    <w:rsid w:val="0083161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99A"/>
    <w:rsid w:val="008D7401"/>
    <w:rsid w:val="008F3596"/>
    <w:rsid w:val="00903DF6"/>
    <w:rsid w:val="0090789A"/>
    <w:rsid w:val="00921CF6"/>
    <w:rsid w:val="00922E9E"/>
    <w:rsid w:val="00924EF0"/>
    <w:rsid w:val="00934D7B"/>
    <w:rsid w:val="009426BB"/>
    <w:rsid w:val="00946481"/>
    <w:rsid w:val="00947180"/>
    <w:rsid w:val="009567BE"/>
    <w:rsid w:val="009676FA"/>
    <w:rsid w:val="009679E0"/>
    <w:rsid w:val="0097241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1A70"/>
    <w:rsid w:val="00A52DB4"/>
    <w:rsid w:val="00A618E1"/>
    <w:rsid w:val="00A629B9"/>
    <w:rsid w:val="00A70C20"/>
    <w:rsid w:val="00A74292"/>
    <w:rsid w:val="00A776DE"/>
    <w:rsid w:val="00A80640"/>
    <w:rsid w:val="00A87FFD"/>
    <w:rsid w:val="00A97038"/>
    <w:rsid w:val="00AA3C15"/>
    <w:rsid w:val="00AA6330"/>
    <w:rsid w:val="00AC3F52"/>
    <w:rsid w:val="00AC7501"/>
    <w:rsid w:val="00AD748B"/>
    <w:rsid w:val="00AE08C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0111"/>
    <w:rsid w:val="00B746A8"/>
    <w:rsid w:val="00B7664D"/>
    <w:rsid w:val="00B80989"/>
    <w:rsid w:val="00B9109B"/>
    <w:rsid w:val="00B927AE"/>
    <w:rsid w:val="00B93721"/>
    <w:rsid w:val="00B937B1"/>
    <w:rsid w:val="00B97244"/>
    <w:rsid w:val="00BA453C"/>
    <w:rsid w:val="00BA4E02"/>
    <w:rsid w:val="00BB2045"/>
    <w:rsid w:val="00BB2A6D"/>
    <w:rsid w:val="00BB4189"/>
    <w:rsid w:val="00BC19F7"/>
    <w:rsid w:val="00BC41ED"/>
    <w:rsid w:val="00BD009E"/>
    <w:rsid w:val="00BD0EF8"/>
    <w:rsid w:val="00BD7A8C"/>
    <w:rsid w:val="00BE2126"/>
    <w:rsid w:val="00BE3B17"/>
    <w:rsid w:val="00BF117E"/>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22ED"/>
    <w:rsid w:val="00C823B8"/>
    <w:rsid w:val="00C83354"/>
    <w:rsid w:val="00C84004"/>
    <w:rsid w:val="00C843F6"/>
    <w:rsid w:val="00C84507"/>
    <w:rsid w:val="00C862C7"/>
    <w:rsid w:val="00CA3254"/>
    <w:rsid w:val="00CB11CE"/>
    <w:rsid w:val="00CC25A2"/>
    <w:rsid w:val="00CD7F07"/>
    <w:rsid w:val="00CE04F3"/>
    <w:rsid w:val="00CE12D8"/>
    <w:rsid w:val="00CE26E5"/>
    <w:rsid w:val="00CE4574"/>
    <w:rsid w:val="00CE70E6"/>
    <w:rsid w:val="00CF2E1E"/>
    <w:rsid w:val="00D02E99"/>
    <w:rsid w:val="00D0368D"/>
    <w:rsid w:val="00D13357"/>
    <w:rsid w:val="00D13A13"/>
    <w:rsid w:val="00D2689A"/>
    <w:rsid w:val="00D65506"/>
    <w:rsid w:val="00D72CF0"/>
    <w:rsid w:val="00D773CF"/>
    <w:rsid w:val="00D83563"/>
    <w:rsid w:val="00D8448F"/>
    <w:rsid w:val="00D85158"/>
    <w:rsid w:val="00D869DA"/>
    <w:rsid w:val="00DA64B6"/>
    <w:rsid w:val="00DB5C9D"/>
    <w:rsid w:val="00DB75D4"/>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4F5"/>
    <w:rsid w:val="00EB1C2D"/>
    <w:rsid w:val="00EC1810"/>
    <w:rsid w:val="00EC3FCC"/>
    <w:rsid w:val="00ED32FF"/>
    <w:rsid w:val="00EE1A6E"/>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32E"/>
    <w:rsid w:val="00FB12CA"/>
    <w:rsid w:val="00FB36EC"/>
    <w:rsid w:val="00FB4E1B"/>
    <w:rsid w:val="00FC0291"/>
    <w:rsid w:val="00FC1C92"/>
    <w:rsid w:val="00FD333B"/>
    <w:rsid w:val="00FD689C"/>
    <w:rsid w:val="00FD705C"/>
    <w:rsid w:val="00FD777A"/>
    <w:rsid w:val="00FE260B"/>
    <w:rsid w:val="00FE692E"/>
    <w:rsid w:val="00FF31CA"/>
    <w:rsid w:val="00FF6EB4"/>
    <w:rsid w:val="00FF7858"/>
    <w:rsid w:val="27BA526A"/>
    <w:rsid w:val="5397517A"/>
    <w:rsid w:val="5CA69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EBCFB"/>
  <w15:docId w15:val="{8D2D2E9A-C527-41C8-B01A-98C1862D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3AMX4D3CU3N3-1376847068-30</_dlc_DocId>
    <_dlc_DocIdUrl xmlns="ef2b9e05-657a-4dc1-8c6c-679bdea18f38">
      <Url>https://sharepoint.kent.ac.uk/fso/cmaproject/_layouts/15/DocIdRedir.aspx?ID=3AMX4D3CU3N3-1376847068-30</Url>
      <Description>3AMX4D3CU3N3-1376847068-30</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2A7D-F70D-4D73-833E-11C958DC5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04EC9-9A43-4BA1-852A-C0F26DBF5E9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D8AAEC8-AA0C-4CE2-A2DB-197B654AD3FD}">
  <ds:schemaRefs>
    <ds:schemaRef ds:uri="http://schemas.microsoft.com/sharepoint/v3/contenttype/forms"/>
  </ds:schemaRefs>
</ds:datastoreItem>
</file>

<file path=customXml/itemProps4.xml><?xml version="1.0" encoding="utf-8"?>
<ds:datastoreItem xmlns:ds="http://schemas.openxmlformats.org/officeDocument/2006/customXml" ds:itemID="{E89E2F05-B93E-4FE3-9C96-A28C945A6274}">
  <ds:schemaRefs>
    <ds:schemaRef ds:uri="http://schemas.microsoft.com/sharepoint/events"/>
  </ds:schemaRefs>
</ds:datastoreItem>
</file>

<file path=customXml/itemProps5.xml><?xml version="1.0" encoding="utf-8"?>
<ds:datastoreItem xmlns:ds="http://schemas.openxmlformats.org/officeDocument/2006/customXml" ds:itemID="{D5997B3E-138A-4F2E-A404-ABC5D61C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Pippa Neudeck</cp:lastModifiedBy>
  <cp:revision>2</cp:revision>
  <cp:lastPrinted>2018-12-12T09:14:00Z</cp:lastPrinted>
  <dcterms:created xsi:type="dcterms:W3CDTF">2019-02-28T09:46:00Z</dcterms:created>
  <dcterms:modified xsi:type="dcterms:W3CDTF">2019-02-28T09:46:00Z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c36d9c31-164f-4f9f-8e6c-7e1a2a46d38f</vt:lpwstr>
  </property>
  <property fmtid="{D5CDD505-2E9C-101B-9397-08002B2CF9AE}" pid="4" name="Order">
    <vt:r8>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