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16DF" w14:textId="77777777" w:rsidR="008F50DF" w:rsidRDefault="005132FE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53EE16E0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53EE16E1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PHAM1128 </w:t>
      </w:r>
      <w:r>
        <w:rPr>
          <w:rFonts w:ascii="Arial" w:hAnsi="Arial" w:cs="Arial"/>
          <w:iCs/>
        </w:rPr>
        <w:t>- Medicine and Disease 2B – Cancer, Infection, Joints, Lungs and Skin</w:t>
      </w:r>
    </w:p>
    <w:p w14:paraId="53EE16E2" w14:textId="77777777" w:rsidR="008F50DF" w:rsidRDefault="008F50DF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53EE16E3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or partner institution which will be responsible for management of the </w:t>
      </w:r>
      <w:r>
        <w:rPr>
          <w:rFonts w:ascii="Arial" w:hAnsi="Arial" w:cs="Arial"/>
          <w:b/>
        </w:rPr>
        <w:t>module</w:t>
      </w:r>
    </w:p>
    <w:p w14:paraId="53EE16E4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Medway School of Pharmacy</w:t>
      </w:r>
    </w:p>
    <w:p w14:paraId="53EE16E5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6E6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(Level 4, Level 5, Level 6 or Level 7)</w:t>
      </w:r>
    </w:p>
    <w:p w14:paraId="53EE16E7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5</w:t>
      </w:r>
    </w:p>
    <w:p w14:paraId="53EE16E8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6E9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number of credits and the ECTS value which the module represents </w:t>
      </w:r>
    </w:p>
    <w:p w14:paraId="53EE16EA" w14:textId="77777777" w:rsidR="008F50DF" w:rsidRDefault="005132FE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credits (20 ECTS)</w:t>
      </w:r>
    </w:p>
    <w:p w14:paraId="53EE16EB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53EE16EC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term(s) the module is to be taught in (or other </w:t>
      </w:r>
      <w:r>
        <w:rPr>
          <w:rFonts w:ascii="Arial" w:hAnsi="Arial" w:cs="Arial"/>
          <w:b/>
        </w:rPr>
        <w:t>teaching pattern)</w:t>
      </w:r>
    </w:p>
    <w:p w14:paraId="53EE16ED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53EE16EE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6EF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53EE16F0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Prerequisite:</w:t>
      </w:r>
    </w:p>
    <w:p w14:paraId="53EE16F1" w14:textId="77777777" w:rsidR="008F50DF" w:rsidRDefault="005132FE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successful completion of all the modules at Stage 1 (level 4) of the MPharm programme</w:t>
      </w:r>
    </w:p>
    <w:p w14:paraId="53EE16F2" w14:textId="77777777" w:rsidR="008F50DF" w:rsidRDefault="008F50DF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53EE16F3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Co-requisites:</w:t>
      </w:r>
    </w:p>
    <w:p w14:paraId="53EE16F4" w14:textId="77777777" w:rsidR="008F50DF" w:rsidRDefault="005132F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PHAM1127 Medicines and Disease 2A</w:t>
      </w:r>
    </w:p>
    <w:p w14:paraId="53EE16F5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PHAM1126 Medicines and Disease 2C</w:t>
      </w:r>
    </w:p>
    <w:p w14:paraId="53EE16F6" w14:textId="77777777" w:rsidR="008F50DF" w:rsidRDefault="008F50DF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</w:p>
    <w:p w14:paraId="53EE16F7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programmes of study to which the module contributes</w:t>
      </w:r>
    </w:p>
    <w:p w14:paraId="53EE16F8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MPharm (Master of Pharmacy)</w:t>
      </w:r>
    </w:p>
    <w:p w14:paraId="53EE16F9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6FA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intended subject specific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53EE16FB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Have:</w:t>
      </w:r>
    </w:p>
    <w:p w14:paraId="53EE16FC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 An understanding of the pathogenic processes by which</w:t>
      </w:r>
      <w:r>
        <w:rPr>
          <w:rFonts w:ascii="Arial" w:hAnsi="Arial" w:cs="Arial"/>
          <w:iCs/>
        </w:rPr>
        <w:t xml:space="preserve"> a wide range of organisms cause disease in humans and how these are spread</w:t>
      </w:r>
    </w:p>
    <w:p w14:paraId="53EE16FD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 An ability to identify the general symptoms exhibited by patients suffering from selected conditions and make judgements about treatment options taking into account the clinical</w:t>
      </w:r>
      <w:r>
        <w:rPr>
          <w:rFonts w:ascii="Arial" w:hAnsi="Arial" w:cs="Arial"/>
          <w:iCs/>
        </w:rPr>
        <w:t xml:space="preserve"> needs of the patient</w:t>
      </w:r>
    </w:p>
    <w:p w14:paraId="53EE16FE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A knowledge of the methods used to monitor drugs which require individualised dosing and an ability to interpret associated clinical data</w:t>
      </w:r>
    </w:p>
    <w:p w14:paraId="53EE16FF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An understanding of the key aspects of the cellular basis of oncology and the principles </w:t>
      </w:r>
      <w:r>
        <w:rPr>
          <w:rFonts w:ascii="Arial" w:hAnsi="Arial" w:cs="Arial"/>
          <w:iCs/>
        </w:rPr>
        <w:t>of neoplastic therapy</w:t>
      </w:r>
    </w:p>
    <w:p w14:paraId="53EE1700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5. An ability to critically appraise the literature, interpret key findings, identify study limitations and utilize the emerging evidence to guide best practice</w:t>
      </w:r>
    </w:p>
    <w:p w14:paraId="53EE1701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6. Knowledge and understanding of the underlying genetic, immunological a</w:t>
      </w:r>
      <w:r>
        <w:rPr>
          <w:rFonts w:ascii="Arial" w:hAnsi="Arial" w:cs="Arial"/>
          <w:iCs/>
        </w:rPr>
        <w:t>nd pathological basis of selected diseases</w:t>
      </w:r>
    </w:p>
    <w:p w14:paraId="53EE1702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7. Knowledge and critical understanding of the pharmacological /non -pharmacological interventions which are appropriate for the prevention and/or treatment of selected conditions</w:t>
      </w:r>
    </w:p>
    <w:p w14:paraId="53EE1703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8. An ability to reflect on and d</w:t>
      </w:r>
      <w:r>
        <w:rPr>
          <w:rFonts w:ascii="Arial" w:hAnsi="Arial" w:cs="Arial"/>
          <w:iCs/>
        </w:rPr>
        <w:t>iscuss detailed mechanisms of drug action as well as the cautions, contraindications and risks associated with certain drug therapies</w:t>
      </w:r>
    </w:p>
    <w:p w14:paraId="53EE1704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9. An awareness of how to undertake and interpret patient monitoring requirements linked to selected clinical conditions a</w:t>
      </w:r>
      <w:r>
        <w:rPr>
          <w:rFonts w:ascii="Arial" w:hAnsi="Arial" w:cs="Arial"/>
          <w:iCs/>
        </w:rPr>
        <w:t>nd/or therapeutic intervention</w:t>
      </w:r>
    </w:p>
    <w:p w14:paraId="53EE1705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 An understanding of powder and inhalation technology in pharmaceutical manufacture</w:t>
      </w:r>
    </w:p>
    <w:p w14:paraId="53EE1706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11. An understanding of powder properties and semi-solid dosage forms</w:t>
      </w:r>
    </w:p>
    <w:p w14:paraId="53EE1707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12. An understanding of pharmaceutical analysis and drug discovery</w:t>
      </w:r>
    </w:p>
    <w:p w14:paraId="53EE1708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3. An awareness of recent therapeutic advances in the prevention and treatment of viral, bacterial and other infective conditions</w:t>
      </w:r>
    </w:p>
    <w:p w14:paraId="53EE1709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14. An understanding of patient assessment with respect to patient history taking and responding to symptoms</w:t>
      </w:r>
    </w:p>
    <w:p w14:paraId="53EE170A" w14:textId="77777777" w:rsidR="008F50DF" w:rsidRDefault="008F50DF">
      <w:pPr>
        <w:spacing w:after="120" w:line="240" w:lineRule="auto"/>
        <w:ind w:right="260"/>
        <w:rPr>
          <w:rFonts w:ascii="Arial" w:hAnsi="Arial" w:cs="Arial"/>
          <w:i/>
        </w:rPr>
      </w:pPr>
    </w:p>
    <w:p w14:paraId="53EE170B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intended </w:t>
      </w:r>
      <w:r>
        <w:rPr>
          <w:rFonts w:ascii="Arial" w:hAnsi="Arial" w:cs="Arial"/>
          <w:b/>
        </w:rPr>
        <w:t>generic learning outcomes.</w:t>
      </w:r>
      <w:r>
        <w:rPr>
          <w:rFonts w:ascii="Arial" w:hAnsi="Arial" w:cs="Arial"/>
          <w:b/>
        </w:rPr>
        <w:br/>
        <w:t>On successfully completing the module students will be able to:</w:t>
      </w:r>
    </w:p>
    <w:p w14:paraId="53EE170C" w14:textId="77777777" w:rsidR="008F50DF" w:rsidRDefault="005132FE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Have:</w:t>
      </w:r>
    </w:p>
    <w:p w14:paraId="53EE170D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Knowledge of the skills necessary for independent learning, problem analysis, oral and written communication</w:t>
      </w:r>
    </w:p>
    <w:p w14:paraId="53EE170E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Application of verbal and non-verbal communi</w:t>
      </w:r>
      <w:r>
        <w:rPr>
          <w:color w:val="auto"/>
          <w:sz w:val="22"/>
          <w:szCs w:val="22"/>
        </w:rPr>
        <w:t>cation skills appropriate to the situation</w:t>
      </w:r>
    </w:p>
    <w:p w14:paraId="53EE170F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An ability to analyse and carry out a critical appraisal of the literature</w:t>
      </w:r>
    </w:p>
    <w:p w14:paraId="53EE1710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Ability to undertake pharmaceutical calculations without a calculator, to ensure patient safety</w:t>
      </w:r>
    </w:p>
    <w:p w14:paraId="53EE1711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An understanding of the patient a</w:t>
      </w:r>
      <w:r>
        <w:rPr>
          <w:color w:val="auto"/>
          <w:sz w:val="22"/>
          <w:szCs w:val="22"/>
        </w:rPr>
        <w:t>s an individual including awareness of factors that may influence health behaviour such as age, gender, ethnicity, faith, illness and cultural background</w:t>
      </w:r>
    </w:p>
    <w:p w14:paraId="53EE1712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An increasing understanding of the ethical and legal responsibilities of the pharmacist, including </w:t>
      </w:r>
      <w:r>
        <w:rPr>
          <w:color w:val="auto"/>
          <w:sz w:val="22"/>
          <w:szCs w:val="22"/>
        </w:rPr>
        <w:t>their accountability in relation to supply, dispensing, medical and non-medical prescribing of medicines and appliances</w:t>
      </w:r>
    </w:p>
    <w:p w14:paraId="53EE1713" w14:textId="77777777" w:rsidR="008F50DF" w:rsidRDefault="005132FE">
      <w:pPr>
        <w:pStyle w:val="Default"/>
        <w:spacing w:after="120"/>
        <w:ind w:left="567" w:right="2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An understanding of the roles of other health and social care professionals in relation to improving patient outcomes</w:t>
      </w:r>
    </w:p>
    <w:p w14:paraId="53EE1714" w14:textId="77777777" w:rsidR="008F50DF" w:rsidRDefault="008F50DF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53EE1715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synopsis of </w:t>
      </w:r>
      <w:r>
        <w:rPr>
          <w:rFonts w:ascii="Arial" w:hAnsi="Arial" w:cs="Arial"/>
          <w:b/>
        </w:rPr>
        <w:t>the curriculum</w:t>
      </w:r>
    </w:p>
    <w:p w14:paraId="53EE1716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Pathological basis of disease:</w:t>
      </w:r>
    </w:p>
    <w:p w14:paraId="53EE1717" w14:textId="77777777" w:rsidR="008F50DF" w:rsidRDefault="005132F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Introduction to immunology and inflammatory processes</w:t>
      </w:r>
    </w:p>
    <w:p w14:paraId="53EE1718" w14:textId="77777777" w:rsidR="008F50DF" w:rsidRDefault="005132F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Introduction to cell biology of cancer, oncogenes and tumour growth</w:t>
      </w:r>
    </w:p>
    <w:p w14:paraId="53EE1719" w14:textId="77777777" w:rsidR="008F50DF" w:rsidRDefault="005132F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Microbial infection and control</w:t>
      </w:r>
    </w:p>
    <w:p w14:paraId="53EE171A" w14:textId="77777777" w:rsidR="008F50DF" w:rsidRDefault="005132F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Introduction to Public Health concepts &amp; infectious </w:t>
      </w:r>
      <w:r>
        <w:rPr>
          <w:rFonts w:ascii="Arial" w:hAnsi="Arial" w:cs="Arial"/>
          <w:iCs/>
        </w:rPr>
        <w:t>diseases</w:t>
      </w:r>
    </w:p>
    <w:p w14:paraId="53EE171B" w14:textId="77777777" w:rsidR="008F50DF" w:rsidRDefault="005132F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Pathogenesis of atopic dermatitis, rhinitis, asthma and chronic obstructive pulmonary disease</w:t>
      </w:r>
    </w:p>
    <w:p w14:paraId="53EE171C" w14:textId="77777777" w:rsidR="008F50DF" w:rsidRDefault="005132FE">
      <w:pPr>
        <w:pStyle w:val="ListParagraph"/>
        <w:numPr>
          <w:ilvl w:val="0"/>
          <w:numId w:val="10"/>
        </w:numPr>
        <w:spacing w:after="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Introduction to the pathogenesis of arthritis and gout</w:t>
      </w:r>
    </w:p>
    <w:p w14:paraId="53EE171D" w14:textId="77777777" w:rsidR="008F50DF" w:rsidRDefault="008F50DF">
      <w:pPr>
        <w:spacing w:after="0" w:line="240" w:lineRule="auto"/>
        <w:ind w:right="260"/>
        <w:rPr>
          <w:rFonts w:ascii="Arial" w:hAnsi="Arial" w:cs="Arial"/>
          <w:iCs/>
        </w:rPr>
      </w:pPr>
    </w:p>
    <w:p w14:paraId="53EE171E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Pharmaceutics and Drug discovery:</w:t>
      </w:r>
    </w:p>
    <w:p w14:paraId="53EE171F" w14:textId="77777777" w:rsidR="008F50DF" w:rsidRDefault="005132F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Powder technology (flow, mixing and particle size reduction)</w:t>
      </w:r>
    </w:p>
    <w:p w14:paraId="53EE1720" w14:textId="77777777" w:rsidR="008F50DF" w:rsidRDefault="005132F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</w:t>
      </w:r>
      <w:r>
        <w:rPr>
          <w:rFonts w:ascii="Arial" w:hAnsi="Arial" w:cs="Arial"/>
          <w:iCs/>
        </w:rPr>
        <w:t xml:space="preserve"> introduction to inhalation delivery systems</w:t>
      </w:r>
    </w:p>
    <w:p w14:paraId="53EE1721" w14:textId="77777777" w:rsidR="008F50DF" w:rsidRDefault="005132F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Topical dosage forms including emulsions, gels, creams and ointments</w:t>
      </w:r>
    </w:p>
    <w:p w14:paraId="53EE1722" w14:textId="77777777" w:rsidR="008F50DF" w:rsidRDefault="005132FE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Spectroscopic studies relating to pharmaceutical analysis – including principles and practice of mass spectroscopy (MS); Infrared (IR); and nu</w:t>
      </w:r>
      <w:r>
        <w:rPr>
          <w:rFonts w:ascii="Arial" w:hAnsi="Arial" w:cs="Arial"/>
          <w:iCs/>
        </w:rPr>
        <w:t>clear magnetic resonance (NMR)</w:t>
      </w:r>
    </w:p>
    <w:p w14:paraId="53EE1723" w14:textId="77777777" w:rsidR="008F50DF" w:rsidRDefault="005132FE">
      <w:pPr>
        <w:pStyle w:val="ListParagraph"/>
        <w:numPr>
          <w:ilvl w:val="0"/>
          <w:numId w:val="11"/>
        </w:numPr>
        <w:spacing w:after="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Drug synthesis</w:t>
      </w:r>
    </w:p>
    <w:p w14:paraId="53EE1724" w14:textId="77777777" w:rsidR="008F50DF" w:rsidRDefault="008F50DF">
      <w:pPr>
        <w:spacing w:after="0" w:line="240" w:lineRule="auto"/>
        <w:ind w:right="260"/>
        <w:rPr>
          <w:rFonts w:ascii="Arial" w:hAnsi="Arial" w:cs="Arial"/>
          <w:iCs/>
        </w:rPr>
      </w:pPr>
    </w:p>
    <w:p w14:paraId="53EE1725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Pharmacotherapy:</w:t>
      </w:r>
    </w:p>
    <w:p w14:paraId="53EE1726" w14:textId="77777777" w:rsidR="008F50DF" w:rsidRDefault="005132F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Chemotherapy and Infection Control</w:t>
      </w:r>
    </w:p>
    <w:p w14:paraId="53EE1727" w14:textId="77777777" w:rsidR="008F50DF" w:rsidRDefault="005132F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Dosage regimen design and therapeutic drug monitoring (TDM)</w:t>
      </w:r>
    </w:p>
    <w:p w14:paraId="53EE1728" w14:textId="77777777" w:rsidR="008F50DF" w:rsidRDefault="005132FE">
      <w:pPr>
        <w:pStyle w:val="ListParagraph"/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Prophylactic, reliever and antihistamine drug groups</w:t>
      </w:r>
    </w:p>
    <w:p w14:paraId="53EE1729" w14:textId="77777777" w:rsidR="008F50DF" w:rsidRDefault="005132FE">
      <w:pPr>
        <w:pStyle w:val="ListParagraph"/>
        <w:numPr>
          <w:ilvl w:val="0"/>
          <w:numId w:val="12"/>
        </w:numPr>
        <w:spacing w:after="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Introduction to immunopharmacology </w:t>
      </w:r>
    </w:p>
    <w:p w14:paraId="53EE172A" w14:textId="77777777" w:rsidR="008F50DF" w:rsidRDefault="008F50DF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53EE172B" w14:textId="77777777" w:rsidR="008F50DF" w:rsidRDefault="005132F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Practice:</w:t>
      </w:r>
    </w:p>
    <w:p w14:paraId="53EE172C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Minimisation of triggers</w:t>
      </w:r>
    </w:p>
    <w:p w14:paraId="53EE172D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Responding to symptoms</w:t>
      </w:r>
    </w:p>
    <w:p w14:paraId="53EE172E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Smoking cessation</w:t>
      </w:r>
    </w:p>
    <w:p w14:paraId="53EE172F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Health beliefs</w:t>
      </w:r>
    </w:p>
    <w:p w14:paraId="53EE1730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Clinical and legal review of prescriptions</w:t>
      </w:r>
    </w:p>
    <w:p w14:paraId="53EE1731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Application of professional standards and guidance</w:t>
      </w:r>
    </w:p>
    <w:p w14:paraId="53EE1732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Calculations for the practice of pharmacy</w:t>
      </w:r>
    </w:p>
    <w:p w14:paraId="53EE1733" w14:textId="77777777" w:rsidR="008F50DF" w:rsidRDefault="005132FE">
      <w:pPr>
        <w:pStyle w:val="ListParagraph"/>
        <w:numPr>
          <w:ilvl w:val="0"/>
          <w:numId w:val="13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Placement and de</w:t>
      </w:r>
      <w:r>
        <w:rPr>
          <w:rFonts w:ascii="Arial" w:hAnsi="Arial" w:cs="Arial"/>
          <w:iCs/>
        </w:rPr>
        <w:t>velopment of professional behaviour</w:t>
      </w:r>
    </w:p>
    <w:p w14:paraId="53EE1734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735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53EE1736" w14:textId="77777777" w:rsidR="008F50DF" w:rsidRDefault="005132FE">
      <w:pPr>
        <w:spacing w:after="120" w:line="240" w:lineRule="auto"/>
        <w:ind w:left="567" w:right="828"/>
        <w:jc w:val="both"/>
        <w:rPr>
          <w:rFonts w:ascii="Arial" w:hAnsi="Arial" w:cs="Arial"/>
        </w:rPr>
      </w:pPr>
      <w:r>
        <w:rPr>
          <w:rFonts w:ascii="Arial" w:hAnsi="Arial" w:cs="Arial"/>
        </w:rPr>
        <w:t>The reading list for the module will be updated annually.</w:t>
      </w:r>
    </w:p>
    <w:p w14:paraId="53EE1737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current reading is available to students on the </w:t>
      </w:r>
      <w:r>
        <w:rPr>
          <w:rFonts w:ascii="Arial" w:hAnsi="Arial" w:cs="Arial"/>
        </w:rPr>
        <w:t>module Moodle page.</w:t>
      </w:r>
    </w:p>
    <w:p w14:paraId="53EE1738" w14:textId="77777777" w:rsidR="008F50DF" w:rsidRDefault="008F50DF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53EE1739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Learning and teaching methods</w:t>
      </w:r>
    </w:p>
    <w:p w14:paraId="53EE173A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150</w:t>
      </w:r>
    </w:p>
    <w:p w14:paraId="53EE173B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Community Placement: 40</w:t>
      </w:r>
    </w:p>
    <w:p w14:paraId="53EE173C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210</w:t>
      </w:r>
    </w:p>
    <w:p w14:paraId="53EE173D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400</w:t>
      </w:r>
    </w:p>
    <w:p w14:paraId="53EE173E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73F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Assessment methods</w:t>
      </w:r>
    </w:p>
    <w:p w14:paraId="53EE1740" w14:textId="77777777" w:rsidR="008F50DF" w:rsidRDefault="005132FE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53EE1741" w14:textId="77777777" w:rsidR="008F50DF" w:rsidRDefault="005132FE">
      <w:pPr>
        <w:pStyle w:val="ListParagraph"/>
        <w:numPr>
          <w:ilvl w:val="0"/>
          <w:numId w:val="18"/>
        </w:numPr>
        <w:spacing w:after="120" w:line="240" w:lineRule="auto"/>
        <w:ind w:left="1713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(40% of module mark):</w:t>
      </w:r>
    </w:p>
    <w:p w14:paraId="53EE1742" w14:textId="77777777" w:rsidR="008F50DF" w:rsidRDefault="005132FE">
      <w:pPr>
        <w:pStyle w:val="ListParagraph"/>
        <w:numPr>
          <w:ilvl w:val="0"/>
          <w:numId w:val="19"/>
        </w:numPr>
        <w:spacing w:after="120" w:line="240" w:lineRule="auto"/>
        <w:ind w:left="2155" w:hanging="1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Lab Report (50% of Cour</w:t>
      </w:r>
      <w:r>
        <w:rPr>
          <w:rFonts w:ascii="Arial" w:hAnsi="Arial" w:cs="Arial"/>
          <w:iCs/>
        </w:rPr>
        <w:t>sework mark)</w:t>
      </w:r>
    </w:p>
    <w:p w14:paraId="53EE1743" w14:textId="77777777" w:rsidR="008F50DF" w:rsidRDefault="005132FE">
      <w:pPr>
        <w:pStyle w:val="ListParagraph"/>
        <w:numPr>
          <w:ilvl w:val="0"/>
          <w:numId w:val="19"/>
        </w:numPr>
        <w:spacing w:after="120" w:line="240" w:lineRule="auto"/>
        <w:ind w:left="2155" w:hanging="1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MCQ Assessment (50% of Coursework mark)</w:t>
      </w:r>
    </w:p>
    <w:p w14:paraId="53EE1744" w14:textId="77777777" w:rsidR="008F50DF" w:rsidRDefault="005132FE">
      <w:pPr>
        <w:pStyle w:val="ListParagraph"/>
        <w:numPr>
          <w:ilvl w:val="0"/>
          <w:numId w:val="18"/>
        </w:numPr>
        <w:spacing w:after="120" w:line="240" w:lineRule="auto"/>
        <w:ind w:left="1713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Written Examination, </w:t>
      </w:r>
      <w:r>
        <w:rPr>
          <w:rFonts w:ascii="Arial" w:eastAsia="Arial" w:hAnsi="Arial" w:cs="Arial"/>
        </w:rPr>
        <w:t>3 hours</w:t>
      </w:r>
      <w:r>
        <w:rPr>
          <w:rFonts w:ascii="Arial" w:hAnsi="Arial" w:cs="Arial"/>
          <w:iCs/>
        </w:rPr>
        <w:t xml:space="preserve"> (60% of module mark)</w:t>
      </w:r>
    </w:p>
    <w:p w14:paraId="53EE1745" w14:textId="77777777" w:rsidR="008F50DF" w:rsidRDefault="005132FE">
      <w:pPr>
        <w:pStyle w:val="ListParagraph"/>
        <w:numPr>
          <w:ilvl w:val="0"/>
          <w:numId w:val="18"/>
        </w:numPr>
        <w:spacing w:after="120" w:line="240" w:lineRule="auto"/>
        <w:ind w:left="1713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Competency (Pass/Fail)</w:t>
      </w:r>
    </w:p>
    <w:p w14:paraId="53EE1746" w14:textId="77777777" w:rsidR="008F50DF" w:rsidRDefault="005132FE">
      <w:pPr>
        <w:pStyle w:val="ListParagraph"/>
        <w:numPr>
          <w:ilvl w:val="0"/>
          <w:numId w:val="20"/>
        </w:numPr>
        <w:spacing w:after="120" w:line="240" w:lineRule="auto"/>
        <w:ind w:left="2155" w:right="261" w:hanging="170"/>
        <w:rPr>
          <w:rFonts w:ascii="Arial" w:hAnsi="Arial" w:cs="Arial"/>
          <w:iCs/>
        </w:rPr>
      </w:pPr>
      <w:r>
        <w:rPr>
          <w:rFonts w:ascii="Arial" w:hAnsi="Arial" w:cs="Arial"/>
        </w:rPr>
        <w:t>Attendance (P/F) *</w:t>
      </w:r>
    </w:p>
    <w:p w14:paraId="53EE1747" w14:textId="77777777" w:rsidR="008F50DF" w:rsidRDefault="005132FE">
      <w:pPr>
        <w:pStyle w:val="ListParagraph"/>
        <w:numPr>
          <w:ilvl w:val="0"/>
          <w:numId w:val="20"/>
        </w:numPr>
        <w:spacing w:after="120" w:line="240" w:lineRule="auto"/>
        <w:ind w:left="2155" w:right="261" w:hanging="170"/>
        <w:rPr>
          <w:rFonts w:ascii="Arial" w:hAnsi="Arial" w:cs="Arial"/>
          <w:iCs/>
        </w:rPr>
      </w:pPr>
      <w:r>
        <w:rPr>
          <w:rFonts w:ascii="Arial" w:hAnsi="Arial" w:cs="Arial"/>
        </w:rPr>
        <w:t>Pharmaceutical Calculations (P/F) **</w:t>
      </w:r>
    </w:p>
    <w:p w14:paraId="53EE1748" w14:textId="77777777" w:rsidR="008F50DF" w:rsidRDefault="005132FE">
      <w:pPr>
        <w:pStyle w:val="ListParagraph"/>
        <w:numPr>
          <w:ilvl w:val="0"/>
          <w:numId w:val="20"/>
        </w:numPr>
        <w:spacing w:after="120" w:line="240" w:lineRule="auto"/>
        <w:ind w:left="2155" w:right="261" w:hanging="1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Community Placement (P/F) </w:t>
      </w:r>
      <w:r>
        <w:rPr>
          <w:rFonts w:ascii="Arial" w:hAnsi="Arial" w:cs="Arial"/>
          <w:iCs/>
          <w:vertAlign w:val="superscript"/>
        </w:rPr>
        <w:t>#</w:t>
      </w:r>
    </w:p>
    <w:p w14:paraId="53EE1749" w14:textId="77777777" w:rsidR="008F50DF" w:rsidRDefault="008F50DF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3EE174A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pass mark for this module is</w:t>
      </w:r>
      <w:r>
        <w:rPr>
          <w:rFonts w:ascii="Arial" w:hAnsi="Arial" w:cs="Arial"/>
          <w:iCs/>
        </w:rPr>
        <w:t xml:space="preserve"> 40%. Students must pass both the coursework overall and the examination element in order to satisfactorily complete the module.</w:t>
      </w:r>
    </w:p>
    <w:p w14:paraId="53EE174B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</w:rPr>
        <w:t xml:space="preserve">Students must pass the professional competency assessments in order to satisfactorily complete the module </w:t>
      </w:r>
      <w:r>
        <w:rPr>
          <w:rFonts w:ascii="Arial" w:eastAsia="Arial" w:hAnsi="Arial" w:cs="Arial"/>
        </w:rPr>
        <w:t>and to progress to th</w:t>
      </w:r>
      <w:r>
        <w:rPr>
          <w:rFonts w:ascii="Arial" w:eastAsia="Arial" w:hAnsi="Arial" w:cs="Arial"/>
        </w:rPr>
        <w:t>e next stage of the MPharm programme</w:t>
      </w:r>
      <w:r>
        <w:rPr>
          <w:rFonts w:ascii="Arial" w:eastAsia="Times New Roman" w:hAnsi="Arial" w:cs="Arial"/>
          <w:color w:val="000000"/>
        </w:rPr>
        <w:t>:</w:t>
      </w:r>
    </w:p>
    <w:p w14:paraId="53EE174C" w14:textId="77777777" w:rsidR="008F50DF" w:rsidRDefault="005132FE">
      <w:pPr>
        <w:spacing w:after="120" w:line="240" w:lineRule="auto"/>
        <w:ind w:left="567" w:right="2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 Students who fail to meet the 80% threshold attendance at all scheduled coursework sessions (i.e. workshops, laboratory sessions and seminars) will have their coursework capped to the pass mark. Students who fail to </w:t>
      </w:r>
      <w:r>
        <w:rPr>
          <w:rFonts w:ascii="Arial" w:eastAsia="Times New Roman" w:hAnsi="Arial" w:cs="Arial"/>
          <w:color w:val="000000"/>
        </w:rPr>
        <w:t>meet the 60% threshold will be deemed not to have met the learning outcomes and will fail the module.</w:t>
      </w:r>
    </w:p>
    <w:p w14:paraId="53EE174D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** Requires 70% attainment for a Pass</w:t>
      </w:r>
    </w:p>
    <w:p w14:paraId="53EE174E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# 100% attendance is required for a Pass.</w:t>
      </w:r>
    </w:p>
    <w:p w14:paraId="53EE174F" w14:textId="77777777" w:rsidR="008F50DF" w:rsidRDefault="008F50DF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3EE1750" w14:textId="77777777" w:rsidR="008F50DF" w:rsidRDefault="005132FE">
      <w:pPr>
        <w:spacing w:after="120"/>
        <w:ind w:left="993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  <w:t xml:space="preserve">Reassessment methods </w:t>
      </w:r>
    </w:p>
    <w:p w14:paraId="53EE1751" w14:textId="77777777" w:rsidR="008F50DF" w:rsidRDefault="005132FE">
      <w:pPr>
        <w:spacing w:after="120" w:line="240" w:lineRule="auto"/>
        <w:ind w:left="852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for like</w:t>
      </w:r>
    </w:p>
    <w:p w14:paraId="53EE1752" w14:textId="77777777" w:rsidR="008F50DF" w:rsidRDefault="008F50DF">
      <w:pPr>
        <w:spacing w:after="0" w:line="240" w:lineRule="auto"/>
        <w:ind w:left="360" w:right="544"/>
        <w:jc w:val="both"/>
      </w:pPr>
    </w:p>
    <w:p w14:paraId="53EE1753" w14:textId="77777777" w:rsidR="008F50DF" w:rsidRDefault="008F50DF">
      <w:pPr>
        <w:spacing w:after="0" w:line="240" w:lineRule="auto"/>
        <w:ind w:left="360" w:right="544"/>
        <w:jc w:val="both"/>
      </w:pPr>
    </w:p>
    <w:p w14:paraId="53EE1754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Map of module learning outcome</w:t>
      </w:r>
      <w:r>
        <w:rPr>
          <w:rFonts w:ascii="Arial" w:hAnsi="Arial" w:cs="Arial"/>
          <w:b/>
          <w:i/>
          <w:iCs/>
        </w:rPr>
        <w:t>s (sections 8 &amp; 9) to learning and teaching methods (section12) and methods of assessment (section 13)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22"/>
        <w:gridCol w:w="422"/>
        <w:gridCol w:w="423"/>
        <w:gridCol w:w="423"/>
        <w:gridCol w:w="423"/>
        <w:gridCol w:w="439"/>
        <w:gridCol w:w="439"/>
        <w:gridCol w:w="439"/>
        <w:gridCol w:w="439"/>
        <w:gridCol w:w="439"/>
        <w:gridCol w:w="439"/>
        <w:gridCol w:w="439"/>
      </w:tblGrid>
      <w:tr w:rsidR="008F50DF" w14:paraId="53EE1770" w14:textId="77777777">
        <w:trPr>
          <w:trHeight w:val="57"/>
        </w:trPr>
        <w:tc>
          <w:tcPr>
            <w:tcW w:w="616" w:type="pct"/>
            <w:shd w:val="clear" w:color="auto" w:fill="D9D9D9" w:themeFill="background1" w:themeFillShade="D9"/>
          </w:tcPr>
          <w:p w14:paraId="53EE1755" w14:textId="77777777" w:rsidR="008F50DF" w:rsidRDefault="005132FE">
            <w:pPr>
              <w:ind w:left="3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Module learning outcome</w:t>
            </w:r>
          </w:p>
        </w:tc>
        <w:tc>
          <w:tcPr>
            <w:tcW w:w="210" w:type="pct"/>
            <w:vAlign w:val="center"/>
          </w:tcPr>
          <w:p w14:paraId="53EE1756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8.1</w:t>
            </w:r>
          </w:p>
        </w:tc>
        <w:tc>
          <w:tcPr>
            <w:tcW w:w="210" w:type="pct"/>
            <w:vAlign w:val="center"/>
          </w:tcPr>
          <w:p w14:paraId="53EE1757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8.2</w:t>
            </w:r>
          </w:p>
        </w:tc>
        <w:tc>
          <w:tcPr>
            <w:tcW w:w="210" w:type="pct"/>
            <w:vAlign w:val="center"/>
          </w:tcPr>
          <w:p w14:paraId="53EE1758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8.3</w:t>
            </w:r>
          </w:p>
        </w:tc>
        <w:tc>
          <w:tcPr>
            <w:tcW w:w="210" w:type="pct"/>
            <w:vAlign w:val="center"/>
          </w:tcPr>
          <w:p w14:paraId="53EE1759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8.4</w:t>
            </w:r>
          </w:p>
        </w:tc>
        <w:tc>
          <w:tcPr>
            <w:tcW w:w="210" w:type="pct"/>
            <w:vAlign w:val="center"/>
          </w:tcPr>
          <w:p w14:paraId="53EE175A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8.5</w:t>
            </w:r>
          </w:p>
        </w:tc>
        <w:tc>
          <w:tcPr>
            <w:tcW w:w="210" w:type="pct"/>
            <w:vAlign w:val="center"/>
          </w:tcPr>
          <w:p w14:paraId="53EE175B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8.6</w:t>
            </w:r>
          </w:p>
        </w:tc>
        <w:tc>
          <w:tcPr>
            <w:tcW w:w="210" w:type="pct"/>
            <w:vAlign w:val="center"/>
          </w:tcPr>
          <w:p w14:paraId="53EE175C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8.7</w:t>
            </w:r>
          </w:p>
        </w:tc>
        <w:tc>
          <w:tcPr>
            <w:tcW w:w="210" w:type="pct"/>
            <w:vAlign w:val="center"/>
          </w:tcPr>
          <w:p w14:paraId="53EE175D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8.8</w:t>
            </w:r>
          </w:p>
        </w:tc>
        <w:tc>
          <w:tcPr>
            <w:tcW w:w="210" w:type="pct"/>
            <w:vAlign w:val="center"/>
          </w:tcPr>
          <w:p w14:paraId="53EE175E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8.9</w:t>
            </w:r>
          </w:p>
        </w:tc>
        <w:tc>
          <w:tcPr>
            <w:tcW w:w="205" w:type="pct"/>
            <w:vAlign w:val="center"/>
          </w:tcPr>
          <w:p w14:paraId="53EE175F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</w:t>
            </w:r>
          </w:p>
          <w:p w14:paraId="53EE1760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205" w:type="pct"/>
            <w:vAlign w:val="center"/>
          </w:tcPr>
          <w:p w14:paraId="53EE1761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</w:t>
            </w:r>
          </w:p>
          <w:p w14:paraId="53EE1762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11</w:t>
            </w:r>
          </w:p>
        </w:tc>
        <w:tc>
          <w:tcPr>
            <w:tcW w:w="205" w:type="pct"/>
            <w:vAlign w:val="center"/>
          </w:tcPr>
          <w:p w14:paraId="53EE1763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</w:t>
            </w:r>
          </w:p>
          <w:p w14:paraId="53EE1764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12</w:t>
            </w:r>
          </w:p>
        </w:tc>
        <w:tc>
          <w:tcPr>
            <w:tcW w:w="205" w:type="pct"/>
            <w:vAlign w:val="center"/>
          </w:tcPr>
          <w:p w14:paraId="53EE1765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</w:t>
            </w:r>
          </w:p>
          <w:p w14:paraId="53EE1766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13</w:t>
            </w:r>
          </w:p>
        </w:tc>
        <w:tc>
          <w:tcPr>
            <w:tcW w:w="205" w:type="pct"/>
            <w:vAlign w:val="center"/>
          </w:tcPr>
          <w:p w14:paraId="53EE1767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8.</w:t>
            </w:r>
          </w:p>
          <w:p w14:paraId="53EE1768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14</w:t>
            </w:r>
          </w:p>
        </w:tc>
        <w:tc>
          <w:tcPr>
            <w:tcW w:w="210" w:type="pct"/>
            <w:vAlign w:val="center"/>
          </w:tcPr>
          <w:p w14:paraId="53EE1769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9.1</w:t>
            </w:r>
          </w:p>
        </w:tc>
        <w:tc>
          <w:tcPr>
            <w:tcW w:w="210" w:type="pct"/>
            <w:vAlign w:val="center"/>
          </w:tcPr>
          <w:p w14:paraId="53EE176A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9.2</w:t>
            </w:r>
          </w:p>
        </w:tc>
        <w:tc>
          <w:tcPr>
            <w:tcW w:w="210" w:type="pct"/>
            <w:vAlign w:val="center"/>
          </w:tcPr>
          <w:p w14:paraId="53EE176B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9.3</w:t>
            </w:r>
          </w:p>
        </w:tc>
        <w:tc>
          <w:tcPr>
            <w:tcW w:w="210" w:type="pct"/>
            <w:vAlign w:val="center"/>
          </w:tcPr>
          <w:p w14:paraId="53EE176C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9.4</w:t>
            </w:r>
          </w:p>
        </w:tc>
        <w:tc>
          <w:tcPr>
            <w:tcW w:w="210" w:type="pct"/>
            <w:vAlign w:val="center"/>
          </w:tcPr>
          <w:p w14:paraId="53EE176D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9.5</w:t>
            </w:r>
          </w:p>
        </w:tc>
        <w:tc>
          <w:tcPr>
            <w:tcW w:w="210" w:type="pct"/>
            <w:vAlign w:val="center"/>
          </w:tcPr>
          <w:p w14:paraId="53EE176E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9.6</w:t>
            </w:r>
          </w:p>
        </w:tc>
        <w:tc>
          <w:tcPr>
            <w:tcW w:w="210" w:type="pct"/>
            <w:vAlign w:val="center"/>
          </w:tcPr>
          <w:p w14:paraId="53EE176F" w14:textId="77777777" w:rsidR="008F50DF" w:rsidRDefault="005132FE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9.7</w:t>
            </w:r>
          </w:p>
        </w:tc>
      </w:tr>
      <w:tr w:rsidR="008F50DF" w14:paraId="53EE1787" w14:textId="77777777">
        <w:trPr>
          <w:trHeight w:val="57"/>
        </w:trPr>
        <w:tc>
          <w:tcPr>
            <w:tcW w:w="616" w:type="pct"/>
            <w:shd w:val="clear" w:color="auto" w:fill="D9D9D9" w:themeFill="background1" w:themeFillShade="D9"/>
          </w:tcPr>
          <w:p w14:paraId="53EE1771" w14:textId="77777777" w:rsidR="008F50DF" w:rsidRDefault="005132F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Learning/ teaching method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2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3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4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5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6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7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8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9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7A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7B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7C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7D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7E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7F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0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1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2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3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4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5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86" w14:textId="77777777" w:rsidR="008F50DF" w:rsidRDefault="008F50D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8F50DF" w14:paraId="53EE179E" w14:textId="77777777">
        <w:trPr>
          <w:trHeight w:val="57"/>
        </w:trPr>
        <w:tc>
          <w:tcPr>
            <w:tcW w:w="616" w:type="pct"/>
            <w:vAlign w:val="center"/>
          </w:tcPr>
          <w:p w14:paraId="53EE1788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Private Studies</w:t>
            </w:r>
          </w:p>
        </w:tc>
        <w:tc>
          <w:tcPr>
            <w:tcW w:w="210" w:type="pct"/>
            <w:vAlign w:val="center"/>
          </w:tcPr>
          <w:p w14:paraId="53EE178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8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9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9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9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9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9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9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7B5" w14:textId="77777777">
        <w:trPr>
          <w:trHeight w:val="57"/>
        </w:trPr>
        <w:tc>
          <w:tcPr>
            <w:tcW w:w="616" w:type="pct"/>
            <w:vAlign w:val="center"/>
          </w:tcPr>
          <w:p w14:paraId="53EE179F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Lectures</w:t>
            </w:r>
          </w:p>
        </w:tc>
        <w:tc>
          <w:tcPr>
            <w:tcW w:w="210" w:type="pct"/>
            <w:vAlign w:val="center"/>
          </w:tcPr>
          <w:p w14:paraId="53EE17A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A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A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A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A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A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A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A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B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B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7CC" w14:textId="77777777">
        <w:trPr>
          <w:trHeight w:val="57"/>
        </w:trPr>
        <w:tc>
          <w:tcPr>
            <w:tcW w:w="616" w:type="pct"/>
            <w:vAlign w:val="center"/>
          </w:tcPr>
          <w:p w14:paraId="53EE17B6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Workshops/ seminars/ dispensing/ laboratory sessions</w:t>
            </w:r>
          </w:p>
        </w:tc>
        <w:tc>
          <w:tcPr>
            <w:tcW w:w="210" w:type="pct"/>
            <w:vAlign w:val="center"/>
          </w:tcPr>
          <w:p w14:paraId="53EE17B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B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B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B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C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C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C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C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7C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C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7E3" w14:textId="77777777">
        <w:trPr>
          <w:trHeight w:val="57"/>
        </w:trPr>
        <w:tc>
          <w:tcPr>
            <w:tcW w:w="616" w:type="pct"/>
            <w:vAlign w:val="center"/>
          </w:tcPr>
          <w:p w14:paraId="53EE17CD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Placement</w:t>
            </w:r>
          </w:p>
        </w:tc>
        <w:tc>
          <w:tcPr>
            <w:tcW w:w="210" w:type="pct"/>
            <w:vAlign w:val="center"/>
          </w:tcPr>
          <w:p w14:paraId="53EE17CE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C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D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D2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D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D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7D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7D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7D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7D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7D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DE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D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7E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E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E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7FA" w14:textId="77777777">
        <w:trPr>
          <w:trHeight w:val="57"/>
        </w:trPr>
        <w:tc>
          <w:tcPr>
            <w:tcW w:w="616" w:type="pct"/>
            <w:shd w:val="clear" w:color="auto" w:fill="D9D9D9" w:themeFill="background1" w:themeFillShade="D9"/>
          </w:tcPr>
          <w:p w14:paraId="53EE17E4" w14:textId="77777777" w:rsidR="008F50DF" w:rsidRDefault="005132F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Assessment method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B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ED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EE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E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F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F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3EE17F2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53EE17F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50DF" w14:paraId="53EE1811" w14:textId="77777777">
        <w:trPr>
          <w:trHeight w:val="57"/>
        </w:trPr>
        <w:tc>
          <w:tcPr>
            <w:tcW w:w="616" w:type="pct"/>
            <w:vAlign w:val="center"/>
          </w:tcPr>
          <w:p w14:paraId="53EE17FB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MCQ Assessment</w:t>
            </w:r>
          </w:p>
        </w:tc>
        <w:tc>
          <w:tcPr>
            <w:tcW w:w="210" w:type="pct"/>
            <w:vAlign w:val="center"/>
          </w:tcPr>
          <w:p w14:paraId="53EE17F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F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F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7F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0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0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0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0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0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0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0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0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1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828" w14:textId="77777777">
        <w:trPr>
          <w:trHeight w:val="57"/>
        </w:trPr>
        <w:tc>
          <w:tcPr>
            <w:tcW w:w="616" w:type="pct"/>
            <w:vAlign w:val="center"/>
          </w:tcPr>
          <w:p w14:paraId="53EE1812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Written Lab Report</w:t>
            </w:r>
          </w:p>
        </w:tc>
        <w:tc>
          <w:tcPr>
            <w:tcW w:w="210" w:type="pct"/>
            <w:vAlign w:val="center"/>
          </w:tcPr>
          <w:p w14:paraId="53EE181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1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1B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1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1D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1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1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2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2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2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50DF" w14:paraId="53EE183F" w14:textId="77777777">
        <w:trPr>
          <w:trHeight w:val="57"/>
        </w:trPr>
        <w:tc>
          <w:tcPr>
            <w:tcW w:w="616" w:type="pct"/>
            <w:vAlign w:val="center"/>
          </w:tcPr>
          <w:p w14:paraId="53EE1829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Written Examination</w:t>
            </w:r>
          </w:p>
        </w:tc>
        <w:tc>
          <w:tcPr>
            <w:tcW w:w="210" w:type="pct"/>
            <w:vAlign w:val="center"/>
          </w:tcPr>
          <w:p w14:paraId="53EE182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2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2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2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2E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2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3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3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3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3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3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3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3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856" w14:textId="77777777">
        <w:trPr>
          <w:trHeight w:val="57"/>
        </w:trPr>
        <w:tc>
          <w:tcPr>
            <w:tcW w:w="616" w:type="pct"/>
            <w:vAlign w:val="center"/>
          </w:tcPr>
          <w:p w14:paraId="53EE1840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Pharmaceutical Calculations</w:t>
            </w:r>
          </w:p>
        </w:tc>
        <w:tc>
          <w:tcPr>
            <w:tcW w:w="210" w:type="pct"/>
            <w:vAlign w:val="center"/>
          </w:tcPr>
          <w:p w14:paraId="53EE184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2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4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4B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4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4D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4E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4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F50DF" w14:paraId="53EE186D" w14:textId="77777777">
        <w:trPr>
          <w:trHeight w:val="57"/>
        </w:trPr>
        <w:tc>
          <w:tcPr>
            <w:tcW w:w="616" w:type="pct"/>
            <w:vAlign w:val="center"/>
          </w:tcPr>
          <w:p w14:paraId="53EE1857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Attendance</w:t>
            </w:r>
          </w:p>
        </w:tc>
        <w:tc>
          <w:tcPr>
            <w:tcW w:w="210" w:type="pct"/>
            <w:vAlign w:val="center"/>
          </w:tcPr>
          <w:p w14:paraId="53EE185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5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5F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0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6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6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6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64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05" w:type="pct"/>
            <w:vAlign w:val="center"/>
          </w:tcPr>
          <w:p w14:paraId="53EE1865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6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7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8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9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A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B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6C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8F50DF" w14:paraId="53EE1884" w14:textId="77777777">
        <w:trPr>
          <w:trHeight w:val="57"/>
        </w:trPr>
        <w:tc>
          <w:tcPr>
            <w:tcW w:w="616" w:type="pct"/>
            <w:vAlign w:val="center"/>
          </w:tcPr>
          <w:p w14:paraId="53EE186E" w14:textId="77777777" w:rsidR="008F50DF" w:rsidRDefault="005132FE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Placement</w:t>
            </w:r>
          </w:p>
        </w:tc>
        <w:tc>
          <w:tcPr>
            <w:tcW w:w="210" w:type="pct"/>
            <w:vAlign w:val="center"/>
          </w:tcPr>
          <w:p w14:paraId="53EE186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1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2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3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4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5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6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7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78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79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7A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7B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5" w:type="pct"/>
            <w:vAlign w:val="center"/>
          </w:tcPr>
          <w:p w14:paraId="53EE187C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7D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7E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7F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80" w14:textId="77777777" w:rsidR="008F50DF" w:rsidRDefault="008F50D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0" w:type="pct"/>
            <w:vAlign w:val="center"/>
          </w:tcPr>
          <w:p w14:paraId="53EE1881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82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0" w:type="pct"/>
            <w:vAlign w:val="center"/>
          </w:tcPr>
          <w:p w14:paraId="53EE1883" w14:textId="77777777" w:rsidR="008F50DF" w:rsidRDefault="005132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</w:tbl>
    <w:p w14:paraId="53EE1885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3EE1886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 xml:space="preserve">Inclusive module design </w:t>
      </w:r>
    </w:p>
    <w:p w14:paraId="53EE1887" w14:textId="77777777" w:rsidR="008F50DF" w:rsidRDefault="005132F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recognises and has embedded the expectations of current equality legislation, by ensuring that the module is as accessible as </w:t>
      </w:r>
      <w:r>
        <w:rPr>
          <w:rFonts w:ascii="Arial" w:hAnsi="Arial" w:cs="Arial"/>
        </w:rPr>
        <w:t>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53EE1888" w14:textId="77777777" w:rsidR="008F50DF" w:rsidRDefault="005132F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inclusive practices in</w:t>
      </w:r>
      <w:r>
        <w:rPr>
          <w:rFonts w:ascii="Arial" w:hAnsi="Arial" w:cs="Arial"/>
        </w:rPr>
        <w:t xml:space="preserve"> the guidance (see Annex B Appendix A) have been considered in order to support all students in the following areas:</w:t>
      </w:r>
    </w:p>
    <w:p w14:paraId="53EE1889" w14:textId="77777777" w:rsidR="008F50DF" w:rsidRDefault="005132FE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a) </w:t>
      </w:r>
      <w:r>
        <w:rPr>
          <w:rFonts w:ascii="Arial" w:hAnsi="Arial" w:cs="Arial"/>
          <w:bCs/>
        </w:rPr>
        <w:t>Accessible resources and curriculum</w:t>
      </w:r>
    </w:p>
    <w:p w14:paraId="53EE188A" w14:textId="77777777" w:rsidR="008F50DF" w:rsidRDefault="005132F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Cs/>
        </w:rPr>
        <w:t>Learning, teaching and assessment methods</w:t>
      </w:r>
    </w:p>
    <w:p w14:paraId="53EE188B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88C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centre(s) where module will be delivered</w:t>
      </w:r>
    </w:p>
    <w:p w14:paraId="53EE188D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</w:p>
    <w:p w14:paraId="53EE188E" w14:textId="77777777" w:rsidR="008F50DF" w:rsidRDefault="008F50D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3EE188F" w14:textId="77777777" w:rsidR="008F50DF" w:rsidRDefault="005132FE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Internationalisation </w:t>
      </w:r>
    </w:p>
    <w:p w14:paraId="53EE1890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staff involved in teaching this module have had substantial training abroad and this will further the international nature of the delivery of this module.</w:t>
      </w:r>
    </w:p>
    <w:p w14:paraId="53EE1891" w14:textId="77777777" w:rsidR="008F50DF" w:rsidRDefault="005132FE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One of the goals of the MPharm degree programme is to produce grad</w:t>
      </w:r>
      <w:r>
        <w:rPr>
          <w:rFonts w:ascii="Arial" w:hAnsi="Arial" w:cs="Arial"/>
        </w:rPr>
        <w:t>uates who will eventually become registered pharmacists in the United Kingdom. However, many of our MPharm graduates have become successful pharmacists in the Republic of Ireland, Canada and other nations.</w:t>
      </w:r>
    </w:p>
    <w:p w14:paraId="53EE1892" w14:textId="77777777" w:rsidR="008F50DF" w:rsidRDefault="008F50DF">
      <w:pPr>
        <w:spacing w:after="120" w:line="240" w:lineRule="auto"/>
        <w:ind w:right="260"/>
        <w:rPr>
          <w:rFonts w:ascii="Arial" w:hAnsi="Arial" w:cs="Arial"/>
          <w:b/>
        </w:rPr>
      </w:pPr>
    </w:p>
    <w:p w14:paraId="53EE1893" w14:textId="77777777" w:rsidR="008F50DF" w:rsidRDefault="008F50D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53EE1894" w14:textId="77777777" w:rsidR="008F50DF" w:rsidRDefault="005132F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FACULTIES SUPPORT OFFICE USE ONLY </w:t>
      </w:r>
    </w:p>
    <w:p w14:paraId="53EE1895" w14:textId="77777777" w:rsidR="008F50DF" w:rsidRDefault="005132FE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Revision </w:t>
      </w:r>
      <w:r>
        <w:rPr>
          <w:rFonts w:ascii="Arial" w:hAnsi="Arial" w:cs="Arial"/>
          <w:b/>
          <w:sz w:val="20"/>
        </w:rPr>
        <w:t>record – all revisions must be recorded in the grid and full details of the change retained in the appropriate committee records.</w:t>
      </w:r>
    </w:p>
    <w:p w14:paraId="53EE1896" w14:textId="77777777" w:rsidR="008F50DF" w:rsidRDefault="008F50D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8F50DF" w14:paraId="53EE189C" w14:textId="77777777">
        <w:trPr>
          <w:trHeight w:val="317"/>
        </w:trPr>
        <w:tc>
          <w:tcPr>
            <w:tcW w:w="1526" w:type="dxa"/>
          </w:tcPr>
          <w:p w14:paraId="53EE1897" w14:textId="77777777" w:rsidR="008F50DF" w:rsidRDefault="005132F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53EE1898" w14:textId="77777777" w:rsidR="008F50DF" w:rsidRDefault="005132FE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3EE1899" w14:textId="77777777" w:rsidR="008F50DF" w:rsidRDefault="005132FE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3EE189A" w14:textId="77777777" w:rsidR="008F50DF" w:rsidRDefault="005132F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3EE189B" w14:textId="77777777" w:rsidR="008F50DF" w:rsidRDefault="005132FE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Impacts PLOs (Q6&amp;7 cover sh</w:t>
            </w:r>
            <w:r>
              <w:rPr>
                <w:rFonts w:ascii="Arial" w:hAnsi="Arial" w:cs="Arial"/>
                <w:sz w:val="18"/>
              </w:rPr>
              <w:t>eet)</w:t>
            </w:r>
          </w:p>
        </w:tc>
      </w:tr>
      <w:tr w:rsidR="008F50DF" w14:paraId="53EE18A2" w14:textId="77777777">
        <w:trPr>
          <w:trHeight w:val="305"/>
        </w:trPr>
        <w:tc>
          <w:tcPr>
            <w:tcW w:w="1526" w:type="dxa"/>
          </w:tcPr>
          <w:p w14:paraId="53EE189D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EE189E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EE189F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3EE18A0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3EE18A1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F50DF" w14:paraId="53EE18A8" w14:textId="77777777">
        <w:trPr>
          <w:trHeight w:val="305"/>
        </w:trPr>
        <w:tc>
          <w:tcPr>
            <w:tcW w:w="1526" w:type="dxa"/>
          </w:tcPr>
          <w:p w14:paraId="53EE18A3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EE18A4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3EE18A5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3EE18A6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3EE18A7" w14:textId="77777777" w:rsidR="008F50DF" w:rsidRDefault="008F50DF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3EE18A9" w14:textId="77777777" w:rsidR="008F50DF" w:rsidRDefault="008F50DF">
      <w:pPr>
        <w:spacing w:after="120" w:line="240" w:lineRule="auto"/>
        <w:ind w:right="-330"/>
        <w:rPr>
          <w:rFonts w:ascii="Arial" w:hAnsi="Arial" w:cs="Arial"/>
        </w:rPr>
      </w:pPr>
    </w:p>
    <w:p w14:paraId="53EE18AA" w14:textId="77777777" w:rsidR="008F50DF" w:rsidRDefault="0051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8F50DF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18AE" w14:textId="77777777" w:rsidR="008F50DF" w:rsidRDefault="005132FE">
      <w:pPr>
        <w:spacing w:after="0" w:line="240" w:lineRule="auto"/>
      </w:pPr>
      <w:r>
        <w:separator/>
      </w:r>
    </w:p>
  </w:endnote>
  <w:endnote w:type="continuationSeparator" w:id="0">
    <w:p w14:paraId="53EE18AF" w14:textId="77777777" w:rsidR="008F50DF" w:rsidRDefault="005132FE">
      <w:pPr>
        <w:spacing w:after="0" w:line="240" w:lineRule="auto"/>
      </w:pPr>
      <w:r>
        <w:continuationSeparator/>
      </w:r>
    </w:p>
  </w:endnote>
  <w:endnote w:type="continuationNotice" w:id="1">
    <w:p w14:paraId="53EE18B0" w14:textId="77777777" w:rsidR="008F50DF" w:rsidRDefault="008F5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3EE18B4" w14:textId="42B8D3F7" w:rsidR="008F50DF" w:rsidRDefault="00513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E18B5" w14:textId="77777777" w:rsidR="008F50DF" w:rsidRDefault="005132FE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Reviewed and approved at the School Education Committee 24/04/2019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E18AB" w14:textId="77777777" w:rsidR="008F50DF" w:rsidRDefault="005132FE">
      <w:pPr>
        <w:spacing w:after="0" w:line="240" w:lineRule="auto"/>
      </w:pPr>
      <w:r>
        <w:separator/>
      </w:r>
    </w:p>
  </w:footnote>
  <w:footnote w:type="continuationSeparator" w:id="0">
    <w:p w14:paraId="53EE18AC" w14:textId="77777777" w:rsidR="008F50DF" w:rsidRDefault="005132FE">
      <w:pPr>
        <w:spacing w:after="0" w:line="240" w:lineRule="auto"/>
      </w:pPr>
      <w:r>
        <w:continuationSeparator/>
      </w:r>
    </w:p>
  </w:footnote>
  <w:footnote w:type="continuationNotice" w:id="1">
    <w:p w14:paraId="53EE18AD" w14:textId="77777777" w:rsidR="008F50DF" w:rsidRDefault="008F5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18B1" w14:textId="77777777" w:rsidR="008F50DF" w:rsidRDefault="005132F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3EE18B8" wp14:editId="53EE18B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3EE18B2" w14:textId="77777777" w:rsidR="008F50DF" w:rsidRDefault="008F50DF">
    <w:pPr>
      <w:pStyle w:val="Heading1"/>
      <w:spacing w:before="60" w:after="60"/>
      <w:rPr>
        <w:rFonts w:ascii="Arial" w:hAnsi="Arial" w:cs="Arial"/>
      </w:rPr>
    </w:pPr>
  </w:p>
  <w:p w14:paraId="53EE18B3" w14:textId="77777777" w:rsidR="008F50DF" w:rsidRDefault="008F5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18B6" w14:textId="77777777" w:rsidR="008F50DF" w:rsidRDefault="005132FE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3EE18BA" wp14:editId="53EE18B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3EE18B7" w14:textId="77777777" w:rsidR="008F50DF" w:rsidRDefault="008F5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F56435"/>
    <w:multiLevelType w:val="hybridMultilevel"/>
    <w:tmpl w:val="195C1C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C02E10"/>
    <w:multiLevelType w:val="hybridMultilevel"/>
    <w:tmpl w:val="CC12686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B81502"/>
    <w:multiLevelType w:val="hybridMultilevel"/>
    <w:tmpl w:val="3F9CA800"/>
    <w:lvl w:ilvl="0" w:tplc="0809001B">
      <w:start w:val="1"/>
      <w:numFmt w:val="lowerRoman"/>
      <w:lvlText w:val="%1."/>
      <w:lvlJc w:val="right"/>
      <w:pPr>
        <w:ind w:left="2586" w:hanging="360"/>
      </w:pPr>
    </w:lvl>
    <w:lvl w:ilvl="1" w:tplc="08090019">
      <w:start w:val="1"/>
      <w:numFmt w:val="lowerLetter"/>
      <w:lvlText w:val="%2."/>
      <w:lvlJc w:val="left"/>
      <w:pPr>
        <w:ind w:left="3306" w:hanging="360"/>
      </w:pPr>
    </w:lvl>
    <w:lvl w:ilvl="2" w:tplc="0809001B">
      <w:start w:val="1"/>
      <w:numFmt w:val="lowerRoman"/>
      <w:lvlText w:val="%3."/>
      <w:lvlJc w:val="right"/>
      <w:pPr>
        <w:ind w:left="4026" w:hanging="180"/>
      </w:pPr>
    </w:lvl>
    <w:lvl w:ilvl="3" w:tplc="0809000F">
      <w:start w:val="1"/>
      <w:numFmt w:val="decimal"/>
      <w:lvlText w:val="%4."/>
      <w:lvlJc w:val="left"/>
      <w:pPr>
        <w:ind w:left="4746" w:hanging="360"/>
      </w:pPr>
    </w:lvl>
    <w:lvl w:ilvl="4" w:tplc="08090019">
      <w:start w:val="1"/>
      <w:numFmt w:val="lowerLetter"/>
      <w:lvlText w:val="%5."/>
      <w:lvlJc w:val="left"/>
      <w:pPr>
        <w:ind w:left="5466" w:hanging="360"/>
      </w:pPr>
    </w:lvl>
    <w:lvl w:ilvl="5" w:tplc="0809001B">
      <w:start w:val="1"/>
      <w:numFmt w:val="lowerRoman"/>
      <w:lvlText w:val="%6."/>
      <w:lvlJc w:val="right"/>
      <w:pPr>
        <w:ind w:left="6186" w:hanging="180"/>
      </w:pPr>
    </w:lvl>
    <w:lvl w:ilvl="6" w:tplc="0809000F">
      <w:start w:val="1"/>
      <w:numFmt w:val="decimal"/>
      <w:lvlText w:val="%7."/>
      <w:lvlJc w:val="left"/>
      <w:pPr>
        <w:ind w:left="6906" w:hanging="360"/>
      </w:pPr>
    </w:lvl>
    <w:lvl w:ilvl="7" w:tplc="08090019">
      <w:start w:val="1"/>
      <w:numFmt w:val="lowerLetter"/>
      <w:lvlText w:val="%8."/>
      <w:lvlJc w:val="left"/>
      <w:pPr>
        <w:ind w:left="7626" w:hanging="360"/>
      </w:pPr>
    </w:lvl>
    <w:lvl w:ilvl="8" w:tplc="0809001B">
      <w:start w:val="1"/>
      <w:numFmt w:val="lowerRoman"/>
      <w:lvlText w:val="%9."/>
      <w:lvlJc w:val="right"/>
      <w:pPr>
        <w:ind w:left="8346" w:hanging="180"/>
      </w:pPr>
    </w:lvl>
  </w:abstractNum>
  <w:abstractNum w:abstractNumId="5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62D5"/>
    <w:multiLevelType w:val="hybridMultilevel"/>
    <w:tmpl w:val="B23067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3BD230C"/>
    <w:multiLevelType w:val="hybridMultilevel"/>
    <w:tmpl w:val="7F78C6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711D9D"/>
    <w:multiLevelType w:val="hybridMultilevel"/>
    <w:tmpl w:val="4CC807E2"/>
    <w:lvl w:ilvl="0" w:tplc="0EA656CE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  <w14:cntxtAlts w14:val="0"/>
      </w:rPr>
    </w:lvl>
    <w:lvl w:ilvl="1" w:tplc="0809001B">
      <w:start w:val="1"/>
      <w:numFmt w:val="lowerRoman"/>
      <w:lvlText w:val="%2."/>
      <w:lvlJc w:val="right"/>
      <w:pPr>
        <w:ind w:left="1866" w:hanging="360"/>
      </w:p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EC5993"/>
    <w:multiLevelType w:val="hybridMultilevel"/>
    <w:tmpl w:val="2A2E9AC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DE03509"/>
    <w:multiLevelType w:val="hybridMultilevel"/>
    <w:tmpl w:val="273A665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1B523FA"/>
    <w:multiLevelType w:val="hybridMultilevel"/>
    <w:tmpl w:val="B1D84808"/>
    <w:lvl w:ilvl="0" w:tplc="0809001B">
      <w:start w:val="1"/>
      <w:numFmt w:val="lowerRoman"/>
      <w:lvlText w:val="%1."/>
      <w:lvlJc w:val="right"/>
      <w:pPr>
        <w:ind w:left="2345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u w:val="none"/>
        <w:effect w:val="none"/>
        <w:vertAlign w:val="baseline"/>
        <w:specVanish w:val="0"/>
        <w14:cntxtAlts w14:val="0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658E4AC2"/>
    <w:multiLevelType w:val="hybridMultilevel"/>
    <w:tmpl w:val="6DAC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6175"/>
    <w:multiLevelType w:val="hybridMultilevel"/>
    <w:tmpl w:val="1860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19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DF"/>
    <w:rsid w:val="005132FE"/>
    <w:rsid w:val="008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3EE16DF"/>
  <w15:docId w15:val="{A8C6A003-E574-422D-9E58-59A06524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F0416E893F4984621239176F6BA9" ma:contentTypeVersion="1" ma:contentTypeDescription="Create a new document." ma:contentTypeScope="" ma:versionID="e88ec3eea8ba4aeaf0bd9f1944705f5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3AMX4D3CU3N3-1394680045-139</_dlc_DocId>
    <_dlc_DocIdUrl xmlns="ef2b9e05-657a-4dc1-8c6c-679bdea18f38">
      <Url>https://sharepoint.kent.ac.uk/fso/cmaproject/_layouts/15/DocIdRedir.aspx?ID=3AMX4D3CU3N3-1394680045-139</Url>
      <Description>3AMX4D3CU3N3-1394680045-139</Description>
    </_dlc_DocIdUrl>
    <_dlc_DocIdPersistId xmlns="ef2b9e05-657a-4dc1-8c6c-679bdea18f38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270B-2847-447F-A1DE-3175C08C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4D169-7897-45F7-AB81-5CACC5E33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9BF87-2871-4A1C-A30A-A6F02022D1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28A755-834A-4BF4-9E10-E0D2107312E4}">
  <ds:schemaRefs>
    <ds:schemaRef ds:uri="ef2b9e05-657a-4dc1-8c6c-679bdea18f3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E726962-980D-4950-A749-F62B46DF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Jo Stoner</cp:lastModifiedBy>
  <cp:revision>2</cp:revision>
  <cp:lastPrinted>2019-03-01T10:00:00Z</cp:lastPrinted>
  <dcterms:created xsi:type="dcterms:W3CDTF">2019-11-20T11:33:00Z</dcterms:created>
  <dcterms:modified xsi:type="dcterms:W3CDTF">2019-11-20T11:33:00Z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0x0101007798F0416E893F4984621239176F6BA9</vt:lpwstr>
  </property>
  <property fmtid="{D5CDD505-2E9C-101B-9397-08002B2CF9AE}" pid="3" name="_dlc_DocIdItemGuid">
    <vt:lpwstr>dccceec9-17f7-4c93-a420-99a87707082f</vt:lpwstr>
  </property>
  <property fmtid="{D5CDD505-2E9C-101B-9397-08002B2CF9AE}" pid="4" name="Order">
    <vt:r8>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</Properties>
</file>