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bookmarkStart w:id="0" w:name="_GoBack"/>
      <w:bookmarkEnd w:id="0"/>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666542" w:rsidRPr="00666542" w:rsidRDefault="00BD79DB" w:rsidP="00666542">
      <w:pPr>
        <w:spacing w:after="120"/>
        <w:jc w:val="both"/>
        <w:rPr>
          <w:rFonts w:ascii="Arial" w:eastAsia="SimSun" w:hAnsi="Arial" w:cs="Arial"/>
          <w:b/>
        </w:rPr>
      </w:pPr>
      <w:r>
        <w:rPr>
          <w:rFonts w:ascii="Arial" w:eastAsia="SimSun" w:hAnsi="Arial" w:cs="Arial"/>
          <w:b/>
        </w:rPr>
        <w:t>Analytical T</w:t>
      </w:r>
      <w:r w:rsidR="00666542" w:rsidRPr="00666542">
        <w:rPr>
          <w:rFonts w:ascii="Arial" w:eastAsia="SimSun" w:hAnsi="Arial" w:cs="Arial"/>
          <w:b/>
        </w:rPr>
        <w:t>echniques in Pharmacology</w:t>
      </w:r>
    </w:p>
    <w:p w:rsidR="00F301F8" w:rsidRPr="00C04C95" w:rsidRDefault="00F301F8" w:rsidP="00F301F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666542" w:rsidP="003C230C">
      <w:pPr>
        <w:spacing w:after="120"/>
        <w:jc w:val="both"/>
        <w:rPr>
          <w:rFonts w:ascii="Arial" w:hAnsi="Arial" w:cs="Arial"/>
          <w:b/>
        </w:rPr>
      </w:pPr>
      <w:r>
        <w:rPr>
          <w:rFonts w:ascii="Arial" w:hAnsi="Arial" w:cs="Arial"/>
          <w:b/>
        </w:rPr>
        <w:t>January</w:t>
      </w:r>
      <w:r w:rsidR="003C230C">
        <w:rPr>
          <w:rFonts w:ascii="Arial" w:hAnsi="Arial" w:cs="Arial"/>
          <w:b/>
        </w:rPr>
        <w:t xml:space="preserve"> </w:t>
      </w:r>
      <w:r w:rsidR="003C230C" w:rsidRPr="003C230C">
        <w:rPr>
          <w:rFonts w:ascii="Arial" w:hAnsi="Arial" w:cs="Arial"/>
          <w:b/>
        </w:rPr>
        <w:t>201</w:t>
      </w:r>
      <w:r>
        <w:rPr>
          <w:rFonts w:ascii="Arial" w:hAnsi="Arial" w:cs="Arial"/>
          <w:b/>
        </w:rPr>
        <w:t>5</w:t>
      </w:r>
      <w:r w:rsidR="003C230C" w:rsidRPr="003C230C">
        <w:rPr>
          <w:rFonts w:ascii="Arial" w:hAnsi="Arial" w:cs="Arial"/>
          <w:b/>
        </w:rPr>
        <w:t xml:space="preserve"> </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3C230C">
      <w:pPr>
        <w:spacing w:after="120"/>
        <w:jc w:val="both"/>
        <w:rPr>
          <w:rFonts w:ascii="Arial" w:hAnsi="Arial" w:cs="Arial"/>
          <w:b/>
        </w:rPr>
      </w:pPr>
      <w:r w:rsidRPr="003C230C">
        <w:rPr>
          <w:rFonts w:ascii="Arial" w:hAnsi="Arial" w:cs="Arial"/>
          <w:b/>
        </w:rPr>
        <w:t>30 students</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F01956" w:rsidRDefault="00F01956"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C230C" w:rsidP="003C230C">
      <w:pPr>
        <w:spacing w:after="120"/>
        <w:jc w:val="both"/>
        <w:rPr>
          <w:rFonts w:ascii="Arial" w:hAnsi="Arial" w:cs="Arial"/>
          <w:b/>
        </w:rPr>
      </w:pPr>
      <w:r w:rsidRPr="003C230C">
        <w:rPr>
          <w:rFonts w:ascii="Arial" w:hAnsi="Arial" w:cs="Arial"/>
          <w:b/>
        </w:rPr>
        <w:t>C</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D82F9E">
      <w:pPr>
        <w:spacing w:after="120"/>
        <w:jc w:val="both"/>
        <w:rPr>
          <w:rFonts w:ascii="Arial" w:hAnsi="Arial" w:cs="Arial"/>
          <w:b/>
        </w:rPr>
      </w:pPr>
      <w:r>
        <w:rPr>
          <w:rFonts w:ascii="Arial" w:hAnsi="Arial" w:cs="Arial"/>
          <w:b/>
        </w:rPr>
        <w:t xml:space="preserve">Term </w:t>
      </w:r>
      <w:r w:rsidR="00666542">
        <w:rPr>
          <w:rFonts w:ascii="Arial" w:hAnsi="Arial" w:cs="Arial"/>
          <w:b/>
        </w:rPr>
        <w:t>2</w:t>
      </w:r>
      <w:r>
        <w:rPr>
          <w:rFonts w:ascii="Arial" w:hAnsi="Arial" w:cs="Arial"/>
          <w:b/>
        </w:rPr>
        <w:t xml:space="preserve">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D82F9E" w:rsidRPr="00D82F9E" w:rsidRDefault="00712A87" w:rsidP="00D82F9E">
      <w:pPr>
        <w:spacing w:after="120"/>
        <w:jc w:val="both"/>
        <w:rPr>
          <w:rFonts w:ascii="Arial" w:hAnsi="Arial" w:cs="Arial"/>
          <w:b/>
        </w:rPr>
      </w:pPr>
      <w:r>
        <w:rPr>
          <w:rFonts w:ascii="Arial" w:hAnsi="Arial" w:cs="Arial"/>
          <w:b/>
        </w:rPr>
        <w:t>Basic Laboratory Skill</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712A87" w:rsidRPr="00712A87" w:rsidRDefault="00712A87" w:rsidP="00712A87">
      <w:pPr>
        <w:spacing w:before="60" w:after="60" w:line="240" w:lineRule="auto"/>
        <w:ind w:left="360" w:right="-330"/>
        <w:rPr>
          <w:rFonts w:ascii="Arial" w:hAnsi="Arial" w:cs="Arial"/>
        </w:rPr>
      </w:pPr>
      <w:r>
        <w:rPr>
          <w:rFonts w:ascii="Arial" w:hAnsi="Arial" w:cs="Arial"/>
        </w:rPr>
        <w:t xml:space="preserve">11. 1. </w:t>
      </w:r>
      <w:r w:rsidRPr="00712A87">
        <w:rPr>
          <w:rFonts w:ascii="Arial" w:hAnsi="Arial" w:cs="Arial"/>
        </w:rPr>
        <w:t xml:space="preserve">Demonstrate a range of higher level laboratory and analytical skills relevant to pharmacology ( </w:t>
      </w:r>
      <w:r w:rsidRPr="00712A87">
        <w:rPr>
          <w:rFonts w:ascii="Arial" w:hAnsi="Arial" w:cs="Arial"/>
          <w:b/>
        </w:rPr>
        <w:t>POA1, POA4, POB1-5, POD1, POD2, POD3</w:t>
      </w:r>
      <w:r w:rsidRPr="00712A87">
        <w:rPr>
          <w:rFonts w:ascii="Arial" w:hAnsi="Arial" w:cs="Arial"/>
        </w:rPr>
        <w:t>)</w:t>
      </w:r>
    </w:p>
    <w:p w:rsidR="00712A87" w:rsidRPr="00712A87" w:rsidRDefault="00712A87" w:rsidP="00712A87">
      <w:pPr>
        <w:spacing w:before="60" w:after="60" w:line="240" w:lineRule="auto"/>
        <w:ind w:left="360" w:right="-330"/>
        <w:rPr>
          <w:rFonts w:ascii="Arial" w:hAnsi="Arial" w:cs="Arial"/>
        </w:rPr>
      </w:pPr>
      <w:r>
        <w:rPr>
          <w:rFonts w:ascii="Arial" w:hAnsi="Arial" w:cs="Arial"/>
        </w:rPr>
        <w:t xml:space="preserve">11.2. </w:t>
      </w:r>
      <w:r w:rsidRPr="00712A87">
        <w:rPr>
          <w:rFonts w:ascii="Arial" w:hAnsi="Arial" w:cs="Arial"/>
        </w:rPr>
        <w:t>Demonstrate an ability to evaluate, critically analyse and present laboratory data (</w:t>
      </w:r>
      <w:r w:rsidRPr="00712A87">
        <w:rPr>
          <w:rFonts w:ascii="Arial" w:hAnsi="Arial" w:cs="Arial"/>
          <w:b/>
        </w:rPr>
        <w:t>POA5, POB1-5</w:t>
      </w:r>
      <w:r w:rsidRPr="00712A87">
        <w:rPr>
          <w:rFonts w:ascii="Arial" w:hAnsi="Arial" w:cs="Arial"/>
        </w:rPr>
        <w:t>)</w:t>
      </w:r>
    </w:p>
    <w:p w:rsidR="00712A87" w:rsidRPr="00712A87" w:rsidRDefault="00712A87" w:rsidP="00712A87">
      <w:pPr>
        <w:spacing w:before="60" w:after="60" w:line="240" w:lineRule="auto"/>
        <w:ind w:left="360" w:right="-330"/>
        <w:rPr>
          <w:rFonts w:ascii="Arial" w:hAnsi="Arial" w:cs="Arial"/>
        </w:rPr>
      </w:pPr>
      <w:r>
        <w:rPr>
          <w:rFonts w:ascii="Arial" w:hAnsi="Arial" w:cs="Arial"/>
        </w:rPr>
        <w:t xml:space="preserve">11.3. </w:t>
      </w:r>
      <w:r w:rsidRPr="00712A87">
        <w:rPr>
          <w:rFonts w:ascii="Arial" w:hAnsi="Arial" w:cs="Arial"/>
        </w:rPr>
        <w:t>Show an understanding of the basic essentials of experimental design required to evaluate drug effects with emphasis on appropriate controls (</w:t>
      </w:r>
      <w:r w:rsidRPr="00712A87">
        <w:rPr>
          <w:rFonts w:ascii="Arial" w:hAnsi="Arial" w:cs="Arial"/>
          <w:b/>
        </w:rPr>
        <w:t>POB1</w:t>
      </w:r>
      <w:r w:rsidRPr="00712A87">
        <w:rPr>
          <w:rFonts w:ascii="Arial" w:hAnsi="Arial" w:cs="Arial"/>
        </w:rPr>
        <w:t xml:space="preserve">) </w:t>
      </w:r>
    </w:p>
    <w:p w:rsidR="00712A87" w:rsidRDefault="00712A87" w:rsidP="00712A87">
      <w:pPr>
        <w:spacing w:before="60" w:after="60" w:line="240" w:lineRule="auto"/>
        <w:ind w:left="360" w:right="-330"/>
        <w:rPr>
          <w:rFonts w:ascii="Arial" w:hAnsi="Arial" w:cs="Arial"/>
        </w:rPr>
      </w:pPr>
      <w:r>
        <w:rPr>
          <w:rFonts w:ascii="Arial" w:hAnsi="Arial" w:cs="Arial"/>
        </w:rPr>
        <w:t xml:space="preserve">11.4. </w:t>
      </w:r>
      <w:r w:rsidRPr="00712A87">
        <w:rPr>
          <w:rFonts w:ascii="Arial" w:hAnsi="Arial" w:cs="Arial"/>
        </w:rPr>
        <w:t>Show an understanding of basic inferential statistics (</w:t>
      </w:r>
      <w:r w:rsidRPr="00712A87">
        <w:rPr>
          <w:rFonts w:ascii="Arial" w:hAnsi="Arial" w:cs="Arial"/>
          <w:b/>
        </w:rPr>
        <w:t>POC5</w:t>
      </w:r>
      <w:r w:rsidRPr="00712A87">
        <w:rPr>
          <w:rFonts w:ascii="Arial" w:hAnsi="Arial" w:cs="Arial"/>
        </w:rPr>
        <w:t>)</w:t>
      </w:r>
    </w:p>
    <w:p w:rsidR="00712A87" w:rsidRPr="00C04C95" w:rsidRDefault="00712A87" w:rsidP="00712A87">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lastRenderedPageBreak/>
        <w:t xml:space="preserve">The intended generic learning outcomes </w:t>
      </w:r>
    </w:p>
    <w:p w:rsidR="006554C4" w:rsidRDefault="006554C4" w:rsidP="006554C4">
      <w:pPr>
        <w:spacing w:after="120" w:line="240" w:lineRule="auto"/>
        <w:ind w:left="360"/>
        <w:jc w:val="both"/>
        <w:rPr>
          <w:rFonts w:ascii="Arial" w:hAnsi="Arial" w:cs="Arial"/>
        </w:rPr>
      </w:pPr>
      <w:r>
        <w:rPr>
          <w:rFonts w:ascii="Arial" w:hAnsi="Arial" w:cs="Arial"/>
        </w:rPr>
        <w:t xml:space="preserve">12.1 </w:t>
      </w:r>
      <w:r w:rsidRPr="00C2090E">
        <w:rPr>
          <w:rFonts w:ascii="Arial" w:hAnsi="Arial" w:cs="Arial"/>
        </w:rPr>
        <w:t xml:space="preserve">An ability to work and communicate effectively with others </w:t>
      </w:r>
      <w:r>
        <w:rPr>
          <w:rFonts w:ascii="Arial" w:hAnsi="Arial" w:cs="Arial"/>
        </w:rPr>
        <w:t>(</w:t>
      </w:r>
      <w:r w:rsidRPr="006C1055">
        <w:rPr>
          <w:rFonts w:ascii="Arial" w:hAnsi="Arial" w:cs="Arial"/>
          <w:b/>
        </w:rPr>
        <w:t>POD1 &amp; POD2</w:t>
      </w:r>
      <w:r>
        <w:rPr>
          <w:rFonts w:ascii="Arial" w:hAnsi="Arial" w:cs="Arial"/>
        </w:rPr>
        <w:t>)</w:t>
      </w:r>
    </w:p>
    <w:p w:rsidR="006554C4" w:rsidRPr="00C2090E" w:rsidRDefault="006554C4" w:rsidP="006554C4">
      <w:pPr>
        <w:spacing w:after="120" w:line="240" w:lineRule="auto"/>
        <w:ind w:left="360"/>
        <w:jc w:val="both"/>
        <w:rPr>
          <w:rFonts w:ascii="Arial" w:hAnsi="Arial" w:cs="Arial"/>
        </w:rPr>
      </w:pPr>
      <w:r>
        <w:rPr>
          <w:rFonts w:ascii="Arial" w:hAnsi="Arial" w:cs="Arial"/>
        </w:rPr>
        <w:t xml:space="preserve">12.2 </w:t>
      </w:r>
      <w:r w:rsidRPr="00C2090E">
        <w:rPr>
          <w:rFonts w:ascii="Arial" w:hAnsi="Arial" w:cs="Arial"/>
        </w:rPr>
        <w:t xml:space="preserve">An ability problem-solve relating to quantitative data, calculations and numeracy </w:t>
      </w:r>
      <w:r>
        <w:rPr>
          <w:rFonts w:ascii="Arial" w:hAnsi="Arial" w:cs="Arial"/>
        </w:rPr>
        <w:t>(</w:t>
      </w:r>
      <w:r>
        <w:rPr>
          <w:rFonts w:ascii="Arial" w:hAnsi="Arial" w:cs="Arial"/>
          <w:b/>
        </w:rPr>
        <w:t>POA5, POB2, POB3, POB4</w:t>
      </w:r>
      <w:r w:rsidRPr="00A04E09">
        <w:rPr>
          <w:rFonts w:ascii="Arial" w:hAnsi="Arial" w:cs="Arial"/>
          <w:b/>
        </w:rPr>
        <w:t xml:space="preserve">, </w:t>
      </w:r>
      <w:r>
        <w:rPr>
          <w:rFonts w:ascii="Arial" w:hAnsi="Arial" w:cs="Arial"/>
          <w:b/>
        </w:rPr>
        <w:t xml:space="preserve">POC5, </w:t>
      </w:r>
      <w:r w:rsidRPr="00A04E09">
        <w:rPr>
          <w:rFonts w:ascii="Arial" w:hAnsi="Arial" w:cs="Arial"/>
          <w:b/>
        </w:rPr>
        <w:t>PO</w:t>
      </w:r>
      <w:r>
        <w:rPr>
          <w:rFonts w:ascii="Arial" w:hAnsi="Arial" w:cs="Arial"/>
          <w:b/>
        </w:rPr>
        <w:t>D2, POD3, POD4, POD5, &amp; POD6</w:t>
      </w:r>
      <w:r>
        <w:rPr>
          <w:rFonts w:ascii="Arial" w:hAnsi="Arial" w:cs="Arial"/>
        </w:rPr>
        <w:t>)</w:t>
      </w:r>
    </w:p>
    <w:p w:rsidR="006554C4" w:rsidRDefault="006554C4" w:rsidP="006554C4">
      <w:pPr>
        <w:spacing w:after="120" w:line="240" w:lineRule="auto"/>
        <w:ind w:left="360"/>
        <w:jc w:val="both"/>
        <w:rPr>
          <w:rFonts w:ascii="Arial" w:hAnsi="Arial" w:cs="Arial"/>
        </w:rPr>
      </w:pPr>
      <w:r>
        <w:rPr>
          <w:rFonts w:ascii="Arial" w:hAnsi="Arial" w:cs="Arial"/>
        </w:rPr>
        <w:t>12.3 An ability to critically evaluate quantitative data (</w:t>
      </w:r>
      <w:r>
        <w:rPr>
          <w:rFonts w:ascii="Arial" w:hAnsi="Arial" w:cs="Arial"/>
          <w:b/>
        </w:rPr>
        <w:t>POA5, POB2, POB3, POB4</w:t>
      </w:r>
      <w:r w:rsidRPr="00A04E09">
        <w:rPr>
          <w:rFonts w:ascii="Arial" w:hAnsi="Arial" w:cs="Arial"/>
          <w:b/>
        </w:rPr>
        <w:t>, PO</w:t>
      </w:r>
      <w:r>
        <w:rPr>
          <w:rFonts w:ascii="Arial" w:hAnsi="Arial" w:cs="Arial"/>
          <w:b/>
        </w:rPr>
        <w:t>D2, POD3, POD4, POD5, &amp; POD6)</w:t>
      </w:r>
    </w:p>
    <w:p w:rsidR="006554C4" w:rsidRDefault="006554C4" w:rsidP="006554C4">
      <w:pPr>
        <w:spacing w:after="120" w:line="240" w:lineRule="auto"/>
        <w:ind w:left="360"/>
        <w:jc w:val="both"/>
        <w:rPr>
          <w:rFonts w:ascii="Arial" w:hAnsi="Arial" w:cs="Arial"/>
        </w:rPr>
      </w:pPr>
      <w:r>
        <w:rPr>
          <w:rFonts w:ascii="Arial" w:hAnsi="Arial" w:cs="Arial"/>
        </w:rPr>
        <w:t>12.4 An ability to accurately retrieve and understand information as part of self-directed learning (</w:t>
      </w:r>
      <w:r w:rsidRPr="005364DE">
        <w:rPr>
          <w:rFonts w:ascii="Arial" w:hAnsi="Arial" w:cs="Arial"/>
          <w:b/>
        </w:rPr>
        <w:t>POD1,POD2,POD3,POD4,POD5,POD6</w:t>
      </w:r>
      <w:r>
        <w:rPr>
          <w:rFonts w:ascii="Arial" w:hAnsi="Arial" w:cs="Arial"/>
          <w:b/>
        </w:rPr>
        <w:t>)</w:t>
      </w:r>
    </w:p>
    <w:p w:rsidR="006554C4" w:rsidRPr="0083408E" w:rsidRDefault="006554C4" w:rsidP="006554C4">
      <w:pPr>
        <w:spacing w:after="120" w:line="240" w:lineRule="auto"/>
        <w:ind w:left="360"/>
        <w:jc w:val="both"/>
        <w:rPr>
          <w:rFonts w:ascii="Arial" w:hAnsi="Arial" w:cs="Arial"/>
        </w:rPr>
      </w:pPr>
      <w:r>
        <w:rPr>
          <w:rFonts w:ascii="Arial" w:hAnsi="Arial" w:cs="Arial"/>
        </w:rPr>
        <w:t>12.5 An understanding of the accepted ethical principals involved in the collection, use and interpretation of scientific data (</w:t>
      </w:r>
      <w:r w:rsidRPr="00A04E09">
        <w:rPr>
          <w:rFonts w:ascii="Arial" w:hAnsi="Arial" w:cs="Arial"/>
          <w:b/>
        </w:rPr>
        <w:t>PO</w:t>
      </w:r>
      <w:r>
        <w:rPr>
          <w:rFonts w:ascii="Arial" w:hAnsi="Arial" w:cs="Arial"/>
          <w:b/>
        </w:rPr>
        <w:t>B1, POB2, POB3, POB5, POB6</w:t>
      </w:r>
      <w:r>
        <w:rPr>
          <w:rFonts w:ascii="Arial" w:hAnsi="Arial" w:cs="Arial"/>
        </w:rPr>
        <w:t>)</w:t>
      </w:r>
    </w:p>
    <w:p w:rsidR="00903DF6" w:rsidRDefault="00903DF6" w:rsidP="005E6D38">
      <w:pPr>
        <w:pStyle w:val="Default"/>
        <w:spacing w:before="60" w:after="60"/>
        <w:ind w:left="720" w:right="-330"/>
        <w:rPr>
          <w:color w:val="auto"/>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712A87" w:rsidRDefault="00712A87" w:rsidP="00712A87">
      <w:pPr>
        <w:numPr>
          <w:ilvl w:val="0"/>
          <w:numId w:val="18"/>
        </w:numPr>
        <w:spacing w:after="120" w:line="240" w:lineRule="auto"/>
        <w:jc w:val="both"/>
        <w:rPr>
          <w:rFonts w:ascii="Arial" w:eastAsia="SimSun" w:hAnsi="Arial" w:cs="Arial"/>
        </w:rPr>
      </w:pPr>
      <w:r>
        <w:rPr>
          <w:rFonts w:ascii="Arial" w:eastAsia="SimSun" w:hAnsi="Arial" w:cs="Arial"/>
        </w:rPr>
        <w:t>Introduction to ligand-binding experiments: saturation versus competition radioligand binding experiments</w:t>
      </w:r>
    </w:p>
    <w:p w:rsidR="00712A87" w:rsidRDefault="00712A87" w:rsidP="00712A87">
      <w:pPr>
        <w:numPr>
          <w:ilvl w:val="0"/>
          <w:numId w:val="18"/>
        </w:numPr>
        <w:spacing w:after="120" w:line="240" w:lineRule="auto"/>
        <w:jc w:val="both"/>
        <w:rPr>
          <w:rFonts w:ascii="Arial" w:eastAsia="SimSun" w:hAnsi="Arial" w:cs="Arial"/>
        </w:rPr>
      </w:pPr>
      <w:r>
        <w:rPr>
          <w:rFonts w:ascii="Arial" w:eastAsia="SimSun" w:hAnsi="Arial" w:cs="Arial"/>
        </w:rPr>
        <w:t>Introduction to use of recombinant receptor expression systems in pharmacology</w:t>
      </w:r>
    </w:p>
    <w:p w:rsidR="00712A87" w:rsidRDefault="00712A87" w:rsidP="00712A87">
      <w:pPr>
        <w:numPr>
          <w:ilvl w:val="0"/>
          <w:numId w:val="18"/>
        </w:numPr>
        <w:spacing w:after="120" w:line="240" w:lineRule="auto"/>
        <w:jc w:val="both"/>
        <w:rPr>
          <w:rFonts w:ascii="Arial" w:eastAsia="SimSun" w:hAnsi="Arial" w:cs="Arial"/>
        </w:rPr>
      </w:pPr>
      <w:r>
        <w:rPr>
          <w:rFonts w:ascii="Arial" w:eastAsia="SimSun" w:hAnsi="Arial" w:cs="Arial"/>
        </w:rPr>
        <w:t>Introduction to the use classic isolated organ preparations in pharmacology</w:t>
      </w:r>
    </w:p>
    <w:p w:rsidR="00712A87" w:rsidRDefault="00712A87" w:rsidP="00712A87">
      <w:pPr>
        <w:numPr>
          <w:ilvl w:val="0"/>
          <w:numId w:val="18"/>
        </w:numPr>
        <w:spacing w:after="120" w:line="240" w:lineRule="auto"/>
        <w:jc w:val="both"/>
        <w:rPr>
          <w:rFonts w:ascii="Arial" w:eastAsia="SimSun" w:hAnsi="Arial" w:cs="Arial"/>
        </w:rPr>
      </w:pPr>
      <w:r>
        <w:rPr>
          <w:rFonts w:ascii="Arial" w:eastAsia="SimSun" w:hAnsi="Arial" w:cs="Arial"/>
        </w:rPr>
        <w:t xml:space="preserve">Introduction to </w:t>
      </w:r>
      <w:r w:rsidRPr="009C03C3">
        <w:rPr>
          <w:rFonts w:ascii="Arial" w:eastAsia="SimSun" w:hAnsi="Arial" w:cs="Arial"/>
          <w:i/>
        </w:rPr>
        <w:t>in vivo</w:t>
      </w:r>
      <w:r>
        <w:rPr>
          <w:rFonts w:ascii="Arial" w:eastAsia="SimSun" w:hAnsi="Arial" w:cs="Arial"/>
        </w:rPr>
        <w:t xml:space="preserve"> and animal models in pharmacology</w:t>
      </w:r>
    </w:p>
    <w:p w:rsidR="00712A87" w:rsidRDefault="00712A87" w:rsidP="00712A87">
      <w:pPr>
        <w:numPr>
          <w:ilvl w:val="0"/>
          <w:numId w:val="18"/>
        </w:numPr>
        <w:spacing w:after="120" w:line="240" w:lineRule="auto"/>
        <w:jc w:val="both"/>
        <w:rPr>
          <w:rFonts w:ascii="Arial" w:eastAsia="SimSun" w:hAnsi="Arial" w:cs="Arial"/>
        </w:rPr>
      </w:pPr>
      <w:r>
        <w:rPr>
          <w:rFonts w:ascii="Arial" w:eastAsia="SimSun" w:hAnsi="Arial" w:cs="Arial"/>
        </w:rPr>
        <w:t>Introduction to analysis of concentration-response curves</w:t>
      </w:r>
    </w:p>
    <w:p w:rsidR="00712A87" w:rsidRDefault="00712A87" w:rsidP="00712A87">
      <w:pPr>
        <w:numPr>
          <w:ilvl w:val="0"/>
          <w:numId w:val="18"/>
        </w:numPr>
        <w:spacing w:after="120" w:line="240" w:lineRule="auto"/>
        <w:jc w:val="both"/>
        <w:rPr>
          <w:rFonts w:ascii="Arial" w:eastAsia="SimSun" w:hAnsi="Arial" w:cs="Arial"/>
        </w:rPr>
      </w:pPr>
      <w:r>
        <w:rPr>
          <w:rFonts w:ascii="Arial" w:eastAsia="SimSun" w:hAnsi="Arial" w:cs="Arial"/>
        </w:rPr>
        <w:t>Introduction to basic inferential statistics to determine drug effects</w:t>
      </w:r>
    </w:p>
    <w:p w:rsidR="00643986" w:rsidRDefault="00643986" w:rsidP="00643986">
      <w:pPr>
        <w:spacing w:after="120"/>
        <w:ind w:left="720"/>
        <w:jc w:val="both"/>
        <w:rPr>
          <w:rFonts w:ascii="Arial" w:eastAsia="SimSun" w:hAnsi="Arial" w:cs="Arial"/>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712A87" w:rsidRPr="00712A87" w:rsidRDefault="00712A87" w:rsidP="00712A87">
      <w:pPr>
        <w:pStyle w:val="ListParagraph"/>
        <w:spacing w:after="120"/>
        <w:jc w:val="both"/>
        <w:rPr>
          <w:rFonts w:ascii="Arial" w:eastAsia="SimSu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708"/>
        <w:gridCol w:w="2694"/>
        <w:gridCol w:w="1760"/>
      </w:tblGrid>
      <w:tr w:rsidR="00712A87" w:rsidRPr="00DD5915" w:rsidTr="00181EEA">
        <w:tc>
          <w:tcPr>
            <w:tcW w:w="1701"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ISBN number</w:t>
            </w:r>
          </w:p>
        </w:tc>
        <w:tc>
          <w:tcPr>
            <w:tcW w:w="1560"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Author</w:t>
            </w:r>
          </w:p>
        </w:tc>
        <w:tc>
          <w:tcPr>
            <w:tcW w:w="708"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Date</w:t>
            </w:r>
          </w:p>
        </w:tc>
        <w:tc>
          <w:tcPr>
            <w:tcW w:w="2694"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Title</w:t>
            </w:r>
          </w:p>
        </w:tc>
        <w:tc>
          <w:tcPr>
            <w:tcW w:w="1760" w:type="dxa"/>
            <w:shd w:val="clear" w:color="auto" w:fill="D9D9D9"/>
          </w:tcPr>
          <w:p w:rsidR="00712A87" w:rsidRPr="00DD5915" w:rsidRDefault="00712A87" w:rsidP="00181EEA">
            <w:pPr>
              <w:spacing w:after="120"/>
              <w:jc w:val="center"/>
              <w:rPr>
                <w:rFonts w:ascii="Arial" w:eastAsia="SimSun" w:hAnsi="Arial" w:cs="Arial"/>
                <w:b/>
              </w:rPr>
            </w:pPr>
            <w:r w:rsidRPr="00DD5915">
              <w:rPr>
                <w:rFonts w:ascii="Arial" w:eastAsia="SimSun" w:hAnsi="Arial" w:cs="Arial"/>
                <w:b/>
              </w:rPr>
              <w:t>Publisher</w:t>
            </w:r>
          </w:p>
        </w:tc>
      </w:tr>
      <w:tr w:rsidR="00143AA1" w:rsidRPr="00DD5915" w:rsidTr="00181EEA">
        <w:tc>
          <w:tcPr>
            <w:tcW w:w="1701" w:type="dxa"/>
          </w:tcPr>
          <w:p w:rsidR="00143AA1" w:rsidRPr="00DD5915" w:rsidRDefault="00143AA1" w:rsidP="00181EEA">
            <w:pPr>
              <w:spacing w:after="120"/>
              <w:rPr>
                <w:rFonts w:ascii="Arial" w:hAnsi="Arial" w:cs="Arial"/>
              </w:rPr>
            </w:pPr>
            <w:r w:rsidRPr="00685881">
              <w:rPr>
                <w:rFonts w:ascii="Arial" w:hAnsi="Arial" w:cs="Arial"/>
              </w:rPr>
              <w:t>0702034711</w:t>
            </w:r>
          </w:p>
        </w:tc>
        <w:tc>
          <w:tcPr>
            <w:tcW w:w="1560" w:type="dxa"/>
          </w:tcPr>
          <w:p w:rsidR="00143AA1" w:rsidRPr="00DD5915" w:rsidRDefault="00143AA1" w:rsidP="00181EEA">
            <w:pPr>
              <w:spacing w:after="120"/>
              <w:rPr>
                <w:rFonts w:ascii="Arial" w:hAnsi="Arial" w:cs="Arial"/>
              </w:rPr>
            </w:pPr>
            <w:r>
              <w:rPr>
                <w:rFonts w:ascii="Arial" w:hAnsi="Arial" w:cs="Arial"/>
              </w:rPr>
              <w:t xml:space="preserve">Humphrey </w:t>
            </w:r>
            <w:r w:rsidRPr="00A50C4F">
              <w:rPr>
                <w:rFonts w:ascii="Arial" w:hAnsi="Arial" w:cs="Arial"/>
              </w:rPr>
              <w:t>P. Rang</w:t>
            </w:r>
            <w:r>
              <w:rPr>
                <w:rFonts w:ascii="Arial" w:hAnsi="Arial" w:cs="Arial"/>
              </w:rPr>
              <w:t>,</w:t>
            </w:r>
            <w:r w:rsidRPr="00A50C4F">
              <w:rPr>
                <w:rFonts w:ascii="Arial" w:hAnsi="Arial" w:cs="Arial"/>
              </w:rPr>
              <w:t xml:space="preserve"> James M. Ritter</w:t>
            </w:r>
            <w:r>
              <w:rPr>
                <w:rFonts w:ascii="Arial" w:hAnsi="Arial" w:cs="Arial"/>
              </w:rPr>
              <w:t>,</w:t>
            </w:r>
            <w:r w:rsidRPr="00A50C4F">
              <w:rPr>
                <w:rFonts w:ascii="Arial" w:hAnsi="Arial" w:cs="Arial"/>
              </w:rPr>
              <w:t xml:space="preserve"> Rod J. Flower</w:t>
            </w:r>
            <w:r>
              <w:rPr>
                <w:rFonts w:ascii="Arial" w:hAnsi="Arial" w:cs="Arial"/>
              </w:rPr>
              <w:t>,</w:t>
            </w:r>
            <w:r w:rsidRPr="00A50C4F">
              <w:rPr>
                <w:rFonts w:ascii="Arial" w:hAnsi="Arial" w:cs="Arial"/>
              </w:rPr>
              <w:t xml:space="preserve"> Graeme Henderson</w:t>
            </w:r>
            <w:r>
              <w:rPr>
                <w:rFonts w:ascii="Arial" w:hAnsi="Arial" w:cs="Arial"/>
              </w:rPr>
              <w:t>.</w:t>
            </w:r>
          </w:p>
        </w:tc>
        <w:tc>
          <w:tcPr>
            <w:tcW w:w="708" w:type="dxa"/>
          </w:tcPr>
          <w:p w:rsidR="00143AA1" w:rsidRPr="00DD5915" w:rsidRDefault="00143AA1" w:rsidP="00181EEA">
            <w:pPr>
              <w:spacing w:after="120"/>
              <w:rPr>
                <w:rFonts w:ascii="Arial" w:hAnsi="Arial" w:cs="Arial"/>
              </w:rPr>
            </w:pPr>
            <w:r w:rsidRPr="00A50C4F">
              <w:rPr>
                <w:rFonts w:ascii="Arial" w:hAnsi="Arial" w:cs="Arial"/>
              </w:rPr>
              <w:t>31 Mar 2011</w:t>
            </w:r>
          </w:p>
        </w:tc>
        <w:tc>
          <w:tcPr>
            <w:tcW w:w="2694" w:type="dxa"/>
          </w:tcPr>
          <w:p w:rsidR="00143AA1" w:rsidRPr="00DD5915" w:rsidRDefault="00143AA1" w:rsidP="00181EEA">
            <w:pPr>
              <w:spacing w:after="120"/>
              <w:rPr>
                <w:rFonts w:ascii="Arial" w:hAnsi="Arial" w:cs="Arial"/>
              </w:rPr>
            </w:pPr>
            <w:r w:rsidRPr="00A50C4F">
              <w:rPr>
                <w:rFonts w:ascii="Arial" w:hAnsi="Arial" w:cs="Arial"/>
              </w:rPr>
              <w:t>Rang &amp; Dale's Pharmacology</w:t>
            </w:r>
          </w:p>
        </w:tc>
        <w:tc>
          <w:tcPr>
            <w:tcW w:w="1760" w:type="dxa"/>
          </w:tcPr>
          <w:p w:rsidR="00143AA1" w:rsidRPr="00E33F6F" w:rsidRDefault="00143AA1" w:rsidP="00181EEA">
            <w:pPr>
              <w:rPr>
                <w:rFonts w:ascii="Arial" w:eastAsia="SimSun" w:hAnsi="Arial" w:cs="Arial"/>
              </w:rPr>
            </w:pPr>
            <w:r w:rsidRPr="00E33F6F">
              <w:rPr>
                <w:rFonts w:ascii="Arial" w:eastAsia="SimSun" w:hAnsi="Arial" w:cs="Arial"/>
              </w:rPr>
              <w:t>Churchill Livingstone</w:t>
            </w:r>
          </w:p>
        </w:tc>
      </w:tr>
    </w:tbl>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B03ACD" w:rsidTr="00181EEA">
        <w:tc>
          <w:tcPr>
            <w:tcW w:w="1016" w:type="dxa"/>
          </w:tcPr>
          <w:p w:rsidR="00B03ACD" w:rsidRPr="009C03C3" w:rsidRDefault="00B03ACD" w:rsidP="00181EEA">
            <w:pPr>
              <w:spacing w:before="40" w:after="40"/>
              <w:jc w:val="center"/>
              <w:rPr>
                <w:rFonts w:ascii="Arial" w:eastAsia="SimSun" w:hAnsi="Arial" w:cs="Arial"/>
              </w:rPr>
            </w:pPr>
            <w:r w:rsidRPr="009C03C3">
              <w:rPr>
                <w:rFonts w:ascii="Arial" w:eastAsia="SimSun" w:hAnsi="Arial" w:cs="Arial"/>
              </w:rPr>
              <w:t>26</w:t>
            </w:r>
          </w:p>
        </w:tc>
        <w:tc>
          <w:tcPr>
            <w:tcW w:w="1176" w:type="dxa"/>
          </w:tcPr>
          <w:p w:rsidR="00B03ACD" w:rsidRPr="009C03C3" w:rsidRDefault="00B03ACD" w:rsidP="00181EEA">
            <w:pPr>
              <w:spacing w:before="40" w:after="40"/>
              <w:jc w:val="center"/>
              <w:rPr>
                <w:rFonts w:ascii="Arial" w:eastAsia="SimSun" w:hAnsi="Arial" w:cs="Arial"/>
              </w:rPr>
            </w:pPr>
            <w:r w:rsidRPr="009C03C3">
              <w:rPr>
                <w:rFonts w:ascii="Arial" w:eastAsia="SimSun" w:hAnsi="Arial" w:cs="Arial"/>
              </w:rPr>
              <w:t>12</w:t>
            </w:r>
          </w:p>
        </w:tc>
        <w:tc>
          <w:tcPr>
            <w:tcW w:w="1176" w:type="dxa"/>
          </w:tcPr>
          <w:p w:rsidR="00B03ACD" w:rsidRPr="009C03C3" w:rsidRDefault="00B03ACD" w:rsidP="00181EEA">
            <w:pPr>
              <w:spacing w:before="40" w:after="40"/>
              <w:jc w:val="center"/>
              <w:rPr>
                <w:rFonts w:ascii="Arial" w:eastAsia="SimSun" w:hAnsi="Arial" w:cs="Arial"/>
              </w:rPr>
            </w:pPr>
            <w:r w:rsidRPr="009C03C3">
              <w:rPr>
                <w:rFonts w:ascii="Arial" w:eastAsia="SimSun" w:hAnsi="Arial" w:cs="Arial"/>
              </w:rPr>
              <w:t>50</w:t>
            </w:r>
          </w:p>
        </w:tc>
        <w:tc>
          <w:tcPr>
            <w:tcW w:w="1176" w:type="dxa"/>
          </w:tcPr>
          <w:p w:rsidR="00B03ACD" w:rsidRPr="009C03C3" w:rsidRDefault="00B03ACD" w:rsidP="00181EEA">
            <w:pPr>
              <w:spacing w:before="40" w:after="40"/>
              <w:jc w:val="center"/>
              <w:rPr>
                <w:rFonts w:ascii="Arial" w:eastAsia="SimSun" w:hAnsi="Arial" w:cs="Arial"/>
              </w:rPr>
            </w:pPr>
            <w:r w:rsidRPr="009C03C3">
              <w:rPr>
                <w:rFonts w:ascii="Arial" w:eastAsia="SimSun" w:hAnsi="Arial" w:cs="Arial"/>
              </w:rPr>
              <w:t>6</w:t>
            </w:r>
          </w:p>
        </w:tc>
        <w:tc>
          <w:tcPr>
            <w:tcW w:w="1224" w:type="dxa"/>
          </w:tcPr>
          <w:p w:rsidR="00B03ACD" w:rsidRPr="009C03C3" w:rsidRDefault="00B03ACD" w:rsidP="00143AA1">
            <w:pPr>
              <w:spacing w:before="40" w:after="40"/>
              <w:jc w:val="center"/>
              <w:rPr>
                <w:rFonts w:ascii="Arial" w:eastAsia="SimSun" w:hAnsi="Arial" w:cs="Arial"/>
              </w:rPr>
            </w:pPr>
            <w:r w:rsidRPr="009C03C3">
              <w:rPr>
                <w:rFonts w:ascii="Arial" w:eastAsia="SimSun" w:hAnsi="Arial" w:cs="Arial"/>
              </w:rPr>
              <w:t>5</w:t>
            </w:r>
            <w:r w:rsidR="00143AA1">
              <w:rPr>
                <w:rFonts w:ascii="Arial" w:eastAsia="SimSun" w:hAnsi="Arial" w:cs="Arial"/>
              </w:rPr>
              <w:t>4.5</w:t>
            </w:r>
          </w:p>
        </w:tc>
        <w:tc>
          <w:tcPr>
            <w:tcW w:w="1336" w:type="dxa"/>
          </w:tcPr>
          <w:p w:rsidR="00B03ACD" w:rsidRPr="009C03C3" w:rsidRDefault="00B03ACD" w:rsidP="00181EEA">
            <w:pPr>
              <w:spacing w:before="40" w:after="40"/>
              <w:jc w:val="center"/>
              <w:rPr>
                <w:rFonts w:ascii="Arial" w:eastAsia="SimSun" w:hAnsi="Arial" w:cs="Arial"/>
              </w:rPr>
            </w:pPr>
            <w:r w:rsidRPr="009C03C3">
              <w:rPr>
                <w:rFonts w:ascii="Arial" w:eastAsia="SimSun" w:hAnsi="Arial" w:cs="Arial"/>
              </w:rPr>
              <w:t>1 x 1.5 hour exam</w:t>
            </w:r>
          </w:p>
        </w:tc>
        <w:tc>
          <w:tcPr>
            <w:tcW w:w="1415" w:type="dxa"/>
          </w:tcPr>
          <w:p w:rsidR="00B03ACD" w:rsidRPr="009C03C3" w:rsidRDefault="00B03ACD" w:rsidP="00181EEA">
            <w:pPr>
              <w:spacing w:before="40" w:after="40"/>
              <w:jc w:val="center"/>
              <w:rPr>
                <w:rFonts w:ascii="Arial" w:eastAsia="SimSun" w:hAnsi="Arial" w:cs="Arial"/>
              </w:rPr>
            </w:pPr>
            <w:r w:rsidRPr="009C03C3">
              <w:rPr>
                <w:rFonts w:ascii="Arial" w:eastAsia="SimSun" w:hAnsi="Arial" w:cs="Arial"/>
              </w:rPr>
              <w:t>150</w:t>
            </w:r>
          </w:p>
        </w:tc>
      </w:tr>
    </w:tbl>
    <w:p w:rsidR="00472023" w:rsidRDefault="00472023" w:rsidP="008B2E45">
      <w:pPr>
        <w:spacing w:before="60" w:after="60" w:line="240" w:lineRule="auto"/>
        <w:ind w:right="-330"/>
        <w:rPr>
          <w:rFonts w:ascii="Arial" w:hAnsi="Arial" w:cs="Arial"/>
          <w:i/>
          <w:iCs/>
          <w:sz w:val="20"/>
          <w:szCs w:val="20"/>
        </w:rPr>
      </w:pPr>
    </w:p>
    <w:p w:rsidR="00B03ACD" w:rsidRPr="006D5565" w:rsidRDefault="00B03ACD" w:rsidP="00B03ACD">
      <w:pPr>
        <w:spacing w:after="120"/>
        <w:jc w:val="both"/>
        <w:rPr>
          <w:rFonts w:ascii="Arial" w:eastAsia="SimSun" w:hAnsi="Arial" w:cs="Arial"/>
          <w:b/>
        </w:rPr>
      </w:pPr>
      <w:r w:rsidRPr="006D5565">
        <w:rPr>
          <w:rFonts w:ascii="Arial" w:eastAsia="SimSun" w:hAnsi="Arial" w:cs="Arial"/>
          <w:b/>
        </w:rPr>
        <w:t>Lectures are intended to present the key points and relate directly to the learning objectives (above)</w:t>
      </w:r>
    </w:p>
    <w:p w:rsidR="00B03ACD" w:rsidRPr="006D5565" w:rsidRDefault="00B03ACD" w:rsidP="00B03ACD">
      <w:pPr>
        <w:spacing w:after="120"/>
        <w:jc w:val="both"/>
        <w:rPr>
          <w:rFonts w:ascii="Arial" w:eastAsia="SimSun" w:hAnsi="Arial" w:cs="Arial"/>
          <w:b/>
        </w:rPr>
      </w:pPr>
      <w:r>
        <w:rPr>
          <w:rFonts w:ascii="Arial" w:eastAsia="SimSun" w:hAnsi="Arial" w:cs="Arial"/>
          <w:b/>
        </w:rPr>
        <w:lastRenderedPageBreak/>
        <w:t xml:space="preserve">Practicals </w:t>
      </w:r>
      <w:r w:rsidRPr="006D5565">
        <w:rPr>
          <w:rFonts w:ascii="Arial" w:eastAsia="SimSun" w:hAnsi="Arial" w:cs="Arial"/>
          <w:b/>
        </w:rPr>
        <w:t>(laboratories/workshops) serve to reinforce material presented in the lectures and relate directly to the learning objectives.</w:t>
      </w:r>
    </w:p>
    <w:p w:rsidR="00B03ACD" w:rsidRPr="006D5565" w:rsidRDefault="00B03ACD" w:rsidP="00B03ACD">
      <w:pPr>
        <w:spacing w:after="120"/>
        <w:jc w:val="both"/>
        <w:rPr>
          <w:rFonts w:ascii="Arial" w:eastAsia="SimSun" w:hAnsi="Arial" w:cs="Arial"/>
          <w:b/>
        </w:rPr>
      </w:pPr>
      <w:r>
        <w:rPr>
          <w:rFonts w:ascii="Arial" w:eastAsia="SimSun" w:hAnsi="Arial" w:cs="Arial"/>
          <w:b/>
        </w:rPr>
        <w:t>MSCL</w:t>
      </w:r>
      <w:r w:rsidRPr="006D5565">
        <w:rPr>
          <w:rFonts w:ascii="Arial" w:eastAsia="SimSun" w:hAnsi="Arial" w:cs="Arial"/>
          <w:b/>
        </w:rPr>
        <w:t xml:space="preserve"> serve</w:t>
      </w:r>
      <w:r>
        <w:rPr>
          <w:rFonts w:ascii="Arial" w:eastAsia="SimSun" w:hAnsi="Arial" w:cs="Arial"/>
          <w:b/>
        </w:rPr>
        <w:t>s</w:t>
      </w:r>
      <w:r w:rsidRPr="006D5565">
        <w:rPr>
          <w:rFonts w:ascii="Arial" w:eastAsia="SimSun" w:hAnsi="Arial" w:cs="Arial"/>
          <w:b/>
        </w:rPr>
        <w:t xml:space="preserve"> to reinforce material presented in the lectures and practical components. They also form part of the self-directed learning for the student</w:t>
      </w:r>
    </w:p>
    <w:p w:rsidR="00B03ACD" w:rsidRPr="006D5565" w:rsidRDefault="00B03ACD" w:rsidP="00B03ACD">
      <w:pPr>
        <w:spacing w:after="120"/>
        <w:jc w:val="both"/>
        <w:rPr>
          <w:rFonts w:ascii="Arial" w:eastAsia="SimSun" w:hAnsi="Arial" w:cs="Arial"/>
          <w:b/>
        </w:rPr>
      </w:pPr>
      <w:r>
        <w:rPr>
          <w:rFonts w:ascii="Arial" w:eastAsia="SimSun" w:hAnsi="Arial" w:cs="Arial"/>
          <w:b/>
        </w:rPr>
        <w:t xml:space="preserve">Revision seminars </w:t>
      </w:r>
      <w:r w:rsidRPr="006D5565">
        <w:rPr>
          <w:rFonts w:ascii="Arial" w:eastAsia="SimSun" w:hAnsi="Arial" w:cs="Arial"/>
          <w:b/>
        </w:rPr>
        <w:t>offer the students an opportunity to ask further questions of the staff and reinforce key points.</w:t>
      </w:r>
    </w:p>
    <w:p w:rsidR="00B03ACD" w:rsidRDefault="00B03ACD" w:rsidP="00B03ACD">
      <w:pPr>
        <w:spacing w:before="60" w:after="60" w:line="240" w:lineRule="auto"/>
        <w:ind w:right="-330"/>
        <w:rPr>
          <w:rFonts w:ascii="Arial" w:hAnsi="Arial" w:cs="Arial"/>
          <w:i/>
          <w:iCs/>
          <w:sz w:val="20"/>
          <w:szCs w:val="20"/>
        </w:rPr>
      </w:pPr>
      <w:r w:rsidRPr="006D5565">
        <w:rPr>
          <w:rFonts w:ascii="Arial" w:eastAsia="SimSun" w:hAnsi="Arial" w:cs="Arial"/>
          <w:b/>
        </w:rPr>
        <w:t xml:space="preserve">Private study </w:t>
      </w:r>
      <w:r>
        <w:rPr>
          <w:rFonts w:ascii="Arial" w:eastAsia="SimSun" w:hAnsi="Arial" w:cs="Arial"/>
          <w:b/>
        </w:rPr>
        <w:t>encompasses the revising all material presented in the lectures, laboratories, workshops, MSCL. Students should be able to work through the learning objectives (above) and identify key areas that require further revision</w:t>
      </w: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665674">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716D31" w:rsidRPr="00DD5915" w:rsidTr="00665674">
        <w:tc>
          <w:tcPr>
            <w:tcW w:w="1701" w:type="dxa"/>
          </w:tcPr>
          <w:p w:rsidR="00716D31" w:rsidRPr="00DD5915" w:rsidRDefault="00716D31" w:rsidP="00181EEA">
            <w:pPr>
              <w:tabs>
                <w:tab w:val="left" w:pos="426"/>
              </w:tabs>
              <w:spacing w:after="120"/>
              <w:jc w:val="both"/>
              <w:rPr>
                <w:rFonts w:ascii="Arial" w:eastAsia="SimSun" w:hAnsi="Arial" w:cs="Arial"/>
              </w:rPr>
            </w:pPr>
            <w:r>
              <w:rPr>
                <w:rFonts w:ascii="Arial" w:eastAsia="SimSun" w:hAnsi="Arial" w:cs="Arial"/>
              </w:rPr>
              <w:t>Continuous assessment</w:t>
            </w:r>
          </w:p>
        </w:tc>
        <w:tc>
          <w:tcPr>
            <w:tcW w:w="2977" w:type="dxa"/>
            <w:shd w:val="clear" w:color="auto" w:fill="FFFFFF"/>
          </w:tcPr>
          <w:p w:rsidR="00F90401" w:rsidRPr="009B312E" w:rsidRDefault="00716D31" w:rsidP="00181EEA">
            <w:pPr>
              <w:spacing w:after="120"/>
              <w:jc w:val="both"/>
              <w:rPr>
                <w:rFonts w:ascii="Arial" w:hAnsi="Arial" w:cs="Arial"/>
              </w:rPr>
            </w:pPr>
            <w:r w:rsidRPr="009B312E">
              <w:rPr>
                <w:rFonts w:ascii="Arial" w:eastAsia="SimSun" w:hAnsi="Arial" w:cs="Arial"/>
              </w:rPr>
              <w:t xml:space="preserve">SSLO </w:t>
            </w:r>
            <w:r w:rsidRPr="009B312E">
              <w:rPr>
                <w:rFonts w:ascii="Arial" w:hAnsi="Arial" w:cs="Arial"/>
              </w:rPr>
              <w:t>11.1, 11.2, 11.3, 11.4</w:t>
            </w:r>
          </w:p>
          <w:p w:rsidR="00F90401" w:rsidRPr="009B312E" w:rsidRDefault="00F90401" w:rsidP="00181EEA">
            <w:pPr>
              <w:spacing w:after="120"/>
              <w:jc w:val="both"/>
              <w:rPr>
                <w:rFonts w:ascii="Arial" w:hAnsi="Arial" w:cs="Arial"/>
              </w:rPr>
            </w:pPr>
            <w:r w:rsidRPr="009B312E">
              <w:rPr>
                <w:rFonts w:ascii="Arial" w:hAnsi="Arial" w:cs="Arial"/>
              </w:rPr>
              <w:t>All generic learning outcomes</w:t>
            </w:r>
          </w:p>
        </w:tc>
        <w:tc>
          <w:tcPr>
            <w:tcW w:w="1418" w:type="dxa"/>
          </w:tcPr>
          <w:p w:rsidR="00716D31" w:rsidRPr="00DD5915" w:rsidRDefault="00716D31" w:rsidP="00181EEA">
            <w:pPr>
              <w:tabs>
                <w:tab w:val="left" w:pos="426"/>
              </w:tabs>
              <w:spacing w:after="120"/>
              <w:jc w:val="center"/>
              <w:rPr>
                <w:rFonts w:ascii="Arial" w:eastAsia="SimSun" w:hAnsi="Arial" w:cs="Arial"/>
              </w:rPr>
            </w:pPr>
            <w:r>
              <w:rPr>
                <w:rFonts w:ascii="Arial" w:eastAsia="SimSun" w:hAnsi="Arial" w:cs="Arial"/>
              </w:rPr>
              <w:t>40%</w:t>
            </w:r>
          </w:p>
        </w:tc>
        <w:tc>
          <w:tcPr>
            <w:tcW w:w="2693" w:type="dxa"/>
          </w:tcPr>
          <w:p w:rsidR="00716D31" w:rsidRPr="00DD5915" w:rsidRDefault="00716D31" w:rsidP="00181EEA">
            <w:pPr>
              <w:tabs>
                <w:tab w:val="left" w:pos="426"/>
              </w:tabs>
              <w:spacing w:after="120"/>
              <w:rPr>
                <w:rFonts w:ascii="Arial" w:eastAsia="SimSun" w:hAnsi="Arial" w:cs="Arial"/>
              </w:rPr>
            </w:pPr>
            <w:r>
              <w:rPr>
                <w:rFonts w:ascii="Arial" w:eastAsia="SimSun" w:hAnsi="Arial" w:cs="Arial"/>
              </w:rPr>
              <w:t>Lab report</w:t>
            </w:r>
          </w:p>
        </w:tc>
      </w:tr>
      <w:tr w:rsidR="00716D31" w:rsidRPr="00DD5915" w:rsidTr="00665674">
        <w:tc>
          <w:tcPr>
            <w:tcW w:w="1701" w:type="dxa"/>
          </w:tcPr>
          <w:p w:rsidR="00716D31" w:rsidRPr="00DD5915" w:rsidRDefault="00716D31" w:rsidP="00181EEA">
            <w:pPr>
              <w:tabs>
                <w:tab w:val="left" w:pos="426"/>
              </w:tabs>
              <w:spacing w:after="120"/>
              <w:jc w:val="both"/>
              <w:rPr>
                <w:rFonts w:ascii="Arial" w:eastAsia="SimSun" w:hAnsi="Arial" w:cs="Arial"/>
              </w:rPr>
            </w:pPr>
            <w:r w:rsidRPr="00DD5915">
              <w:rPr>
                <w:rFonts w:ascii="Arial" w:eastAsia="SimSun" w:hAnsi="Arial" w:cs="Arial"/>
              </w:rPr>
              <w:t>Examination</w:t>
            </w:r>
          </w:p>
        </w:tc>
        <w:tc>
          <w:tcPr>
            <w:tcW w:w="2977" w:type="dxa"/>
          </w:tcPr>
          <w:p w:rsidR="00716D31" w:rsidRPr="00DD5915" w:rsidRDefault="00716D31" w:rsidP="00181EEA">
            <w:pPr>
              <w:tabs>
                <w:tab w:val="left" w:pos="426"/>
              </w:tabs>
              <w:spacing w:after="120"/>
              <w:jc w:val="both"/>
              <w:rPr>
                <w:rFonts w:ascii="Arial" w:eastAsia="SimSun" w:hAnsi="Arial" w:cs="Arial"/>
              </w:rPr>
            </w:pPr>
            <w:r>
              <w:rPr>
                <w:rFonts w:ascii="Arial" w:eastAsia="SimSun" w:hAnsi="Arial" w:cs="Arial"/>
                <w:lang w:val="pt-PT"/>
              </w:rPr>
              <w:t xml:space="preserve">SSLO </w:t>
            </w:r>
            <w:r>
              <w:rPr>
                <w:rFonts w:ascii="Arial" w:hAnsi="Arial" w:cs="Arial"/>
                <w:lang w:val="pt-PT"/>
              </w:rPr>
              <w:t>11.1, 11.2, 11.3, 11.4</w:t>
            </w:r>
          </w:p>
        </w:tc>
        <w:tc>
          <w:tcPr>
            <w:tcW w:w="1418" w:type="dxa"/>
          </w:tcPr>
          <w:p w:rsidR="00716D31" w:rsidRPr="00DD5915" w:rsidRDefault="00716D31" w:rsidP="00181EEA">
            <w:pPr>
              <w:tabs>
                <w:tab w:val="left" w:pos="426"/>
              </w:tabs>
              <w:spacing w:after="120"/>
              <w:jc w:val="center"/>
              <w:rPr>
                <w:rFonts w:ascii="Arial" w:eastAsia="SimSun" w:hAnsi="Arial" w:cs="Arial"/>
              </w:rPr>
            </w:pPr>
            <w:r>
              <w:rPr>
                <w:rFonts w:ascii="Arial" w:eastAsia="SimSun" w:hAnsi="Arial" w:cs="Arial"/>
              </w:rPr>
              <w:t>60%</w:t>
            </w:r>
          </w:p>
        </w:tc>
        <w:tc>
          <w:tcPr>
            <w:tcW w:w="2693" w:type="dxa"/>
          </w:tcPr>
          <w:p w:rsidR="00716D31" w:rsidRPr="00DD5915" w:rsidRDefault="00716D31" w:rsidP="00181EEA">
            <w:pPr>
              <w:tabs>
                <w:tab w:val="left" w:pos="426"/>
              </w:tabs>
              <w:spacing w:after="120"/>
              <w:rPr>
                <w:rFonts w:ascii="Arial" w:eastAsia="SimSun" w:hAnsi="Arial" w:cs="Arial"/>
              </w:rPr>
            </w:pPr>
            <w:r>
              <w:rPr>
                <w:rFonts w:ascii="Arial" w:eastAsia="SimSun" w:hAnsi="Arial" w:cs="Arial"/>
              </w:rPr>
              <w:t>1.5 hour examination</w:t>
            </w:r>
          </w:p>
        </w:tc>
      </w:tr>
    </w:tbl>
    <w:p w:rsidR="008B2E45" w:rsidRPr="008B2E45" w:rsidRDefault="008B2E45" w:rsidP="008B2E45">
      <w:pPr>
        <w:tabs>
          <w:tab w:val="left" w:pos="426"/>
        </w:tabs>
        <w:jc w:val="both"/>
        <w:rPr>
          <w:rFonts w:ascii="Arial" w:hAnsi="Arial" w:cs="Arial"/>
        </w:rPr>
      </w:pPr>
      <w:r w:rsidRPr="008B2E45">
        <w:rPr>
          <w:rFonts w:ascii="Arial" w:hAnsi="Arial" w:cs="Arial"/>
          <w:b/>
        </w:rPr>
        <w:t xml:space="preserve">The pass mark for this module is 40%. The aim of the </w:t>
      </w:r>
      <w:r w:rsidR="00213F41">
        <w:rPr>
          <w:rFonts w:ascii="Arial" w:hAnsi="Arial" w:cs="Arial"/>
          <w:b/>
        </w:rPr>
        <w:t xml:space="preserve">continuous </w:t>
      </w:r>
      <w:r w:rsidRPr="008B2E45">
        <w:rPr>
          <w:rFonts w:ascii="Arial" w:hAnsi="Arial" w:cs="Arial"/>
          <w:b/>
        </w:rPr>
        <w:t xml:space="preserve">assessment is to assess the practical skills of the student. </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716D31" w:rsidP="008560E0">
      <w:pPr>
        <w:rPr>
          <w:rFonts w:ascii="Arial" w:hAnsi="Arial" w:cs="Arial"/>
          <w:b/>
        </w:rPr>
      </w:pPr>
      <w:r w:rsidRPr="00716D31">
        <w:rPr>
          <w:rFonts w:ascii="Arial" w:hAnsi="Arial" w:cs="Arial"/>
          <w:b/>
        </w:rPr>
        <w:t>Lab resources may be required for ligand-binding experiments.  CAL and IT resources are in place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panose1 w:val="0204050306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0B5F8D">
        <w:pPr>
          <w:pStyle w:val="Footer"/>
          <w:jc w:val="center"/>
        </w:pPr>
        <w:r>
          <w:fldChar w:fldCharType="begin"/>
        </w:r>
        <w:r w:rsidR="006A7FB0">
          <w:instrText xml:space="preserve"> PAGE   \* MERGEFORMAT </w:instrText>
        </w:r>
        <w:r>
          <w:fldChar w:fldCharType="separate"/>
        </w:r>
        <w:r w:rsidR="006D1AC0">
          <w:rPr>
            <w:noProof/>
          </w:rPr>
          <w:t>3</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7">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3"/>
  </w:num>
  <w:num w:numId="6">
    <w:abstractNumId w:val="12"/>
  </w:num>
  <w:num w:numId="7">
    <w:abstractNumId w:val="16"/>
  </w:num>
  <w:num w:numId="8">
    <w:abstractNumId w:val="3"/>
  </w:num>
  <w:num w:numId="9">
    <w:abstractNumId w:val="14"/>
  </w:num>
  <w:num w:numId="10">
    <w:abstractNumId w:val="10"/>
  </w:num>
  <w:num w:numId="11">
    <w:abstractNumId w:val="9"/>
  </w:num>
  <w:num w:numId="12">
    <w:abstractNumId w:val="11"/>
  </w:num>
  <w:num w:numId="13">
    <w:abstractNumId w:val="1"/>
  </w:num>
  <w:num w:numId="14">
    <w:abstractNumId w:val="8"/>
  </w:num>
  <w:num w:numId="15">
    <w:abstractNumId w:val="17"/>
  </w:num>
  <w:num w:numId="16">
    <w:abstractNumId w:val="1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B5F8D"/>
    <w:rsid w:val="000D2A8A"/>
    <w:rsid w:val="000E3B73"/>
    <w:rsid w:val="000F6C56"/>
    <w:rsid w:val="00106DB7"/>
    <w:rsid w:val="00111906"/>
    <w:rsid w:val="00117577"/>
    <w:rsid w:val="00117793"/>
    <w:rsid w:val="001214D3"/>
    <w:rsid w:val="00143AA1"/>
    <w:rsid w:val="001540CE"/>
    <w:rsid w:val="0015717B"/>
    <w:rsid w:val="00172793"/>
    <w:rsid w:val="00196C6A"/>
    <w:rsid w:val="001D1F2D"/>
    <w:rsid w:val="001E1F45"/>
    <w:rsid w:val="00213F41"/>
    <w:rsid w:val="002465A1"/>
    <w:rsid w:val="002534A5"/>
    <w:rsid w:val="00294B73"/>
    <w:rsid w:val="002F0473"/>
    <w:rsid w:val="002F0CE4"/>
    <w:rsid w:val="002F2626"/>
    <w:rsid w:val="002F5E06"/>
    <w:rsid w:val="003262B9"/>
    <w:rsid w:val="003759B0"/>
    <w:rsid w:val="003C230C"/>
    <w:rsid w:val="003C4296"/>
    <w:rsid w:val="003C7B8F"/>
    <w:rsid w:val="003D7AA0"/>
    <w:rsid w:val="003F67CD"/>
    <w:rsid w:val="004026A1"/>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6253AA"/>
    <w:rsid w:val="00630537"/>
    <w:rsid w:val="00633150"/>
    <w:rsid w:val="00643986"/>
    <w:rsid w:val="006554C4"/>
    <w:rsid w:val="00665674"/>
    <w:rsid w:val="00666542"/>
    <w:rsid w:val="00674ED0"/>
    <w:rsid w:val="006A7FB0"/>
    <w:rsid w:val="006C46EF"/>
    <w:rsid w:val="006D1AC0"/>
    <w:rsid w:val="006D444F"/>
    <w:rsid w:val="00700488"/>
    <w:rsid w:val="00703F92"/>
    <w:rsid w:val="00704637"/>
    <w:rsid w:val="00712A87"/>
    <w:rsid w:val="00716D31"/>
    <w:rsid w:val="007972A7"/>
    <w:rsid w:val="007B409D"/>
    <w:rsid w:val="007C74B4"/>
    <w:rsid w:val="007E053B"/>
    <w:rsid w:val="007E3412"/>
    <w:rsid w:val="008029AF"/>
    <w:rsid w:val="008102E5"/>
    <w:rsid w:val="008133F0"/>
    <w:rsid w:val="00815880"/>
    <w:rsid w:val="008560E0"/>
    <w:rsid w:val="00873E9F"/>
    <w:rsid w:val="008747B6"/>
    <w:rsid w:val="008B2E45"/>
    <w:rsid w:val="00903DF6"/>
    <w:rsid w:val="00921CF6"/>
    <w:rsid w:val="00987DB4"/>
    <w:rsid w:val="009B312E"/>
    <w:rsid w:val="009D068C"/>
    <w:rsid w:val="00A021FE"/>
    <w:rsid w:val="00A1270E"/>
    <w:rsid w:val="00A52DB4"/>
    <w:rsid w:val="00A629B9"/>
    <w:rsid w:val="00A74292"/>
    <w:rsid w:val="00A8555F"/>
    <w:rsid w:val="00AA3C15"/>
    <w:rsid w:val="00B03ACD"/>
    <w:rsid w:val="00B17CD2"/>
    <w:rsid w:val="00B248BA"/>
    <w:rsid w:val="00B57219"/>
    <w:rsid w:val="00B95469"/>
    <w:rsid w:val="00BC19F7"/>
    <w:rsid w:val="00BD0EF8"/>
    <w:rsid w:val="00BD79DB"/>
    <w:rsid w:val="00BE2126"/>
    <w:rsid w:val="00BE3B17"/>
    <w:rsid w:val="00C04C95"/>
    <w:rsid w:val="00C12613"/>
    <w:rsid w:val="00C3744A"/>
    <w:rsid w:val="00C83354"/>
    <w:rsid w:val="00CB11CE"/>
    <w:rsid w:val="00CC2C72"/>
    <w:rsid w:val="00D2689A"/>
    <w:rsid w:val="00D4003A"/>
    <w:rsid w:val="00D82F9E"/>
    <w:rsid w:val="00DA64B6"/>
    <w:rsid w:val="00DD02E6"/>
    <w:rsid w:val="00E22F03"/>
    <w:rsid w:val="00E51404"/>
    <w:rsid w:val="00E574C9"/>
    <w:rsid w:val="00E610DE"/>
    <w:rsid w:val="00F01956"/>
    <w:rsid w:val="00F21C47"/>
    <w:rsid w:val="00F301F8"/>
    <w:rsid w:val="00F340DE"/>
    <w:rsid w:val="00F34D2C"/>
    <w:rsid w:val="00F77676"/>
    <w:rsid w:val="00F82B4E"/>
    <w:rsid w:val="00F90401"/>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8A7F-92EB-4890-A44C-5554988C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2013-05-10T10:03:00Z</cp:lastPrinted>
  <dcterms:created xsi:type="dcterms:W3CDTF">2013-06-28T14:23:00Z</dcterms:created>
  <dcterms:modified xsi:type="dcterms:W3CDTF">2013-06-28T14:23:00Z</dcterms:modified>
</cp:coreProperties>
</file>