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2D8253" w14:textId="77777777" w:rsidR="009E518A" w:rsidRDefault="00962C16">
      <w:pPr>
        <w:tabs>
          <w:tab w:val="left" w:pos="8389"/>
        </w:tabs>
        <w:spacing w:after="120" w:line="240" w:lineRule="auto"/>
        <w:ind w:right="260"/>
        <w:jc w:val="both"/>
        <w:rPr>
          <w:rFonts w:ascii="Arial" w:hAnsi="Arial" w:cs="Arial"/>
        </w:rPr>
      </w:pPr>
      <w:bookmarkStart w:id="0" w:name="_GoBack"/>
      <w:bookmarkEnd w:id="0"/>
      <w:r>
        <w:rPr>
          <w:rFonts w:ascii="Arial" w:hAnsi="Arial" w:cs="Arial"/>
        </w:rPr>
        <w:tab/>
      </w:r>
    </w:p>
    <w:p w14:paraId="582D8254" w14:textId="77777777" w:rsidR="009E518A" w:rsidRDefault="00962C16">
      <w:pPr>
        <w:numPr>
          <w:ilvl w:val="0"/>
          <w:numId w:val="1"/>
        </w:numPr>
        <w:spacing w:after="120" w:line="240" w:lineRule="auto"/>
        <w:ind w:left="567" w:right="260" w:hanging="567"/>
        <w:jc w:val="both"/>
        <w:rPr>
          <w:rFonts w:ascii="Arial" w:hAnsi="Arial" w:cs="Arial"/>
          <w:b/>
        </w:rPr>
      </w:pPr>
      <w:r>
        <w:rPr>
          <w:rFonts w:ascii="Arial" w:hAnsi="Arial" w:cs="Arial"/>
          <w:b/>
        </w:rPr>
        <w:t>Title of the module</w:t>
      </w:r>
    </w:p>
    <w:p w14:paraId="582D8255" w14:textId="77777777" w:rsidR="009E518A" w:rsidRDefault="00962C16">
      <w:pPr>
        <w:spacing w:after="120" w:line="240" w:lineRule="auto"/>
        <w:ind w:left="567" w:right="260"/>
        <w:jc w:val="both"/>
        <w:rPr>
          <w:rFonts w:ascii="Arial" w:hAnsi="Arial" w:cs="Arial"/>
          <w:iCs/>
        </w:rPr>
      </w:pPr>
      <w:r>
        <w:rPr>
          <w:rFonts w:ascii="Arial" w:hAnsi="Arial" w:cs="Arial"/>
          <w:iCs/>
        </w:rPr>
        <w:t>PHAM1090: Advanced Drug Delivery Technologies</w:t>
      </w:r>
    </w:p>
    <w:p w14:paraId="582D8256" w14:textId="77777777" w:rsidR="009E518A" w:rsidRDefault="009E518A">
      <w:pPr>
        <w:spacing w:after="120" w:line="240" w:lineRule="auto"/>
        <w:ind w:left="426" w:right="260"/>
        <w:jc w:val="both"/>
        <w:rPr>
          <w:rFonts w:ascii="Arial" w:hAnsi="Arial" w:cs="Arial"/>
        </w:rPr>
      </w:pPr>
    </w:p>
    <w:p w14:paraId="582D8257" w14:textId="77777777" w:rsidR="009E518A" w:rsidRDefault="00962C16">
      <w:pPr>
        <w:numPr>
          <w:ilvl w:val="0"/>
          <w:numId w:val="1"/>
        </w:numPr>
        <w:spacing w:after="120" w:line="240" w:lineRule="auto"/>
        <w:ind w:left="567" w:right="260" w:hanging="567"/>
        <w:jc w:val="both"/>
        <w:rPr>
          <w:rFonts w:ascii="Arial" w:hAnsi="Arial" w:cs="Arial"/>
          <w:b/>
        </w:rPr>
      </w:pPr>
      <w:r>
        <w:rPr>
          <w:rFonts w:ascii="Arial" w:hAnsi="Arial" w:cs="Arial"/>
          <w:b/>
        </w:rPr>
        <w:t>School or partner institution which will be responsible for management of the module</w:t>
      </w:r>
    </w:p>
    <w:p w14:paraId="582D8258" w14:textId="77777777" w:rsidR="009E518A" w:rsidRDefault="00962C16">
      <w:pPr>
        <w:spacing w:after="120" w:line="240" w:lineRule="auto"/>
        <w:ind w:left="567" w:right="260"/>
        <w:rPr>
          <w:rFonts w:ascii="Arial" w:hAnsi="Arial" w:cs="Arial"/>
          <w:iCs/>
        </w:rPr>
      </w:pPr>
      <w:r>
        <w:rPr>
          <w:rFonts w:ascii="Arial" w:hAnsi="Arial" w:cs="Arial"/>
          <w:iCs/>
        </w:rPr>
        <w:t>Medway School of Pharmacy</w:t>
      </w:r>
    </w:p>
    <w:p w14:paraId="582D8259" w14:textId="77777777" w:rsidR="009E518A" w:rsidRDefault="009E518A">
      <w:pPr>
        <w:spacing w:after="120" w:line="240" w:lineRule="auto"/>
        <w:ind w:left="426" w:right="260"/>
        <w:rPr>
          <w:rFonts w:ascii="Arial" w:hAnsi="Arial" w:cs="Arial"/>
          <w:i/>
          <w:iCs/>
        </w:rPr>
      </w:pPr>
    </w:p>
    <w:p w14:paraId="582D825A" w14:textId="77777777" w:rsidR="009E518A" w:rsidRDefault="00962C16">
      <w:pPr>
        <w:numPr>
          <w:ilvl w:val="0"/>
          <w:numId w:val="1"/>
        </w:numPr>
        <w:spacing w:after="120" w:line="240" w:lineRule="auto"/>
        <w:ind w:left="567" w:right="260" w:hanging="567"/>
        <w:jc w:val="both"/>
        <w:rPr>
          <w:rFonts w:ascii="Arial" w:hAnsi="Arial" w:cs="Arial"/>
          <w:b/>
        </w:rPr>
      </w:pPr>
      <w:r>
        <w:rPr>
          <w:rFonts w:ascii="Arial" w:hAnsi="Arial" w:cs="Arial"/>
          <w:b/>
        </w:rPr>
        <w:t xml:space="preserve">The </w:t>
      </w:r>
      <w:r>
        <w:rPr>
          <w:rFonts w:ascii="Arial" w:hAnsi="Arial" w:cs="Arial"/>
          <w:b/>
        </w:rPr>
        <w:t>level of the module (Level 4, Level 5, Level 6 or Level 7)</w:t>
      </w:r>
    </w:p>
    <w:p w14:paraId="582D825B" w14:textId="77777777" w:rsidR="009E518A" w:rsidRDefault="00962C16">
      <w:pPr>
        <w:spacing w:after="120" w:line="240" w:lineRule="auto"/>
        <w:ind w:left="567" w:right="260"/>
        <w:jc w:val="both"/>
        <w:rPr>
          <w:rFonts w:ascii="Arial" w:hAnsi="Arial" w:cs="Arial"/>
        </w:rPr>
      </w:pPr>
      <w:r>
        <w:rPr>
          <w:rFonts w:ascii="Arial" w:hAnsi="Arial" w:cs="Arial"/>
        </w:rPr>
        <w:t>Level 7</w:t>
      </w:r>
    </w:p>
    <w:p w14:paraId="582D825C" w14:textId="77777777" w:rsidR="009E518A" w:rsidRDefault="009E518A">
      <w:pPr>
        <w:spacing w:after="120" w:line="240" w:lineRule="auto"/>
        <w:ind w:left="426" w:right="260"/>
        <w:rPr>
          <w:rFonts w:ascii="Arial" w:hAnsi="Arial" w:cs="Arial"/>
          <w:i/>
          <w:iCs/>
        </w:rPr>
      </w:pPr>
    </w:p>
    <w:p w14:paraId="582D825D" w14:textId="77777777" w:rsidR="009E518A" w:rsidRDefault="00962C16">
      <w:pPr>
        <w:numPr>
          <w:ilvl w:val="0"/>
          <w:numId w:val="1"/>
        </w:numPr>
        <w:spacing w:after="120" w:line="240" w:lineRule="auto"/>
        <w:ind w:left="567" w:right="260" w:hanging="567"/>
        <w:jc w:val="both"/>
        <w:rPr>
          <w:rFonts w:ascii="Arial" w:hAnsi="Arial" w:cs="Arial"/>
          <w:b/>
        </w:rPr>
      </w:pPr>
      <w:r>
        <w:rPr>
          <w:rFonts w:ascii="Arial" w:hAnsi="Arial" w:cs="Arial"/>
          <w:b/>
        </w:rPr>
        <w:t xml:space="preserve">The number of credits and the ECTS value which the module represents </w:t>
      </w:r>
    </w:p>
    <w:p w14:paraId="582D825E" w14:textId="77777777" w:rsidR="009E518A" w:rsidRDefault="00962C16">
      <w:pPr>
        <w:pStyle w:val="NormalWeb"/>
        <w:spacing w:before="0" w:beforeAutospacing="0" w:after="120" w:afterAutospacing="0"/>
        <w:ind w:left="567" w:right="260"/>
        <w:rPr>
          <w:rFonts w:ascii="Arial" w:hAnsi="Arial" w:cs="Arial"/>
          <w:sz w:val="22"/>
          <w:szCs w:val="22"/>
        </w:rPr>
      </w:pPr>
      <w:r>
        <w:rPr>
          <w:rFonts w:ascii="Arial" w:hAnsi="Arial" w:cs="Arial"/>
          <w:sz w:val="22"/>
          <w:szCs w:val="22"/>
        </w:rPr>
        <w:t>20 credits (10 ECTS)</w:t>
      </w:r>
    </w:p>
    <w:p w14:paraId="582D825F" w14:textId="77777777" w:rsidR="009E518A" w:rsidRDefault="009E518A">
      <w:pPr>
        <w:spacing w:after="120" w:line="240" w:lineRule="auto"/>
        <w:ind w:left="426" w:right="260"/>
        <w:rPr>
          <w:rFonts w:ascii="Arial" w:hAnsi="Arial" w:cs="Arial"/>
          <w:i/>
        </w:rPr>
      </w:pPr>
    </w:p>
    <w:p w14:paraId="582D8260" w14:textId="77777777" w:rsidR="009E518A" w:rsidRDefault="00962C16">
      <w:pPr>
        <w:numPr>
          <w:ilvl w:val="0"/>
          <w:numId w:val="1"/>
        </w:numPr>
        <w:spacing w:after="120" w:line="240" w:lineRule="auto"/>
        <w:ind w:left="567" w:right="260" w:hanging="567"/>
        <w:jc w:val="both"/>
        <w:rPr>
          <w:rFonts w:ascii="Arial" w:hAnsi="Arial" w:cs="Arial"/>
          <w:b/>
        </w:rPr>
      </w:pPr>
      <w:r>
        <w:rPr>
          <w:rFonts w:ascii="Arial" w:hAnsi="Arial" w:cs="Arial"/>
          <w:b/>
        </w:rPr>
        <w:t>Which term(s) the module is to be taught in (or other teaching pattern)</w:t>
      </w:r>
    </w:p>
    <w:p w14:paraId="582D8261" w14:textId="77777777" w:rsidR="009E518A" w:rsidRDefault="00962C16">
      <w:pPr>
        <w:spacing w:after="120" w:line="240" w:lineRule="auto"/>
        <w:ind w:left="567" w:right="260"/>
        <w:jc w:val="both"/>
        <w:rPr>
          <w:rFonts w:ascii="Arial" w:hAnsi="Arial" w:cs="Arial"/>
          <w:iCs/>
        </w:rPr>
      </w:pPr>
      <w:r>
        <w:rPr>
          <w:rFonts w:ascii="Arial" w:hAnsi="Arial" w:cs="Arial"/>
          <w:iCs/>
        </w:rPr>
        <w:t>Spring</w:t>
      </w:r>
    </w:p>
    <w:p w14:paraId="582D8262" w14:textId="77777777" w:rsidR="009E518A" w:rsidRDefault="009E518A">
      <w:pPr>
        <w:spacing w:after="120" w:line="240" w:lineRule="auto"/>
        <w:ind w:left="426" w:right="260"/>
        <w:rPr>
          <w:rFonts w:ascii="Arial" w:hAnsi="Arial" w:cs="Arial"/>
          <w:i/>
          <w:iCs/>
        </w:rPr>
      </w:pPr>
    </w:p>
    <w:p w14:paraId="582D8263" w14:textId="77777777" w:rsidR="009E518A" w:rsidRDefault="00962C16">
      <w:pPr>
        <w:numPr>
          <w:ilvl w:val="0"/>
          <w:numId w:val="1"/>
        </w:numPr>
        <w:spacing w:after="120" w:line="240" w:lineRule="auto"/>
        <w:ind w:left="567" w:right="260" w:hanging="567"/>
        <w:jc w:val="both"/>
        <w:rPr>
          <w:rFonts w:ascii="Arial" w:hAnsi="Arial" w:cs="Arial"/>
          <w:b/>
        </w:rPr>
      </w:pPr>
      <w:r>
        <w:rPr>
          <w:rFonts w:ascii="Arial" w:hAnsi="Arial" w:cs="Arial"/>
          <w:b/>
        </w:rPr>
        <w:t>Prerequisite and</w:t>
      </w:r>
      <w:r>
        <w:rPr>
          <w:rFonts w:ascii="Arial" w:hAnsi="Arial" w:cs="Arial"/>
          <w:b/>
        </w:rPr>
        <w:t xml:space="preserve"> co-requisite modules</w:t>
      </w:r>
    </w:p>
    <w:p w14:paraId="582D8264" w14:textId="77777777" w:rsidR="009E518A" w:rsidRDefault="00962C16">
      <w:pPr>
        <w:spacing w:after="120" w:line="240" w:lineRule="auto"/>
        <w:ind w:left="567" w:right="260"/>
        <w:rPr>
          <w:rFonts w:ascii="Arial" w:hAnsi="Arial" w:cs="Arial"/>
          <w:iCs/>
        </w:rPr>
      </w:pPr>
      <w:r>
        <w:rPr>
          <w:rFonts w:ascii="Arial" w:hAnsi="Arial" w:cs="Arial"/>
          <w:iCs/>
        </w:rPr>
        <w:t>Prerequisites:</w:t>
      </w:r>
    </w:p>
    <w:p w14:paraId="582D8265" w14:textId="77777777" w:rsidR="009E518A" w:rsidRDefault="00962C16">
      <w:pPr>
        <w:spacing w:after="120" w:line="240" w:lineRule="auto"/>
        <w:ind w:left="567" w:right="260"/>
        <w:rPr>
          <w:rFonts w:ascii="Arial" w:hAnsi="Arial" w:cs="Arial"/>
          <w:iCs/>
        </w:rPr>
      </w:pPr>
      <w:r>
        <w:rPr>
          <w:rFonts w:ascii="Arial" w:hAnsi="Arial" w:cs="Arial"/>
          <w:iCs/>
        </w:rPr>
        <w:t>A successful completion of all the modules from Stage 1, 2 and 3 (level 4, 5 and 6) of the MPharm programme</w:t>
      </w:r>
    </w:p>
    <w:p w14:paraId="582D8266" w14:textId="77777777" w:rsidR="009E518A" w:rsidRDefault="009E518A">
      <w:pPr>
        <w:spacing w:after="120" w:line="240" w:lineRule="auto"/>
        <w:ind w:left="567" w:right="260"/>
        <w:rPr>
          <w:rFonts w:ascii="Arial" w:hAnsi="Arial" w:cs="Arial"/>
          <w:iCs/>
        </w:rPr>
      </w:pPr>
    </w:p>
    <w:p w14:paraId="582D8267" w14:textId="77777777" w:rsidR="009E518A" w:rsidRDefault="00962C16">
      <w:pPr>
        <w:spacing w:after="120" w:line="240" w:lineRule="auto"/>
        <w:ind w:left="567" w:right="260"/>
        <w:rPr>
          <w:rFonts w:ascii="Arial" w:hAnsi="Arial" w:cs="Arial"/>
          <w:iCs/>
        </w:rPr>
      </w:pPr>
      <w:r>
        <w:rPr>
          <w:rFonts w:ascii="Arial" w:hAnsi="Arial" w:cs="Arial"/>
          <w:iCs/>
        </w:rPr>
        <w:t>Co-requisite:</w:t>
      </w:r>
    </w:p>
    <w:p w14:paraId="582D8268" w14:textId="77777777" w:rsidR="009E518A" w:rsidRDefault="00962C16">
      <w:pPr>
        <w:spacing w:after="120" w:line="240" w:lineRule="auto"/>
        <w:ind w:left="567" w:right="260"/>
        <w:rPr>
          <w:rFonts w:ascii="Arial" w:hAnsi="Arial" w:cs="Arial"/>
          <w:iCs/>
        </w:rPr>
      </w:pPr>
      <w:r>
        <w:rPr>
          <w:rFonts w:ascii="Arial" w:hAnsi="Arial" w:cs="Arial"/>
          <w:iCs/>
        </w:rPr>
        <w:t>PHAM1125 Preparing for Practice</w:t>
      </w:r>
    </w:p>
    <w:p w14:paraId="582D8269" w14:textId="77777777" w:rsidR="009E518A" w:rsidRDefault="00962C16">
      <w:pPr>
        <w:spacing w:after="120" w:line="240" w:lineRule="auto"/>
        <w:ind w:left="567" w:right="260"/>
        <w:rPr>
          <w:rFonts w:ascii="Arial" w:hAnsi="Arial" w:cs="Arial"/>
          <w:iCs/>
        </w:rPr>
      </w:pPr>
      <w:r>
        <w:rPr>
          <w:rFonts w:ascii="Arial" w:hAnsi="Arial" w:cs="Arial"/>
          <w:iCs/>
        </w:rPr>
        <w:t>PHAM1096 Sustained Research Project</w:t>
      </w:r>
    </w:p>
    <w:p w14:paraId="582D826A" w14:textId="77777777" w:rsidR="009E518A" w:rsidRDefault="009E518A">
      <w:pPr>
        <w:spacing w:after="120" w:line="240" w:lineRule="auto"/>
        <w:ind w:left="426" w:right="260"/>
        <w:rPr>
          <w:rFonts w:ascii="Arial" w:hAnsi="Arial" w:cs="Arial"/>
          <w:i/>
          <w:iCs/>
        </w:rPr>
      </w:pPr>
    </w:p>
    <w:p w14:paraId="582D826B" w14:textId="77777777" w:rsidR="009E518A" w:rsidRDefault="00962C16">
      <w:pPr>
        <w:numPr>
          <w:ilvl w:val="0"/>
          <w:numId w:val="1"/>
        </w:numPr>
        <w:spacing w:after="120" w:line="240" w:lineRule="auto"/>
        <w:ind w:left="567" w:right="260" w:hanging="567"/>
        <w:jc w:val="both"/>
        <w:rPr>
          <w:rFonts w:ascii="Arial" w:hAnsi="Arial" w:cs="Arial"/>
          <w:b/>
        </w:rPr>
      </w:pPr>
      <w:r>
        <w:rPr>
          <w:rFonts w:ascii="Arial" w:hAnsi="Arial" w:cs="Arial"/>
          <w:b/>
        </w:rPr>
        <w:t xml:space="preserve">The programmes of study to </w:t>
      </w:r>
      <w:r>
        <w:rPr>
          <w:rFonts w:ascii="Arial" w:hAnsi="Arial" w:cs="Arial"/>
          <w:b/>
        </w:rPr>
        <w:t>which the module contributes</w:t>
      </w:r>
    </w:p>
    <w:p w14:paraId="582D826C" w14:textId="77777777" w:rsidR="009E518A" w:rsidRDefault="00962C16">
      <w:pPr>
        <w:spacing w:after="120" w:line="240" w:lineRule="auto"/>
        <w:ind w:left="567" w:right="260"/>
        <w:rPr>
          <w:rFonts w:ascii="Arial" w:hAnsi="Arial" w:cs="Arial"/>
          <w:iCs/>
        </w:rPr>
      </w:pPr>
      <w:r>
        <w:rPr>
          <w:rFonts w:ascii="Arial" w:hAnsi="Arial" w:cs="Arial"/>
          <w:iCs/>
        </w:rPr>
        <w:t>MPharm (Master of Pharmacy)</w:t>
      </w:r>
    </w:p>
    <w:p w14:paraId="582D826D" w14:textId="77777777" w:rsidR="009E518A" w:rsidRDefault="009E518A">
      <w:pPr>
        <w:spacing w:after="120" w:line="240" w:lineRule="auto"/>
        <w:ind w:left="426" w:right="260"/>
        <w:rPr>
          <w:rFonts w:ascii="Arial" w:hAnsi="Arial" w:cs="Arial"/>
          <w:i/>
          <w:iCs/>
        </w:rPr>
      </w:pPr>
    </w:p>
    <w:p w14:paraId="582D826E" w14:textId="77777777" w:rsidR="009E518A" w:rsidRDefault="00962C16">
      <w:pPr>
        <w:numPr>
          <w:ilvl w:val="0"/>
          <w:numId w:val="1"/>
        </w:numPr>
        <w:spacing w:after="120" w:line="240" w:lineRule="auto"/>
        <w:ind w:left="567" w:right="260" w:hanging="567"/>
        <w:rPr>
          <w:rFonts w:ascii="Arial" w:hAnsi="Arial" w:cs="Arial"/>
          <w:b/>
        </w:rPr>
      </w:pPr>
      <w:r>
        <w:rPr>
          <w:rFonts w:ascii="Arial" w:hAnsi="Arial" w:cs="Arial"/>
          <w:b/>
        </w:rPr>
        <w:t>The intended subject specific learning outcomes.</w:t>
      </w:r>
      <w:r>
        <w:rPr>
          <w:rFonts w:ascii="Arial" w:hAnsi="Arial" w:cs="Arial"/>
          <w:b/>
        </w:rPr>
        <w:br/>
        <w:t>On successfully completing the module students will be able to:</w:t>
      </w:r>
    </w:p>
    <w:p w14:paraId="582D826F" w14:textId="77777777" w:rsidR="009E518A" w:rsidRDefault="00962C16">
      <w:pPr>
        <w:pStyle w:val="ListParagraph"/>
        <w:numPr>
          <w:ilvl w:val="0"/>
          <w:numId w:val="10"/>
        </w:numPr>
        <w:spacing w:after="120" w:line="240" w:lineRule="auto"/>
        <w:ind w:left="924" w:right="261" w:hanging="357"/>
        <w:contextualSpacing w:val="0"/>
        <w:rPr>
          <w:rFonts w:ascii="Arial" w:hAnsi="Arial" w:cs="Arial"/>
          <w:iCs/>
        </w:rPr>
      </w:pPr>
      <w:r>
        <w:rPr>
          <w:rFonts w:ascii="Arial" w:hAnsi="Arial" w:cs="Arial"/>
          <w:iCs/>
        </w:rPr>
        <w:t>Have a comprehensive understanding of the concepts that underpin advanced therapeutic</w:t>
      </w:r>
      <w:r>
        <w:rPr>
          <w:rFonts w:ascii="Arial" w:hAnsi="Arial" w:cs="Arial"/>
          <w:iCs/>
        </w:rPr>
        <w:t xml:space="preserve"> agents and their delivery</w:t>
      </w:r>
    </w:p>
    <w:p w14:paraId="582D8270" w14:textId="77777777" w:rsidR="009E518A" w:rsidRDefault="00962C16">
      <w:pPr>
        <w:pStyle w:val="ListParagraph"/>
        <w:numPr>
          <w:ilvl w:val="0"/>
          <w:numId w:val="10"/>
        </w:numPr>
        <w:spacing w:after="120" w:line="240" w:lineRule="auto"/>
        <w:ind w:left="924" w:right="261" w:hanging="357"/>
        <w:contextualSpacing w:val="0"/>
        <w:rPr>
          <w:rFonts w:ascii="Arial" w:hAnsi="Arial" w:cs="Arial"/>
          <w:iCs/>
        </w:rPr>
      </w:pPr>
      <w:r>
        <w:rPr>
          <w:rFonts w:ascii="Arial" w:hAnsi="Arial" w:cs="Arial"/>
          <w:iCs/>
        </w:rPr>
        <w:t>Have a critical awareness and understanding of current problems and/or new insights associated with pharmaceutical agents and their delivery</w:t>
      </w:r>
    </w:p>
    <w:p w14:paraId="582D8271" w14:textId="77777777" w:rsidR="009E518A" w:rsidRDefault="00962C16">
      <w:pPr>
        <w:numPr>
          <w:ilvl w:val="0"/>
          <w:numId w:val="1"/>
        </w:numPr>
        <w:spacing w:after="120" w:line="240" w:lineRule="auto"/>
        <w:ind w:left="567" w:right="260" w:hanging="567"/>
        <w:rPr>
          <w:rFonts w:ascii="Arial" w:hAnsi="Arial" w:cs="Arial"/>
          <w:b/>
        </w:rPr>
      </w:pPr>
      <w:r>
        <w:rPr>
          <w:rFonts w:ascii="Arial" w:hAnsi="Arial" w:cs="Arial"/>
          <w:b/>
        </w:rPr>
        <w:t>The intended generic learning outcomes.</w:t>
      </w:r>
      <w:r>
        <w:rPr>
          <w:rFonts w:ascii="Arial" w:hAnsi="Arial" w:cs="Arial"/>
          <w:b/>
        </w:rPr>
        <w:br/>
        <w:t>On successfully completing the module students w</w:t>
      </w:r>
      <w:r>
        <w:rPr>
          <w:rFonts w:ascii="Arial" w:hAnsi="Arial" w:cs="Arial"/>
          <w:b/>
        </w:rPr>
        <w:t>ill be able to:</w:t>
      </w:r>
    </w:p>
    <w:p w14:paraId="582D8272" w14:textId="77777777" w:rsidR="009E518A" w:rsidRDefault="00962C16">
      <w:pPr>
        <w:pStyle w:val="Default"/>
        <w:numPr>
          <w:ilvl w:val="0"/>
          <w:numId w:val="15"/>
        </w:numPr>
        <w:spacing w:after="120"/>
        <w:ind w:right="261"/>
        <w:rPr>
          <w:color w:val="auto"/>
          <w:sz w:val="22"/>
          <w:szCs w:val="22"/>
        </w:rPr>
      </w:pPr>
      <w:r>
        <w:rPr>
          <w:color w:val="auto"/>
          <w:sz w:val="22"/>
          <w:szCs w:val="22"/>
        </w:rPr>
        <w:t>Identify and resolve complex issues in the topics covered both systematically and creatively</w:t>
      </w:r>
    </w:p>
    <w:p w14:paraId="582D8273" w14:textId="77777777" w:rsidR="009E518A" w:rsidRDefault="00962C16">
      <w:pPr>
        <w:pStyle w:val="Default"/>
        <w:numPr>
          <w:ilvl w:val="0"/>
          <w:numId w:val="15"/>
        </w:numPr>
        <w:spacing w:after="120"/>
        <w:ind w:left="924" w:right="261" w:hanging="357"/>
        <w:rPr>
          <w:color w:val="auto"/>
          <w:sz w:val="22"/>
          <w:szCs w:val="22"/>
        </w:rPr>
      </w:pPr>
      <w:r>
        <w:rPr>
          <w:color w:val="auto"/>
          <w:sz w:val="22"/>
          <w:szCs w:val="22"/>
        </w:rPr>
        <w:lastRenderedPageBreak/>
        <w:t>Critically assess relevant scientific publications and communicate their conclusions clearly to specialist and non-specialist audiences</w:t>
      </w:r>
    </w:p>
    <w:p w14:paraId="582D8274" w14:textId="77777777" w:rsidR="009E518A" w:rsidRDefault="009E518A">
      <w:pPr>
        <w:pStyle w:val="Default"/>
        <w:spacing w:after="120"/>
        <w:ind w:left="720" w:right="260"/>
        <w:rPr>
          <w:color w:val="auto"/>
          <w:sz w:val="22"/>
          <w:szCs w:val="22"/>
        </w:rPr>
      </w:pPr>
    </w:p>
    <w:p w14:paraId="582D8275" w14:textId="77777777" w:rsidR="009E518A" w:rsidRDefault="00962C16">
      <w:pPr>
        <w:numPr>
          <w:ilvl w:val="0"/>
          <w:numId w:val="1"/>
        </w:numPr>
        <w:spacing w:after="120" w:line="240" w:lineRule="auto"/>
        <w:ind w:left="567" w:right="260" w:hanging="567"/>
        <w:jc w:val="both"/>
        <w:rPr>
          <w:rFonts w:ascii="Arial" w:hAnsi="Arial" w:cs="Arial"/>
          <w:b/>
        </w:rPr>
      </w:pPr>
      <w:r>
        <w:rPr>
          <w:rFonts w:ascii="Arial" w:hAnsi="Arial" w:cs="Arial"/>
          <w:b/>
        </w:rPr>
        <w:t>A synopsis</w:t>
      </w:r>
      <w:r>
        <w:rPr>
          <w:rFonts w:ascii="Arial" w:hAnsi="Arial" w:cs="Arial"/>
          <w:b/>
        </w:rPr>
        <w:t xml:space="preserve"> of the curriculum</w:t>
      </w:r>
    </w:p>
    <w:p w14:paraId="582D8276" w14:textId="77777777" w:rsidR="009E518A" w:rsidRDefault="00962C16">
      <w:pPr>
        <w:spacing w:after="120" w:line="240" w:lineRule="auto"/>
        <w:ind w:right="260"/>
        <w:jc w:val="both"/>
        <w:rPr>
          <w:rFonts w:ascii="Arial" w:hAnsi="Arial" w:cs="Arial"/>
          <w:iCs/>
        </w:rPr>
      </w:pPr>
      <w:r>
        <w:rPr>
          <w:rFonts w:ascii="Arial" w:hAnsi="Arial" w:cs="Arial"/>
          <w:iCs/>
        </w:rPr>
        <w:t xml:space="preserve">• </w:t>
      </w:r>
      <w:r>
        <w:rPr>
          <w:rFonts w:ascii="Arial" w:hAnsi="Arial" w:cs="Arial"/>
          <w:b/>
          <w:i/>
          <w:iCs/>
        </w:rPr>
        <w:t>Targeted and non-targeted drug delivery systems</w:t>
      </w:r>
      <w:r>
        <w:rPr>
          <w:rFonts w:ascii="Arial" w:hAnsi="Arial" w:cs="Arial"/>
          <w:iCs/>
        </w:rPr>
        <w:t>: This part of the elective will provide a detailed insight into the application of synthetic polymers and monoclonal antibodies in nanomedicines. Marketed products or in clinical developm</w:t>
      </w:r>
      <w:r>
        <w:rPr>
          <w:rFonts w:ascii="Arial" w:hAnsi="Arial" w:cs="Arial"/>
          <w:iCs/>
        </w:rPr>
        <w:t>ent will be used to illustrate and critically discuss the challenges and benefits associated with these carriers in the context of drug, protein or DNA/siRNA delivery.</w:t>
      </w:r>
    </w:p>
    <w:p w14:paraId="582D8277" w14:textId="77777777" w:rsidR="009E518A" w:rsidRDefault="00962C16">
      <w:pPr>
        <w:spacing w:after="120" w:line="240" w:lineRule="auto"/>
        <w:ind w:right="260"/>
        <w:jc w:val="both"/>
        <w:rPr>
          <w:rFonts w:ascii="Arial" w:hAnsi="Arial" w:cs="Arial"/>
          <w:iCs/>
        </w:rPr>
      </w:pPr>
      <w:r>
        <w:rPr>
          <w:rFonts w:ascii="Arial" w:hAnsi="Arial" w:cs="Arial"/>
          <w:iCs/>
        </w:rPr>
        <w:t xml:space="preserve">• </w:t>
      </w:r>
      <w:r>
        <w:rPr>
          <w:rFonts w:ascii="Arial" w:hAnsi="Arial" w:cs="Arial"/>
          <w:b/>
          <w:i/>
          <w:iCs/>
        </w:rPr>
        <w:t>Targeted delivery of contrast agents, early diagnostics and treatment monitoring</w:t>
      </w:r>
      <w:r>
        <w:rPr>
          <w:rFonts w:ascii="Arial" w:hAnsi="Arial" w:cs="Arial"/>
          <w:iCs/>
        </w:rPr>
        <w:t>: This</w:t>
      </w:r>
      <w:r>
        <w:rPr>
          <w:rFonts w:ascii="Arial" w:hAnsi="Arial" w:cs="Arial"/>
          <w:iCs/>
        </w:rPr>
        <w:t xml:space="preserve"> part of the elective will provide a detailed insight into the application of targeted cell and tissue imaging.  The most recent and advanced technological approaches will be discussed and the students will be able to evaluate the advantages/disadvantages </w:t>
      </w:r>
      <w:r>
        <w:rPr>
          <w:rFonts w:ascii="Arial" w:hAnsi="Arial" w:cs="Arial"/>
          <w:iCs/>
        </w:rPr>
        <w:t xml:space="preserve">of the panel of multimodal contrast agents and their most suitable carriers. This part of the course will also explore the most advances products for early diagnostics and treatment monitoring of diseases, both from the clinical and also point-of-care use </w:t>
      </w:r>
      <w:r>
        <w:rPr>
          <w:rFonts w:ascii="Arial" w:hAnsi="Arial" w:cs="Arial"/>
          <w:iCs/>
        </w:rPr>
        <w:t>perspective</w:t>
      </w:r>
    </w:p>
    <w:p w14:paraId="582D8278" w14:textId="77777777" w:rsidR="009E518A" w:rsidRDefault="009E518A">
      <w:pPr>
        <w:spacing w:after="120" w:line="240" w:lineRule="auto"/>
        <w:ind w:left="426" w:right="260"/>
        <w:rPr>
          <w:rFonts w:ascii="Arial" w:hAnsi="Arial" w:cs="Arial"/>
          <w:i/>
          <w:iCs/>
        </w:rPr>
      </w:pPr>
    </w:p>
    <w:p w14:paraId="582D8279" w14:textId="77777777" w:rsidR="009E518A" w:rsidRDefault="00962C16">
      <w:pPr>
        <w:numPr>
          <w:ilvl w:val="0"/>
          <w:numId w:val="1"/>
        </w:numPr>
        <w:spacing w:after="120" w:line="240" w:lineRule="auto"/>
        <w:ind w:left="567" w:right="260" w:hanging="567"/>
        <w:jc w:val="both"/>
        <w:rPr>
          <w:rFonts w:ascii="Arial" w:hAnsi="Arial" w:cs="Arial"/>
          <w:b/>
        </w:rPr>
      </w:pPr>
      <w:r>
        <w:rPr>
          <w:rFonts w:ascii="Arial" w:hAnsi="Arial" w:cs="Arial"/>
          <w:b/>
        </w:rPr>
        <w:t>Reading list (Indicative list, current at time of publication. Reading lists will be published annually)</w:t>
      </w:r>
    </w:p>
    <w:p w14:paraId="582D827A" w14:textId="77777777" w:rsidR="009E518A" w:rsidRDefault="00962C16">
      <w:pPr>
        <w:spacing w:after="120" w:line="240" w:lineRule="auto"/>
        <w:ind w:left="567" w:right="260"/>
        <w:rPr>
          <w:rFonts w:ascii="Arial" w:hAnsi="Arial" w:cs="Arial"/>
        </w:rPr>
      </w:pPr>
      <w:r>
        <w:rPr>
          <w:rFonts w:ascii="Arial" w:hAnsi="Arial" w:cs="Arial"/>
        </w:rPr>
        <w:t xml:space="preserve">The reading list for the module will be updated annually. Students will be directed as appropriate to primary literature and reviews </w:t>
      </w:r>
      <w:r>
        <w:rPr>
          <w:rFonts w:ascii="Arial" w:hAnsi="Arial" w:cs="Arial"/>
        </w:rPr>
        <w:t>available from journal collections in Kent or Greenwich and from performing online literature searches.</w:t>
      </w:r>
    </w:p>
    <w:p w14:paraId="582D827B" w14:textId="77777777" w:rsidR="009E518A" w:rsidRDefault="009E518A">
      <w:pPr>
        <w:spacing w:after="120" w:line="240" w:lineRule="auto"/>
        <w:ind w:right="260"/>
        <w:jc w:val="both"/>
        <w:rPr>
          <w:rFonts w:ascii="Arial" w:hAnsi="Arial" w:cs="Arial"/>
          <w:b/>
        </w:rPr>
      </w:pPr>
    </w:p>
    <w:p w14:paraId="582D827C" w14:textId="77777777" w:rsidR="009E518A" w:rsidRDefault="00962C16">
      <w:pPr>
        <w:numPr>
          <w:ilvl w:val="0"/>
          <w:numId w:val="1"/>
        </w:numPr>
        <w:spacing w:after="120" w:line="240" w:lineRule="auto"/>
        <w:ind w:left="567" w:right="260" w:hanging="567"/>
        <w:rPr>
          <w:rFonts w:ascii="Arial" w:hAnsi="Arial" w:cs="Arial"/>
          <w:i/>
          <w:iCs/>
        </w:rPr>
      </w:pPr>
      <w:r>
        <w:rPr>
          <w:rFonts w:ascii="Arial" w:hAnsi="Arial" w:cs="Arial"/>
          <w:b/>
        </w:rPr>
        <w:t>Learning and teaching methods</w:t>
      </w:r>
    </w:p>
    <w:p w14:paraId="582D827D" w14:textId="77777777" w:rsidR="009E518A" w:rsidRDefault="00962C16">
      <w:pPr>
        <w:spacing w:after="120" w:line="240" w:lineRule="auto"/>
        <w:ind w:left="567" w:right="260"/>
        <w:jc w:val="both"/>
        <w:rPr>
          <w:rFonts w:ascii="Arial" w:hAnsi="Arial" w:cs="Arial"/>
          <w:iCs/>
        </w:rPr>
      </w:pPr>
      <w:r>
        <w:rPr>
          <w:rFonts w:ascii="Arial" w:hAnsi="Arial" w:cs="Arial"/>
          <w:iCs/>
        </w:rPr>
        <w:t>Total contact hours:  42</w:t>
      </w:r>
    </w:p>
    <w:p w14:paraId="582D827E" w14:textId="77777777" w:rsidR="009E518A" w:rsidRDefault="00962C16">
      <w:pPr>
        <w:spacing w:after="120" w:line="240" w:lineRule="auto"/>
        <w:ind w:left="567" w:right="260"/>
        <w:jc w:val="both"/>
        <w:rPr>
          <w:rFonts w:ascii="Arial" w:hAnsi="Arial" w:cs="Arial"/>
          <w:iCs/>
        </w:rPr>
      </w:pPr>
      <w:r>
        <w:rPr>
          <w:rFonts w:ascii="Arial" w:hAnsi="Arial" w:cs="Arial"/>
          <w:iCs/>
        </w:rPr>
        <w:t>Private study hours: 158</w:t>
      </w:r>
    </w:p>
    <w:p w14:paraId="582D827F" w14:textId="77777777" w:rsidR="009E518A" w:rsidRDefault="00962C16">
      <w:pPr>
        <w:spacing w:after="120" w:line="240" w:lineRule="auto"/>
        <w:ind w:left="567" w:right="260"/>
        <w:jc w:val="both"/>
        <w:rPr>
          <w:rFonts w:ascii="Arial" w:hAnsi="Arial" w:cs="Arial"/>
          <w:iCs/>
        </w:rPr>
      </w:pPr>
      <w:r>
        <w:rPr>
          <w:rFonts w:ascii="Arial" w:hAnsi="Arial" w:cs="Arial"/>
          <w:iCs/>
        </w:rPr>
        <w:t>Total study hours: 200</w:t>
      </w:r>
    </w:p>
    <w:p w14:paraId="582D8280" w14:textId="77777777" w:rsidR="009E518A" w:rsidRDefault="009E518A">
      <w:pPr>
        <w:spacing w:after="120" w:line="240" w:lineRule="auto"/>
        <w:ind w:left="426" w:right="260"/>
        <w:rPr>
          <w:rFonts w:ascii="Arial" w:hAnsi="Arial" w:cs="Arial"/>
          <w:i/>
          <w:iCs/>
        </w:rPr>
      </w:pPr>
    </w:p>
    <w:p w14:paraId="582D8281" w14:textId="77777777" w:rsidR="009E518A" w:rsidRDefault="00962C16">
      <w:pPr>
        <w:numPr>
          <w:ilvl w:val="0"/>
          <w:numId w:val="1"/>
        </w:numPr>
        <w:spacing w:after="120" w:line="240" w:lineRule="auto"/>
        <w:ind w:left="567" w:right="260" w:hanging="567"/>
        <w:rPr>
          <w:rFonts w:ascii="Arial" w:hAnsi="Arial" w:cs="Arial"/>
          <w:i/>
          <w:iCs/>
        </w:rPr>
      </w:pPr>
      <w:r>
        <w:rPr>
          <w:rFonts w:ascii="Arial" w:hAnsi="Arial" w:cs="Arial"/>
          <w:b/>
        </w:rPr>
        <w:t>Assessment methods</w:t>
      </w:r>
    </w:p>
    <w:p w14:paraId="582D8282" w14:textId="77777777" w:rsidR="009E518A" w:rsidRDefault="00962C16">
      <w:pPr>
        <w:pStyle w:val="ListParagraph"/>
        <w:numPr>
          <w:ilvl w:val="1"/>
          <w:numId w:val="9"/>
        </w:numPr>
        <w:spacing w:after="120" w:line="240" w:lineRule="auto"/>
        <w:contextualSpacing w:val="0"/>
        <w:rPr>
          <w:rFonts w:ascii="Arial" w:hAnsi="Arial" w:cs="Arial"/>
          <w:iCs/>
        </w:rPr>
      </w:pPr>
      <w:r>
        <w:rPr>
          <w:rFonts w:ascii="Arial" w:hAnsi="Arial" w:cs="Arial"/>
          <w:iCs/>
        </w:rPr>
        <w:t>Main assessment methods</w:t>
      </w:r>
    </w:p>
    <w:p w14:paraId="582D8283" w14:textId="77777777" w:rsidR="009E518A" w:rsidRDefault="00962C16">
      <w:pPr>
        <w:pStyle w:val="ListParagraph"/>
        <w:numPr>
          <w:ilvl w:val="0"/>
          <w:numId w:val="12"/>
        </w:numPr>
        <w:spacing w:after="120" w:line="240" w:lineRule="auto"/>
        <w:ind w:left="1713" w:right="260"/>
        <w:contextualSpacing w:val="0"/>
        <w:rPr>
          <w:rFonts w:ascii="Arial" w:hAnsi="Arial" w:cs="Arial"/>
          <w:iCs/>
        </w:rPr>
      </w:pPr>
      <w:r>
        <w:rPr>
          <w:rFonts w:ascii="Arial" w:hAnsi="Arial" w:cs="Arial"/>
          <w:iCs/>
        </w:rPr>
        <w:t>Cour</w:t>
      </w:r>
      <w:r>
        <w:rPr>
          <w:rFonts w:ascii="Arial" w:hAnsi="Arial" w:cs="Arial"/>
          <w:iCs/>
        </w:rPr>
        <w:t>sework (40% of module mark):</w:t>
      </w:r>
    </w:p>
    <w:p w14:paraId="582D8284" w14:textId="77777777" w:rsidR="009E518A" w:rsidRDefault="00962C16">
      <w:pPr>
        <w:pStyle w:val="ListParagraph"/>
        <w:numPr>
          <w:ilvl w:val="0"/>
          <w:numId w:val="13"/>
        </w:numPr>
        <w:spacing w:after="120" w:line="240" w:lineRule="auto"/>
        <w:ind w:left="2155" w:right="261" w:hanging="170"/>
        <w:contextualSpacing w:val="0"/>
        <w:rPr>
          <w:rFonts w:ascii="Arial" w:hAnsi="Arial" w:cs="Arial"/>
          <w:iCs/>
        </w:rPr>
      </w:pPr>
      <w:r>
        <w:rPr>
          <w:rFonts w:ascii="Arial" w:hAnsi="Arial" w:cs="Arial"/>
          <w:iCs/>
        </w:rPr>
        <w:t>Written Assignment</w:t>
      </w:r>
    </w:p>
    <w:p w14:paraId="582D8285" w14:textId="77777777" w:rsidR="009E518A" w:rsidRDefault="00962C16">
      <w:pPr>
        <w:pStyle w:val="ListParagraph"/>
        <w:numPr>
          <w:ilvl w:val="0"/>
          <w:numId w:val="12"/>
        </w:numPr>
        <w:spacing w:after="120" w:line="240" w:lineRule="auto"/>
        <w:ind w:left="1713" w:right="260"/>
        <w:contextualSpacing w:val="0"/>
        <w:rPr>
          <w:rFonts w:ascii="Arial" w:hAnsi="Arial" w:cs="Arial"/>
          <w:b/>
          <w:iCs/>
        </w:rPr>
      </w:pPr>
      <w:r>
        <w:rPr>
          <w:rFonts w:ascii="Arial" w:hAnsi="Arial" w:cs="Arial"/>
          <w:iCs/>
        </w:rPr>
        <w:t xml:space="preserve">Written Examination, </w:t>
      </w:r>
      <w:r>
        <w:rPr>
          <w:rFonts w:ascii="Arial" w:eastAsia="Arial" w:hAnsi="Arial" w:cs="Arial"/>
        </w:rPr>
        <w:t>2 hours</w:t>
      </w:r>
      <w:r>
        <w:rPr>
          <w:rFonts w:ascii="Arial" w:hAnsi="Arial" w:cs="Arial"/>
          <w:iCs/>
        </w:rPr>
        <w:t xml:space="preserve"> (60% of module mark)</w:t>
      </w:r>
    </w:p>
    <w:p w14:paraId="582D8286" w14:textId="77777777" w:rsidR="009E518A" w:rsidRDefault="00962C16">
      <w:pPr>
        <w:pStyle w:val="ListParagraph"/>
        <w:numPr>
          <w:ilvl w:val="0"/>
          <w:numId w:val="12"/>
        </w:numPr>
        <w:spacing w:after="120" w:line="240" w:lineRule="auto"/>
        <w:ind w:left="1713" w:right="260"/>
        <w:contextualSpacing w:val="0"/>
        <w:rPr>
          <w:rFonts w:ascii="Arial" w:hAnsi="Arial" w:cs="Arial"/>
          <w:iCs/>
        </w:rPr>
      </w:pPr>
      <w:r>
        <w:rPr>
          <w:rFonts w:ascii="Arial" w:hAnsi="Arial" w:cs="Arial"/>
          <w:iCs/>
        </w:rPr>
        <w:t>Professional Competency (Pass/Fail)</w:t>
      </w:r>
    </w:p>
    <w:p w14:paraId="582D8287" w14:textId="77777777" w:rsidR="009E518A" w:rsidRDefault="00962C16">
      <w:pPr>
        <w:pStyle w:val="ListParagraph"/>
        <w:numPr>
          <w:ilvl w:val="1"/>
          <w:numId w:val="12"/>
        </w:numPr>
        <w:spacing w:after="120" w:line="240" w:lineRule="auto"/>
        <w:ind w:left="2155" w:right="261" w:hanging="170"/>
        <w:contextualSpacing w:val="0"/>
        <w:rPr>
          <w:rFonts w:ascii="Arial" w:hAnsi="Arial" w:cs="Arial"/>
          <w:iCs/>
        </w:rPr>
      </w:pPr>
      <w:r>
        <w:rPr>
          <w:rFonts w:ascii="Arial" w:hAnsi="Arial" w:cs="Arial"/>
        </w:rPr>
        <w:t>Attendance (P/F) *</w:t>
      </w:r>
    </w:p>
    <w:p w14:paraId="582D8288" w14:textId="77777777" w:rsidR="009E518A" w:rsidRDefault="009E518A">
      <w:pPr>
        <w:spacing w:after="120" w:line="240" w:lineRule="auto"/>
        <w:ind w:left="786"/>
        <w:rPr>
          <w:rFonts w:ascii="Arial" w:hAnsi="Arial" w:cs="Arial"/>
          <w:iCs/>
        </w:rPr>
      </w:pPr>
    </w:p>
    <w:p w14:paraId="582D8289" w14:textId="77777777" w:rsidR="009E518A" w:rsidRDefault="00962C16">
      <w:pPr>
        <w:spacing w:after="120" w:line="240" w:lineRule="auto"/>
        <w:ind w:left="567"/>
        <w:rPr>
          <w:rFonts w:ascii="Arial" w:hAnsi="Arial" w:cs="Arial"/>
          <w:iCs/>
        </w:rPr>
      </w:pPr>
      <w:r>
        <w:rPr>
          <w:rFonts w:ascii="Arial" w:hAnsi="Arial" w:cs="Arial"/>
          <w:iCs/>
        </w:rPr>
        <w:t xml:space="preserve">The pass mark for this module is 50% overall. </w:t>
      </w:r>
      <w:r>
        <w:rPr>
          <w:rFonts w:ascii="Arial" w:eastAsia="Times New Roman" w:hAnsi="Arial" w:cs="Arial"/>
          <w:color w:val="000000"/>
        </w:rPr>
        <w:t xml:space="preserve">Students must pass the professional competency </w:t>
      </w:r>
      <w:r>
        <w:rPr>
          <w:rFonts w:ascii="Arial" w:eastAsia="Times New Roman" w:hAnsi="Arial" w:cs="Arial"/>
          <w:color w:val="000000"/>
        </w:rPr>
        <w:t>assessment in order to satisfactorily complete the module and to graduate with a Master of Pharmacy degree.</w:t>
      </w:r>
    </w:p>
    <w:p w14:paraId="582D828A" w14:textId="77777777" w:rsidR="009E518A" w:rsidRDefault="00962C16">
      <w:pPr>
        <w:spacing w:after="120" w:line="240" w:lineRule="auto"/>
        <w:ind w:left="786"/>
        <w:jc w:val="both"/>
        <w:rPr>
          <w:rFonts w:ascii="Arial" w:eastAsia="Times New Roman" w:hAnsi="Arial" w:cs="Arial"/>
          <w:color w:val="000000"/>
        </w:rPr>
      </w:pPr>
      <w:r>
        <w:rPr>
          <w:rFonts w:ascii="Arial" w:eastAsia="Times New Roman" w:hAnsi="Arial" w:cs="Arial"/>
          <w:color w:val="000000"/>
        </w:rPr>
        <w:t xml:space="preserve">* Students who fail to meet the 80% threshold attendance at all scheduled coursework sessions (i.e. workshops, laboratory sessions and seminars) </w:t>
      </w:r>
      <w:r>
        <w:rPr>
          <w:rFonts w:ascii="Arial" w:eastAsia="Times New Roman" w:hAnsi="Arial" w:cs="Arial"/>
          <w:color w:val="000000"/>
        </w:rPr>
        <w:t>will have their coursework capped to the pass mark. Students who fail to meet the 60% threshold will be deemed not to have met the learning outcomes and will fail the module.</w:t>
      </w:r>
    </w:p>
    <w:p w14:paraId="582D828B" w14:textId="77777777" w:rsidR="009E518A" w:rsidRDefault="009E518A">
      <w:pPr>
        <w:spacing w:after="120" w:line="240" w:lineRule="auto"/>
        <w:ind w:left="786"/>
        <w:rPr>
          <w:rFonts w:ascii="Arial" w:hAnsi="Arial" w:cs="Arial"/>
          <w:iCs/>
        </w:rPr>
      </w:pPr>
    </w:p>
    <w:p w14:paraId="582D828C" w14:textId="77777777" w:rsidR="009E518A" w:rsidRDefault="00962C16">
      <w:pPr>
        <w:spacing w:after="120"/>
        <w:ind w:left="1287" w:hanging="567"/>
        <w:rPr>
          <w:rFonts w:ascii="Arial" w:hAnsi="Arial" w:cs="Arial"/>
          <w:iCs/>
        </w:rPr>
      </w:pPr>
      <w:r>
        <w:rPr>
          <w:rFonts w:ascii="Arial" w:hAnsi="Arial" w:cs="Arial"/>
          <w:iCs/>
        </w:rPr>
        <w:lastRenderedPageBreak/>
        <w:t>13.2</w:t>
      </w:r>
      <w:r>
        <w:rPr>
          <w:rFonts w:ascii="Arial" w:hAnsi="Arial" w:cs="Arial"/>
          <w:iCs/>
        </w:rPr>
        <w:tab/>
        <w:t xml:space="preserve">Reassessment methods </w:t>
      </w:r>
    </w:p>
    <w:p w14:paraId="582D828D" w14:textId="77777777" w:rsidR="009E518A" w:rsidRDefault="00962C16">
      <w:pPr>
        <w:spacing w:after="120" w:line="240" w:lineRule="auto"/>
        <w:ind w:left="720" w:right="260"/>
        <w:rPr>
          <w:rFonts w:ascii="Arial" w:hAnsi="Arial" w:cs="Arial"/>
          <w:iCs/>
        </w:rPr>
      </w:pPr>
      <w:r>
        <w:rPr>
          <w:rFonts w:ascii="Arial" w:hAnsi="Arial" w:cs="Arial"/>
          <w:iCs/>
        </w:rPr>
        <w:t>Like for like</w:t>
      </w:r>
    </w:p>
    <w:p w14:paraId="582D828E" w14:textId="77777777" w:rsidR="009E518A" w:rsidRDefault="009E518A">
      <w:pPr>
        <w:spacing w:after="120" w:line="240" w:lineRule="auto"/>
        <w:ind w:left="720" w:right="260"/>
        <w:rPr>
          <w:rFonts w:ascii="Arial" w:hAnsi="Arial" w:cs="Arial"/>
          <w:iCs/>
        </w:rPr>
      </w:pPr>
    </w:p>
    <w:p w14:paraId="582D828F" w14:textId="77777777" w:rsidR="009E518A" w:rsidRDefault="00962C16">
      <w:pPr>
        <w:numPr>
          <w:ilvl w:val="0"/>
          <w:numId w:val="1"/>
        </w:numPr>
        <w:spacing w:after="120" w:line="240" w:lineRule="auto"/>
        <w:ind w:left="567" w:right="261" w:hanging="567"/>
        <w:jc w:val="both"/>
        <w:rPr>
          <w:rFonts w:ascii="Arial" w:hAnsi="Arial" w:cs="Arial"/>
          <w:b/>
          <w:i/>
          <w:iCs/>
        </w:rPr>
      </w:pPr>
      <w:r>
        <w:rPr>
          <w:rFonts w:ascii="Arial" w:hAnsi="Arial" w:cs="Arial"/>
          <w:b/>
          <w:i/>
          <w:iCs/>
        </w:rPr>
        <w:t>Map of module learning outcomes (secti</w:t>
      </w:r>
      <w:r>
        <w:rPr>
          <w:rFonts w:ascii="Arial" w:hAnsi="Arial" w:cs="Arial"/>
          <w:b/>
          <w:i/>
          <w:iCs/>
        </w:rPr>
        <w:t>ons 8 &amp; 9) to learning and teaching methods (section12) and methods of assessment (section 13)</w:t>
      </w:r>
    </w:p>
    <w:tbl>
      <w:tblPr>
        <w:tblStyle w:val="TableGrid"/>
        <w:tblW w:w="5000" w:type="pct"/>
        <w:jc w:val="center"/>
        <w:tblLook w:val="04A0" w:firstRow="1" w:lastRow="0" w:firstColumn="1" w:lastColumn="0" w:noHBand="0" w:noVBand="1"/>
      </w:tblPr>
      <w:tblGrid>
        <w:gridCol w:w="4524"/>
        <w:gridCol w:w="1483"/>
        <w:gridCol w:w="1483"/>
        <w:gridCol w:w="1483"/>
        <w:gridCol w:w="1483"/>
      </w:tblGrid>
      <w:tr w:rsidR="009E518A" w14:paraId="582D8295" w14:textId="77777777">
        <w:trPr>
          <w:jc w:val="center"/>
        </w:trPr>
        <w:tc>
          <w:tcPr>
            <w:tcW w:w="2163" w:type="pct"/>
            <w:shd w:val="clear" w:color="auto" w:fill="D9D9D9" w:themeFill="background1" w:themeFillShade="D9"/>
            <w:vAlign w:val="center"/>
          </w:tcPr>
          <w:p w14:paraId="582D8290" w14:textId="77777777" w:rsidR="009E518A" w:rsidRDefault="00962C16">
            <w:pPr>
              <w:ind w:left="33"/>
              <w:rPr>
                <w:rFonts w:ascii="Arial" w:hAnsi="Arial" w:cs="Arial"/>
                <w:b/>
              </w:rPr>
            </w:pPr>
            <w:r>
              <w:rPr>
                <w:rFonts w:ascii="Arial" w:hAnsi="Arial" w:cs="Arial"/>
                <w:b/>
              </w:rPr>
              <w:t>Module learning outcome</w:t>
            </w:r>
          </w:p>
        </w:tc>
        <w:tc>
          <w:tcPr>
            <w:tcW w:w="709" w:type="pct"/>
            <w:vAlign w:val="center"/>
          </w:tcPr>
          <w:p w14:paraId="582D8291" w14:textId="77777777" w:rsidR="009E518A" w:rsidRDefault="00962C16">
            <w:pPr>
              <w:jc w:val="center"/>
              <w:rPr>
                <w:rFonts w:ascii="Arial" w:hAnsi="Arial" w:cs="Arial"/>
                <w:i/>
              </w:rPr>
            </w:pPr>
            <w:r>
              <w:rPr>
                <w:rFonts w:ascii="Arial" w:hAnsi="Arial" w:cs="Arial"/>
                <w:i/>
              </w:rPr>
              <w:t>8.1</w:t>
            </w:r>
          </w:p>
        </w:tc>
        <w:tc>
          <w:tcPr>
            <w:tcW w:w="709" w:type="pct"/>
            <w:vAlign w:val="center"/>
          </w:tcPr>
          <w:p w14:paraId="582D8292" w14:textId="77777777" w:rsidR="009E518A" w:rsidRDefault="00962C16">
            <w:pPr>
              <w:jc w:val="center"/>
              <w:rPr>
                <w:rFonts w:ascii="Arial" w:hAnsi="Arial" w:cs="Arial"/>
                <w:i/>
              </w:rPr>
            </w:pPr>
            <w:r>
              <w:rPr>
                <w:rFonts w:ascii="Arial" w:hAnsi="Arial" w:cs="Arial"/>
                <w:i/>
              </w:rPr>
              <w:t>8.2</w:t>
            </w:r>
          </w:p>
        </w:tc>
        <w:tc>
          <w:tcPr>
            <w:tcW w:w="709" w:type="pct"/>
            <w:vAlign w:val="center"/>
          </w:tcPr>
          <w:p w14:paraId="582D8293" w14:textId="77777777" w:rsidR="009E518A" w:rsidRDefault="00962C16">
            <w:pPr>
              <w:jc w:val="center"/>
              <w:rPr>
                <w:rFonts w:ascii="Arial" w:hAnsi="Arial" w:cs="Arial"/>
                <w:i/>
              </w:rPr>
            </w:pPr>
            <w:r>
              <w:rPr>
                <w:rFonts w:ascii="Arial" w:eastAsia="Arial" w:hAnsi="Arial" w:cs="Arial"/>
                <w:i/>
                <w:iCs/>
              </w:rPr>
              <w:t>9.1</w:t>
            </w:r>
          </w:p>
        </w:tc>
        <w:tc>
          <w:tcPr>
            <w:tcW w:w="709" w:type="pct"/>
            <w:vAlign w:val="center"/>
          </w:tcPr>
          <w:p w14:paraId="582D8294" w14:textId="77777777" w:rsidR="009E518A" w:rsidRDefault="00962C16">
            <w:pPr>
              <w:jc w:val="center"/>
            </w:pPr>
            <w:r>
              <w:rPr>
                <w:rFonts w:ascii="Arial" w:eastAsia="Arial" w:hAnsi="Arial" w:cs="Arial"/>
                <w:i/>
                <w:iCs/>
              </w:rPr>
              <w:t>9.2</w:t>
            </w:r>
          </w:p>
        </w:tc>
      </w:tr>
      <w:tr w:rsidR="009E518A" w14:paraId="582D829B" w14:textId="77777777">
        <w:trPr>
          <w:jc w:val="center"/>
        </w:trPr>
        <w:tc>
          <w:tcPr>
            <w:tcW w:w="2163" w:type="pct"/>
            <w:shd w:val="clear" w:color="auto" w:fill="D9D9D9" w:themeFill="background1" w:themeFillShade="D9"/>
            <w:vAlign w:val="center"/>
          </w:tcPr>
          <w:p w14:paraId="582D8296" w14:textId="77777777" w:rsidR="009E518A" w:rsidRDefault="00962C16">
            <w:pPr>
              <w:rPr>
                <w:rFonts w:ascii="Arial" w:hAnsi="Arial" w:cs="Arial"/>
                <w:b/>
              </w:rPr>
            </w:pPr>
            <w:r>
              <w:rPr>
                <w:rFonts w:ascii="Arial" w:hAnsi="Arial" w:cs="Arial"/>
                <w:b/>
              </w:rPr>
              <w:t>Learning/ teaching method</w:t>
            </w:r>
          </w:p>
        </w:tc>
        <w:tc>
          <w:tcPr>
            <w:tcW w:w="709" w:type="pct"/>
            <w:shd w:val="clear" w:color="auto" w:fill="D9D9D9" w:themeFill="background1" w:themeFillShade="D9"/>
            <w:vAlign w:val="center"/>
          </w:tcPr>
          <w:p w14:paraId="582D8297" w14:textId="77777777" w:rsidR="009E518A" w:rsidRDefault="009E518A">
            <w:pPr>
              <w:jc w:val="center"/>
              <w:rPr>
                <w:rFonts w:ascii="Arial" w:hAnsi="Arial" w:cs="Arial"/>
                <w:b/>
              </w:rPr>
            </w:pPr>
          </w:p>
        </w:tc>
        <w:tc>
          <w:tcPr>
            <w:tcW w:w="709" w:type="pct"/>
            <w:shd w:val="clear" w:color="auto" w:fill="D9D9D9" w:themeFill="background1" w:themeFillShade="D9"/>
            <w:vAlign w:val="center"/>
          </w:tcPr>
          <w:p w14:paraId="582D8298" w14:textId="77777777" w:rsidR="009E518A" w:rsidRDefault="009E518A">
            <w:pPr>
              <w:jc w:val="center"/>
              <w:rPr>
                <w:rFonts w:ascii="Arial" w:hAnsi="Arial" w:cs="Arial"/>
                <w:b/>
              </w:rPr>
            </w:pPr>
          </w:p>
        </w:tc>
        <w:tc>
          <w:tcPr>
            <w:tcW w:w="709" w:type="pct"/>
            <w:shd w:val="clear" w:color="auto" w:fill="D9D9D9" w:themeFill="background1" w:themeFillShade="D9"/>
            <w:vAlign w:val="center"/>
          </w:tcPr>
          <w:p w14:paraId="582D8299" w14:textId="77777777" w:rsidR="009E518A" w:rsidRDefault="009E518A">
            <w:pPr>
              <w:jc w:val="center"/>
              <w:rPr>
                <w:rFonts w:ascii="Arial" w:hAnsi="Arial" w:cs="Arial"/>
                <w:b/>
              </w:rPr>
            </w:pPr>
          </w:p>
        </w:tc>
        <w:tc>
          <w:tcPr>
            <w:tcW w:w="709" w:type="pct"/>
            <w:shd w:val="clear" w:color="auto" w:fill="D9D9D9" w:themeFill="background1" w:themeFillShade="D9"/>
            <w:vAlign w:val="center"/>
          </w:tcPr>
          <w:p w14:paraId="582D829A" w14:textId="77777777" w:rsidR="009E518A" w:rsidRDefault="009E518A">
            <w:pPr>
              <w:jc w:val="center"/>
              <w:rPr>
                <w:rFonts w:ascii="Arial" w:hAnsi="Arial" w:cs="Arial"/>
                <w:b/>
              </w:rPr>
            </w:pPr>
          </w:p>
        </w:tc>
      </w:tr>
      <w:tr w:rsidR="009E518A" w14:paraId="582D82A1" w14:textId="77777777">
        <w:trPr>
          <w:jc w:val="center"/>
        </w:trPr>
        <w:tc>
          <w:tcPr>
            <w:tcW w:w="2163" w:type="pct"/>
            <w:shd w:val="clear" w:color="auto" w:fill="auto"/>
            <w:vAlign w:val="center"/>
          </w:tcPr>
          <w:p w14:paraId="582D829C" w14:textId="77777777" w:rsidR="009E518A" w:rsidRDefault="00962C16">
            <w:pPr>
              <w:jc w:val="right"/>
              <w:rPr>
                <w:rFonts w:ascii="Arial" w:hAnsi="Arial" w:cs="Arial"/>
                <w:i/>
              </w:rPr>
            </w:pPr>
            <w:r>
              <w:rPr>
                <w:rFonts w:ascii="Arial" w:hAnsi="Arial" w:cs="Arial"/>
                <w:i/>
              </w:rPr>
              <w:t>Private Studies</w:t>
            </w:r>
          </w:p>
        </w:tc>
        <w:tc>
          <w:tcPr>
            <w:tcW w:w="709" w:type="pct"/>
            <w:shd w:val="clear" w:color="auto" w:fill="auto"/>
            <w:vAlign w:val="center"/>
          </w:tcPr>
          <w:p w14:paraId="582D829D" w14:textId="77777777" w:rsidR="009E518A" w:rsidRDefault="00962C16">
            <w:pPr>
              <w:jc w:val="center"/>
              <w:rPr>
                <w:rFonts w:ascii="Arial" w:hAnsi="Arial" w:cs="Arial"/>
              </w:rPr>
            </w:pPr>
            <w:r>
              <w:rPr>
                <w:rFonts w:ascii="Arial" w:hAnsi="Arial" w:cs="Arial"/>
              </w:rPr>
              <w:t>X</w:t>
            </w:r>
          </w:p>
        </w:tc>
        <w:tc>
          <w:tcPr>
            <w:tcW w:w="709" w:type="pct"/>
            <w:shd w:val="clear" w:color="auto" w:fill="auto"/>
            <w:vAlign w:val="center"/>
          </w:tcPr>
          <w:p w14:paraId="582D829E" w14:textId="77777777" w:rsidR="009E518A" w:rsidRDefault="00962C16">
            <w:pPr>
              <w:jc w:val="center"/>
              <w:rPr>
                <w:rFonts w:ascii="Arial" w:hAnsi="Arial" w:cs="Arial"/>
              </w:rPr>
            </w:pPr>
            <w:r>
              <w:rPr>
                <w:rFonts w:ascii="Arial" w:hAnsi="Arial" w:cs="Arial"/>
              </w:rPr>
              <w:t>X</w:t>
            </w:r>
          </w:p>
        </w:tc>
        <w:tc>
          <w:tcPr>
            <w:tcW w:w="709" w:type="pct"/>
            <w:shd w:val="clear" w:color="auto" w:fill="auto"/>
            <w:vAlign w:val="center"/>
          </w:tcPr>
          <w:p w14:paraId="582D829F" w14:textId="77777777" w:rsidR="009E518A" w:rsidRDefault="00962C16">
            <w:pPr>
              <w:jc w:val="center"/>
              <w:rPr>
                <w:rFonts w:ascii="Arial" w:hAnsi="Arial" w:cs="Arial"/>
              </w:rPr>
            </w:pPr>
            <w:r>
              <w:rPr>
                <w:rFonts w:ascii="Arial" w:hAnsi="Arial" w:cs="Arial"/>
              </w:rPr>
              <w:t>X</w:t>
            </w:r>
          </w:p>
        </w:tc>
        <w:tc>
          <w:tcPr>
            <w:tcW w:w="709" w:type="pct"/>
            <w:shd w:val="clear" w:color="auto" w:fill="auto"/>
            <w:vAlign w:val="center"/>
          </w:tcPr>
          <w:p w14:paraId="582D82A0" w14:textId="77777777" w:rsidR="009E518A" w:rsidRDefault="00962C16">
            <w:pPr>
              <w:jc w:val="center"/>
              <w:rPr>
                <w:rFonts w:ascii="Arial" w:hAnsi="Arial" w:cs="Arial"/>
              </w:rPr>
            </w:pPr>
            <w:r>
              <w:rPr>
                <w:rFonts w:ascii="Arial" w:hAnsi="Arial" w:cs="Arial"/>
              </w:rPr>
              <w:t>X</w:t>
            </w:r>
          </w:p>
        </w:tc>
      </w:tr>
      <w:tr w:rsidR="009E518A" w14:paraId="582D82A7" w14:textId="77777777">
        <w:trPr>
          <w:jc w:val="center"/>
        </w:trPr>
        <w:tc>
          <w:tcPr>
            <w:tcW w:w="2163" w:type="pct"/>
            <w:shd w:val="clear" w:color="auto" w:fill="auto"/>
            <w:vAlign w:val="center"/>
          </w:tcPr>
          <w:p w14:paraId="582D82A2" w14:textId="77777777" w:rsidR="009E518A" w:rsidRDefault="00962C16">
            <w:pPr>
              <w:jc w:val="right"/>
              <w:rPr>
                <w:rFonts w:ascii="Arial" w:hAnsi="Arial" w:cs="Arial"/>
                <w:i/>
              </w:rPr>
            </w:pPr>
            <w:r>
              <w:rPr>
                <w:rFonts w:ascii="Arial" w:hAnsi="Arial" w:cs="Arial"/>
                <w:i/>
              </w:rPr>
              <w:t>Lectures /Workshops</w:t>
            </w:r>
          </w:p>
        </w:tc>
        <w:tc>
          <w:tcPr>
            <w:tcW w:w="709" w:type="pct"/>
            <w:shd w:val="clear" w:color="auto" w:fill="auto"/>
            <w:vAlign w:val="center"/>
          </w:tcPr>
          <w:p w14:paraId="582D82A3" w14:textId="77777777" w:rsidR="009E518A" w:rsidRDefault="00962C16">
            <w:pPr>
              <w:jc w:val="center"/>
              <w:rPr>
                <w:rFonts w:ascii="Arial" w:hAnsi="Arial" w:cs="Arial"/>
              </w:rPr>
            </w:pPr>
            <w:r>
              <w:rPr>
                <w:rFonts w:ascii="Arial" w:hAnsi="Arial" w:cs="Arial"/>
              </w:rPr>
              <w:t>X</w:t>
            </w:r>
          </w:p>
        </w:tc>
        <w:tc>
          <w:tcPr>
            <w:tcW w:w="709" w:type="pct"/>
            <w:shd w:val="clear" w:color="auto" w:fill="auto"/>
            <w:vAlign w:val="center"/>
          </w:tcPr>
          <w:p w14:paraId="582D82A4" w14:textId="77777777" w:rsidR="009E518A" w:rsidRDefault="00962C16">
            <w:pPr>
              <w:jc w:val="center"/>
              <w:rPr>
                <w:rFonts w:ascii="Arial" w:hAnsi="Arial" w:cs="Arial"/>
              </w:rPr>
            </w:pPr>
            <w:r>
              <w:rPr>
                <w:rFonts w:ascii="Arial" w:hAnsi="Arial" w:cs="Arial"/>
              </w:rPr>
              <w:t>X</w:t>
            </w:r>
          </w:p>
        </w:tc>
        <w:tc>
          <w:tcPr>
            <w:tcW w:w="709" w:type="pct"/>
            <w:shd w:val="clear" w:color="auto" w:fill="auto"/>
            <w:vAlign w:val="center"/>
          </w:tcPr>
          <w:p w14:paraId="582D82A5" w14:textId="77777777" w:rsidR="009E518A" w:rsidRDefault="00962C16">
            <w:pPr>
              <w:jc w:val="center"/>
              <w:rPr>
                <w:rFonts w:ascii="Arial" w:hAnsi="Arial" w:cs="Arial"/>
              </w:rPr>
            </w:pPr>
            <w:r>
              <w:rPr>
                <w:rFonts w:ascii="Arial" w:hAnsi="Arial" w:cs="Arial"/>
              </w:rPr>
              <w:t>X</w:t>
            </w:r>
          </w:p>
        </w:tc>
        <w:tc>
          <w:tcPr>
            <w:tcW w:w="709" w:type="pct"/>
            <w:shd w:val="clear" w:color="auto" w:fill="auto"/>
            <w:vAlign w:val="center"/>
          </w:tcPr>
          <w:p w14:paraId="582D82A6" w14:textId="77777777" w:rsidR="009E518A" w:rsidRDefault="00962C16">
            <w:pPr>
              <w:jc w:val="center"/>
              <w:rPr>
                <w:rFonts w:ascii="Arial" w:hAnsi="Arial" w:cs="Arial"/>
              </w:rPr>
            </w:pPr>
            <w:r>
              <w:rPr>
                <w:rFonts w:ascii="Arial" w:hAnsi="Arial" w:cs="Arial"/>
              </w:rPr>
              <w:t>X</w:t>
            </w:r>
          </w:p>
        </w:tc>
      </w:tr>
      <w:tr w:rsidR="009E518A" w14:paraId="582D82AD" w14:textId="77777777">
        <w:trPr>
          <w:jc w:val="center"/>
        </w:trPr>
        <w:tc>
          <w:tcPr>
            <w:tcW w:w="2163" w:type="pct"/>
            <w:shd w:val="clear" w:color="auto" w:fill="D9D9D9" w:themeFill="background1" w:themeFillShade="D9"/>
            <w:vAlign w:val="center"/>
          </w:tcPr>
          <w:p w14:paraId="582D82A8" w14:textId="77777777" w:rsidR="009E518A" w:rsidRDefault="00962C16">
            <w:pPr>
              <w:rPr>
                <w:rFonts w:ascii="Arial" w:hAnsi="Arial" w:cs="Arial"/>
                <w:b/>
              </w:rPr>
            </w:pPr>
            <w:r>
              <w:rPr>
                <w:rFonts w:ascii="Arial" w:hAnsi="Arial" w:cs="Arial"/>
                <w:b/>
              </w:rPr>
              <w:t>Assessment method</w:t>
            </w:r>
          </w:p>
        </w:tc>
        <w:tc>
          <w:tcPr>
            <w:tcW w:w="709" w:type="pct"/>
            <w:shd w:val="clear" w:color="auto" w:fill="D9D9D9" w:themeFill="background1" w:themeFillShade="D9"/>
            <w:vAlign w:val="center"/>
          </w:tcPr>
          <w:p w14:paraId="582D82A9" w14:textId="77777777" w:rsidR="009E518A" w:rsidRDefault="009E518A">
            <w:pPr>
              <w:jc w:val="center"/>
              <w:rPr>
                <w:rFonts w:ascii="Arial" w:hAnsi="Arial" w:cs="Arial"/>
              </w:rPr>
            </w:pPr>
          </w:p>
        </w:tc>
        <w:tc>
          <w:tcPr>
            <w:tcW w:w="709" w:type="pct"/>
            <w:shd w:val="clear" w:color="auto" w:fill="D9D9D9" w:themeFill="background1" w:themeFillShade="D9"/>
            <w:vAlign w:val="center"/>
          </w:tcPr>
          <w:p w14:paraId="582D82AA" w14:textId="77777777" w:rsidR="009E518A" w:rsidRDefault="009E518A">
            <w:pPr>
              <w:jc w:val="center"/>
              <w:rPr>
                <w:rFonts w:ascii="Arial" w:hAnsi="Arial" w:cs="Arial"/>
              </w:rPr>
            </w:pPr>
          </w:p>
        </w:tc>
        <w:tc>
          <w:tcPr>
            <w:tcW w:w="709" w:type="pct"/>
            <w:shd w:val="clear" w:color="auto" w:fill="D9D9D9" w:themeFill="background1" w:themeFillShade="D9"/>
            <w:vAlign w:val="center"/>
          </w:tcPr>
          <w:p w14:paraId="582D82AB" w14:textId="77777777" w:rsidR="009E518A" w:rsidRDefault="009E518A">
            <w:pPr>
              <w:jc w:val="center"/>
              <w:rPr>
                <w:rFonts w:ascii="Arial" w:hAnsi="Arial" w:cs="Arial"/>
              </w:rPr>
            </w:pPr>
          </w:p>
        </w:tc>
        <w:tc>
          <w:tcPr>
            <w:tcW w:w="709" w:type="pct"/>
            <w:shd w:val="clear" w:color="auto" w:fill="D9D9D9" w:themeFill="background1" w:themeFillShade="D9"/>
            <w:vAlign w:val="center"/>
          </w:tcPr>
          <w:p w14:paraId="582D82AC" w14:textId="77777777" w:rsidR="009E518A" w:rsidRDefault="009E518A">
            <w:pPr>
              <w:jc w:val="center"/>
              <w:rPr>
                <w:rFonts w:ascii="Arial" w:hAnsi="Arial" w:cs="Arial"/>
              </w:rPr>
            </w:pPr>
          </w:p>
        </w:tc>
      </w:tr>
      <w:tr w:rsidR="009E518A" w14:paraId="582D82B3" w14:textId="77777777">
        <w:trPr>
          <w:jc w:val="center"/>
        </w:trPr>
        <w:tc>
          <w:tcPr>
            <w:tcW w:w="2163" w:type="pct"/>
            <w:vAlign w:val="center"/>
          </w:tcPr>
          <w:p w14:paraId="582D82AE" w14:textId="77777777" w:rsidR="009E518A" w:rsidRDefault="00962C16">
            <w:pPr>
              <w:jc w:val="right"/>
              <w:rPr>
                <w:rFonts w:ascii="Arial" w:hAnsi="Arial" w:cs="Arial"/>
                <w:i/>
              </w:rPr>
            </w:pPr>
            <w:r>
              <w:rPr>
                <w:rFonts w:ascii="Arial" w:hAnsi="Arial" w:cs="Arial"/>
                <w:i/>
                <w:iCs/>
              </w:rPr>
              <w:t xml:space="preserve">Written </w:t>
            </w:r>
            <w:r>
              <w:rPr>
                <w:rFonts w:ascii="Arial" w:hAnsi="Arial" w:cs="Arial"/>
                <w:i/>
                <w:iCs/>
              </w:rPr>
              <w:t>Assignment</w:t>
            </w:r>
          </w:p>
        </w:tc>
        <w:tc>
          <w:tcPr>
            <w:tcW w:w="709" w:type="pct"/>
            <w:vAlign w:val="center"/>
          </w:tcPr>
          <w:p w14:paraId="582D82AF" w14:textId="77777777" w:rsidR="009E518A" w:rsidRDefault="00962C16">
            <w:pPr>
              <w:jc w:val="center"/>
              <w:rPr>
                <w:rFonts w:ascii="Arial" w:hAnsi="Arial" w:cs="Arial"/>
              </w:rPr>
            </w:pPr>
            <w:r>
              <w:rPr>
                <w:rFonts w:ascii="Arial" w:hAnsi="Arial" w:cs="Arial"/>
              </w:rPr>
              <w:t>X</w:t>
            </w:r>
          </w:p>
        </w:tc>
        <w:tc>
          <w:tcPr>
            <w:tcW w:w="709" w:type="pct"/>
            <w:vAlign w:val="center"/>
          </w:tcPr>
          <w:p w14:paraId="582D82B0" w14:textId="77777777" w:rsidR="009E518A" w:rsidRDefault="00962C16">
            <w:pPr>
              <w:jc w:val="center"/>
              <w:rPr>
                <w:rFonts w:ascii="Arial" w:hAnsi="Arial" w:cs="Arial"/>
              </w:rPr>
            </w:pPr>
            <w:r>
              <w:rPr>
                <w:rFonts w:ascii="Arial" w:hAnsi="Arial" w:cs="Arial"/>
              </w:rPr>
              <w:t>X</w:t>
            </w:r>
          </w:p>
        </w:tc>
        <w:tc>
          <w:tcPr>
            <w:tcW w:w="709" w:type="pct"/>
            <w:vAlign w:val="center"/>
          </w:tcPr>
          <w:p w14:paraId="582D82B1" w14:textId="77777777" w:rsidR="009E518A" w:rsidRDefault="00962C16">
            <w:pPr>
              <w:jc w:val="center"/>
              <w:rPr>
                <w:rFonts w:ascii="Arial" w:hAnsi="Arial" w:cs="Arial"/>
              </w:rPr>
            </w:pPr>
            <w:r>
              <w:rPr>
                <w:rFonts w:ascii="Arial" w:hAnsi="Arial" w:cs="Arial"/>
              </w:rPr>
              <w:t>X</w:t>
            </w:r>
          </w:p>
        </w:tc>
        <w:tc>
          <w:tcPr>
            <w:tcW w:w="709" w:type="pct"/>
            <w:vAlign w:val="center"/>
          </w:tcPr>
          <w:p w14:paraId="582D82B2" w14:textId="77777777" w:rsidR="009E518A" w:rsidRDefault="00962C16">
            <w:pPr>
              <w:jc w:val="center"/>
              <w:rPr>
                <w:rFonts w:ascii="Arial" w:hAnsi="Arial" w:cs="Arial"/>
              </w:rPr>
            </w:pPr>
            <w:r>
              <w:rPr>
                <w:rFonts w:ascii="Arial" w:hAnsi="Arial" w:cs="Arial"/>
              </w:rPr>
              <w:t>X</w:t>
            </w:r>
          </w:p>
        </w:tc>
      </w:tr>
      <w:tr w:rsidR="009E518A" w14:paraId="582D82B9" w14:textId="77777777">
        <w:trPr>
          <w:jc w:val="center"/>
        </w:trPr>
        <w:tc>
          <w:tcPr>
            <w:tcW w:w="2163" w:type="pct"/>
            <w:vAlign w:val="center"/>
          </w:tcPr>
          <w:p w14:paraId="582D82B4" w14:textId="77777777" w:rsidR="009E518A" w:rsidRDefault="00962C16">
            <w:pPr>
              <w:jc w:val="right"/>
              <w:rPr>
                <w:rFonts w:ascii="Arial" w:hAnsi="Arial" w:cs="Arial"/>
                <w:i/>
              </w:rPr>
            </w:pPr>
            <w:r>
              <w:rPr>
                <w:rFonts w:ascii="Arial" w:hAnsi="Arial" w:cs="Arial"/>
                <w:i/>
                <w:iCs/>
              </w:rPr>
              <w:t>Written Examination</w:t>
            </w:r>
          </w:p>
        </w:tc>
        <w:tc>
          <w:tcPr>
            <w:tcW w:w="709" w:type="pct"/>
            <w:vAlign w:val="center"/>
          </w:tcPr>
          <w:p w14:paraId="582D82B5" w14:textId="77777777" w:rsidR="009E518A" w:rsidRDefault="00962C16">
            <w:pPr>
              <w:jc w:val="center"/>
              <w:rPr>
                <w:rFonts w:ascii="Arial" w:hAnsi="Arial" w:cs="Arial"/>
              </w:rPr>
            </w:pPr>
            <w:r>
              <w:rPr>
                <w:rFonts w:ascii="Arial" w:hAnsi="Arial" w:cs="Arial"/>
              </w:rPr>
              <w:t>X</w:t>
            </w:r>
          </w:p>
        </w:tc>
        <w:tc>
          <w:tcPr>
            <w:tcW w:w="709" w:type="pct"/>
            <w:vAlign w:val="center"/>
          </w:tcPr>
          <w:p w14:paraId="582D82B6" w14:textId="77777777" w:rsidR="009E518A" w:rsidRDefault="00962C16">
            <w:pPr>
              <w:jc w:val="center"/>
              <w:rPr>
                <w:rFonts w:ascii="Arial" w:hAnsi="Arial" w:cs="Arial"/>
              </w:rPr>
            </w:pPr>
            <w:r>
              <w:rPr>
                <w:rFonts w:ascii="Arial" w:hAnsi="Arial" w:cs="Arial"/>
              </w:rPr>
              <w:t>X</w:t>
            </w:r>
          </w:p>
        </w:tc>
        <w:tc>
          <w:tcPr>
            <w:tcW w:w="709" w:type="pct"/>
            <w:vAlign w:val="center"/>
          </w:tcPr>
          <w:p w14:paraId="582D82B7" w14:textId="77777777" w:rsidR="009E518A" w:rsidRDefault="00962C16">
            <w:pPr>
              <w:jc w:val="center"/>
              <w:rPr>
                <w:rFonts w:ascii="Arial" w:hAnsi="Arial" w:cs="Arial"/>
              </w:rPr>
            </w:pPr>
            <w:r>
              <w:rPr>
                <w:rFonts w:ascii="Arial" w:hAnsi="Arial" w:cs="Arial"/>
              </w:rPr>
              <w:t>X</w:t>
            </w:r>
          </w:p>
        </w:tc>
        <w:tc>
          <w:tcPr>
            <w:tcW w:w="709" w:type="pct"/>
            <w:vAlign w:val="center"/>
          </w:tcPr>
          <w:p w14:paraId="582D82B8" w14:textId="77777777" w:rsidR="009E518A" w:rsidRDefault="00962C16">
            <w:pPr>
              <w:jc w:val="center"/>
              <w:rPr>
                <w:rFonts w:ascii="Arial" w:hAnsi="Arial" w:cs="Arial"/>
              </w:rPr>
            </w:pPr>
            <w:r>
              <w:rPr>
                <w:rFonts w:ascii="Arial" w:hAnsi="Arial" w:cs="Arial"/>
              </w:rPr>
              <w:t>X</w:t>
            </w:r>
          </w:p>
        </w:tc>
      </w:tr>
      <w:tr w:rsidR="009E518A" w14:paraId="582D82BF" w14:textId="77777777">
        <w:trPr>
          <w:jc w:val="center"/>
        </w:trPr>
        <w:tc>
          <w:tcPr>
            <w:tcW w:w="2163" w:type="pct"/>
            <w:vAlign w:val="center"/>
          </w:tcPr>
          <w:p w14:paraId="582D82BA" w14:textId="77777777" w:rsidR="009E518A" w:rsidRDefault="00962C16">
            <w:pPr>
              <w:jc w:val="right"/>
              <w:rPr>
                <w:rFonts w:ascii="Arial" w:hAnsi="Arial" w:cs="Arial"/>
                <w:i/>
                <w:iCs/>
              </w:rPr>
            </w:pPr>
            <w:r>
              <w:rPr>
                <w:rFonts w:ascii="Arial" w:hAnsi="Arial" w:cs="Arial"/>
                <w:i/>
                <w:iCs/>
              </w:rPr>
              <w:t>Attendance</w:t>
            </w:r>
          </w:p>
        </w:tc>
        <w:tc>
          <w:tcPr>
            <w:tcW w:w="709" w:type="pct"/>
            <w:vAlign w:val="center"/>
          </w:tcPr>
          <w:p w14:paraId="582D82BB" w14:textId="77777777" w:rsidR="009E518A" w:rsidRDefault="00962C16">
            <w:pPr>
              <w:jc w:val="center"/>
              <w:rPr>
                <w:rFonts w:ascii="Arial" w:hAnsi="Arial" w:cs="Arial"/>
              </w:rPr>
            </w:pPr>
            <w:r>
              <w:rPr>
                <w:rFonts w:ascii="Arial" w:hAnsi="Arial" w:cs="Arial"/>
              </w:rPr>
              <w:t>X</w:t>
            </w:r>
          </w:p>
        </w:tc>
        <w:tc>
          <w:tcPr>
            <w:tcW w:w="709" w:type="pct"/>
            <w:vAlign w:val="center"/>
          </w:tcPr>
          <w:p w14:paraId="582D82BC" w14:textId="77777777" w:rsidR="009E518A" w:rsidRDefault="00962C16">
            <w:pPr>
              <w:jc w:val="center"/>
              <w:rPr>
                <w:rFonts w:ascii="Arial" w:hAnsi="Arial" w:cs="Arial"/>
              </w:rPr>
            </w:pPr>
            <w:r>
              <w:rPr>
                <w:rFonts w:ascii="Arial" w:hAnsi="Arial" w:cs="Arial"/>
              </w:rPr>
              <w:t>X</w:t>
            </w:r>
          </w:p>
        </w:tc>
        <w:tc>
          <w:tcPr>
            <w:tcW w:w="709" w:type="pct"/>
            <w:vAlign w:val="center"/>
          </w:tcPr>
          <w:p w14:paraId="582D82BD" w14:textId="77777777" w:rsidR="009E518A" w:rsidRDefault="00962C16">
            <w:pPr>
              <w:jc w:val="center"/>
              <w:rPr>
                <w:rFonts w:ascii="Arial" w:hAnsi="Arial" w:cs="Arial"/>
              </w:rPr>
            </w:pPr>
            <w:r>
              <w:rPr>
                <w:rFonts w:ascii="Arial" w:hAnsi="Arial" w:cs="Arial"/>
              </w:rPr>
              <w:t>X</w:t>
            </w:r>
          </w:p>
        </w:tc>
        <w:tc>
          <w:tcPr>
            <w:tcW w:w="709" w:type="pct"/>
            <w:vAlign w:val="center"/>
          </w:tcPr>
          <w:p w14:paraId="582D82BE" w14:textId="77777777" w:rsidR="009E518A" w:rsidRDefault="00962C16">
            <w:pPr>
              <w:jc w:val="center"/>
              <w:rPr>
                <w:rFonts w:ascii="Arial" w:hAnsi="Arial" w:cs="Arial"/>
              </w:rPr>
            </w:pPr>
            <w:r>
              <w:rPr>
                <w:rFonts w:ascii="Arial" w:hAnsi="Arial" w:cs="Arial"/>
              </w:rPr>
              <w:t>X</w:t>
            </w:r>
          </w:p>
        </w:tc>
      </w:tr>
    </w:tbl>
    <w:p w14:paraId="582D82C0" w14:textId="77777777" w:rsidR="009E518A" w:rsidRDefault="009E518A">
      <w:pPr>
        <w:spacing w:after="120" w:line="240" w:lineRule="auto"/>
        <w:ind w:left="426" w:right="260"/>
        <w:rPr>
          <w:rFonts w:ascii="Arial" w:hAnsi="Arial" w:cs="Arial"/>
          <w:b/>
          <w:iCs/>
        </w:rPr>
      </w:pPr>
    </w:p>
    <w:p w14:paraId="582D82C1" w14:textId="77777777" w:rsidR="009E518A" w:rsidRDefault="00962C16">
      <w:pPr>
        <w:numPr>
          <w:ilvl w:val="0"/>
          <w:numId w:val="1"/>
        </w:numPr>
        <w:spacing w:after="120" w:line="240" w:lineRule="auto"/>
        <w:ind w:left="567" w:right="260" w:hanging="567"/>
        <w:jc w:val="both"/>
        <w:rPr>
          <w:rFonts w:ascii="Arial" w:hAnsi="Arial" w:cs="Arial"/>
          <w:iCs/>
        </w:rPr>
      </w:pPr>
      <w:r>
        <w:rPr>
          <w:rFonts w:ascii="Arial" w:hAnsi="Arial" w:cs="Arial"/>
          <w:b/>
          <w:bCs/>
        </w:rPr>
        <w:t xml:space="preserve">Inclusive module design </w:t>
      </w:r>
    </w:p>
    <w:p w14:paraId="582D82C2" w14:textId="77777777" w:rsidR="009E518A" w:rsidRDefault="00962C16">
      <w:pPr>
        <w:autoSpaceDE w:val="0"/>
        <w:autoSpaceDN w:val="0"/>
        <w:adjustRightInd w:val="0"/>
        <w:spacing w:after="120" w:line="240" w:lineRule="auto"/>
        <w:ind w:left="567" w:right="260"/>
        <w:jc w:val="both"/>
        <w:rPr>
          <w:rFonts w:ascii="Arial" w:hAnsi="Arial" w:cs="Arial"/>
        </w:rPr>
      </w:pPr>
      <w:r>
        <w:rPr>
          <w:rFonts w:ascii="Arial" w:hAnsi="Arial" w:cs="Arial"/>
        </w:rPr>
        <w:t xml:space="preserve">The School recognises and has embedded the expectations of current equality legislation, by ensuring that the module is as accessible as possible by design. </w:t>
      </w:r>
      <w:r>
        <w:rPr>
          <w:rFonts w:ascii="Arial" w:hAnsi="Arial" w:cs="Arial"/>
        </w:rPr>
        <w:t>Additional alternative arrangements for students with Inclusive Learning Plans (ILPs)/declared disabilities will be made on an individual basis, in consultation with the relevant policies and support services.</w:t>
      </w:r>
    </w:p>
    <w:p w14:paraId="582D82C3" w14:textId="77777777" w:rsidR="009E518A" w:rsidRDefault="00962C16">
      <w:pPr>
        <w:autoSpaceDE w:val="0"/>
        <w:autoSpaceDN w:val="0"/>
        <w:adjustRightInd w:val="0"/>
        <w:spacing w:after="120" w:line="240" w:lineRule="auto"/>
        <w:ind w:left="567" w:right="260"/>
        <w:jc w:val="both"/>
        <w:rPr>
          <w:rFonts w:ascii="Arial" w:hAnsi="Arial" w:cs="Arial"/>
        </w:rPr>
      </w:pPr>
      <w:r>
        <w:rPr>
          <w:rFonts w:ascii="Arial" w:hAnsi="Arial" w:cs="Arial"/>
        </w:rPr>
        <w:t>The inclusive practices in the guidance (see A</w:t>
      </w:r>
      <w:r>
        <w:rPr>
          <w:rFonts w:ascii="Arial" w:hAnsi="Arial" w:cs="Arial"/>
        </w:rPr>
        <w:t>nnex B Appendix A) have been considered in order to support all students in the following areas:</w:t>
      </w:r>
    </w:p>
    <w:p w14:paraId="582D82C4" w14:textId="77777777" w:rsidR="009E518A" w:rsidRDefault="00962C16">
      <w:pPr>
        <w:autoSpaceDE w:val="0"/>
        <w:autoSpaceDN w:val="0"/>
        <w:adjustRightInd w:val="0"/>
        <w:spacing w:after="120" w:line="240" w:lineRule="auto"/>
        <w:ind w:left="567" w:right="260"/>
        <w:jc w:val="both"/>
        <w:rPr>
          <w:rFonts w:ascii="Arial" w:hAnsi="Arial" w:cs="Arial"/>
          <w:bCs/>
        </w:rPr>
      </w:pPr>
      <w:r>
        <w:rPr>
          <w:rFonts w:ascii="Arial" w:hAnsi="Arial" w:cs="Arial"/>
        </w:rPr>
        <w:t xml:space="preserve">a) </w:t>
      </w:r>
      <w:r>
        <w:rPr>
          <w:rFonts w:ascii="Arial" w:hAnsi="Arial" w:cs="Arial"/>
          <w:bCs/>
        </w:rPr>
        <w:t>Accessible resources and curriculum</w:t>
      </w:r>
    </w:p>
    <w:p w14:paraId="582D82C5" w14:textId="77777777" w:rsidR="009E518A" w:rsidRDefault="00962C16">
      <w:pPr>
        <w:tabs>
          <w:tab w:val="left" w:pos="567"/>
        </w:tabs>
        <w:autoSpaceDE w:val="0"/>
        <w:autoSpaceDN w:val="0"/>
        <w:adjustRightInd w:val="0"/>
        <w:spacing w:after="120" w:line="240" w:lineRule="auto"/>
        <w:ind w:left="567" w:right="260"/>
        <w:jc w:val="both"/>
        <w:rPr>
          <w:rFonts w:ascii="Arial" w:hAnsi="Arial" w:cs="Arial"/>
          <w:color w:val="000000"/>
        </w:rPr>
      </w:pPr>
      <w:r>
        <w:rPr>
          <w:rFonts w:ascii="Arial" w:hAnsi="Arial" w:cs="Arial"/>
        </w:rPr>
        <w:t xml:space="preserve">b) </w:t>
      </w:r>
      <w:r>
        <w:rPr>
          <w:rFonts w:ascii="Arial" w:hAnsi="Arial" w:cs="Arial"/>
          <w:bCs/>
        </w:rPr>
        <w:t>Learning, teaching and assessment methods</w:t>
      </w:r>
    </w:p>
    <w:p w14:paraId="582D82C6" w14:textId="77777777" w:rsidR="009E518A" w:rsidRDefault="009E518A">
      <w:pPr>
        <w:spacing w:after="120" w:line="240" w:lineRule="auto"/>
        <w:ind w:left="426" w:right="260"/>
        <w:rPr>
          <w:rFonts w:ascii="Arial" w:hAnsi="Arial" w:cs="Arial"/>
          <w:i/>
          <w:iCs/>
        </w:rPr>
      </w:pPr>
    </w:p>
    <w:p w14:paraId="582D82C7" w14:textId="77777777" w:rsidR="009E518A" w:rsidRDefault="00962C16">
      <w:pPr>
        <w:numPr>
          <w:ilvl w:val="0"/>
          <w:numId w:val="1"/>
        </w:numPr>
        <w:spacing w:after="120" w:line="240" w:lineRule="auto"/>
        <w:ind w:left="567" w:right="260" w:hanging="567"/>
        <w:jc w:val="both"/>
        <w:rPr>
          <w:rFonts w:ascii="Arial" w:hAnsi="Arial" w:cs="Arial"/>
          <w:b/>
        </w:rPr>
      </w:pPr>
      <w:r>
        <w:rPr>
          <w:rFonts w:ascii="Arial" w:hAnsi="Arial" w:cs="Arial"/>
          <w:b/>
        </w:rPr>
        <w:t>Campus(es) or centre(s) where module will be delivered</w:t>
      </w:r>
    </w:p>
    <w:p w14:paraId="582D82C8" w14:textId="77777777" w:rsidR="009E518A" w:rsidRDefault="00962C16">
      <w:pPr>
        <w:spacing w:after="120" w:line="240" w:lineRule="auto"/>
        <w:ind w:left="567" w:right="260"/>
        <w:jc w:val="both"/>
        <w:rPr>
          <w:rFonts w:ascii="Arial" w:hAnsi="Arial" w:cs="Arial"/>
          <w:b/>
        </w:rPr>
      </w:pPr>
      <w:r>
        <w:rPr>
          <w:rFonts w:ascii="Arial" w:hAnsi="Arial" w:cs="Arial"/>
        </w:rPr>
        <w:t>Medway</w:t>
      </w:r>
    </w:p>
    <w:p w14:paraId="582D82C9" w14:textId="77777777" w:rsidR="009E518A" w:rsidRDefault="009E518A">
      <w:pPr>
        <w:spacing w:after="120" w:line="240" w:lineRule="auto"/>
        <w:ind w:left="426" w:right="260"/>
        <w:rPr>
          <w:rFonts w:ascii="Arial" w:hAnsi="Arial" w:cs="Arial"/>
          <w:i/>
          <w:iCs/>
        </w:rPr>
      </w:pPr>
    </w:p>
    <w:p w14:paraId="582D82CA" w14:textId="77777777" w:rsidR="009E518A" w:rsidRDefault="00962C16">
      <w:pPr>
        <w:numPr>
          <w:ilvl w:val="0"/>
          <w:numId w:val="1"/>
        </w:numPr>
        <w:spacing w:after="120" w:line="240" w:lineRule="auto"/>
        <w:ind w:left="567" w:right="261" w:hanging="568"/>
        <w:jc w:val="both"/>
        <w:rPr>
          <w:rFonts w:ascii="Arial" w:hAnsi="Arial" w:cs="Arial"/>
          <w:b/>
        </w:rPr>
      </w:pPr>
      <w:r>
        <w:rPr>
          <w:rFonts w:ascii="Arial" w:hAnsi="Arial" w:cs="Arial"/>
          <w:b/>
        </w:rPr>
        <w:t xml:space="preserve">Internationalisation </w:t>
      </w:r>
    </w:p>
    <w:p w14:paraId="582D82CB" w14:textId="77777777" w:rsidR="009E518A" w:rsidRDefault="00962C16">
      <w:pPr>
        <w:spacing w:after="120" w:line="240" w:lineRule="auto"/>
        <w:ind w:left="567" w:right="260"/>
        <w:jc w:val="both"/>
        <w:rPr>
          <w:rFonts w:ascii="Arial" w:hAnsi="Arial" w:cs="Arial"/>
        </w:rPr>
      </w:pPr>
      <w:r>
        <w:rPr>
          <w:rFonts w:ascii="Arial" w:hAnsi="Arial" w:cs="Arial"/>
        </w:rPr>
        <w:t>This module focuses on scientific developments that are occurring world-wide and across borders.</w:t>
      </w:r>
    </w:p>
    <w:p w14:paraId="582D82CC" w14:textId="77777777" w:rsidR="009E518A" w:rsidRDefault="00962C16">
      <w:pPr>
        <w:spacing w:after="120" w:line="240" w:lineRule="auto"/>
        <w:ind w:left="567" w:right="260"/>
        <w:jc w:val="both"/>
        <w:rPr>
          <w:rFonts w:ascii="Arial" w:hAnsi="Arial" w:cs="Arial"/>
          <w:i/>
          <w:iCs/>
        </w:rPr>
      </w:pPr>
      <w:r>
        <w:rPr>
          <w:rFonts w:ascii="Arial" w:hAnsi="Arial" w:cs="Arial"/>
        </w:rPr>
        <w:t>The staff involved in teaching this module have had substantial training abroad and this will further the international nature of the del</w:t>
      </w:r>
      <w:r>
        <w:rPr>
          <w:rFonts w:ascii="Arial" w:hAnsi="Arial" w:cs="Arial"/>
        </w:rPr>
        <w:t>ivery of this module.</w:t>
      </w:r>
    </w:p>
    <w:p w14:paraId="582D82CD" w14:textId="77777777" w:rsidR="009E518A" w:rsidRDefault="009E518A">
      <w:pPr>
        <w:pBdr>
          <w:bottom w:val="single" w:sz="6" w:space="1" w:color="auto"/>
        </w:pBdr>
        <w:spacing w:after="120" w:line="240" w:lineRule="auto"/>
        <w:ind w:right="260"/>
        <w:rPr>
          <w:rFonts w:ascii="Arial" w:hAnsi="Arial" w:cs="Arial"/>
        </w:rPr>
      </w:pPr>
    </w:p>
    <w:p w14:paraId="582D82CE" w14:textId="77777777" w:rsidR="009E518A" w:rsidRDefault="00962C16">
      <w:pPr>
        <w:spacing w:after="120" w:line="240" w:lineRule="auto"/>
        <w:ind w:right="260"/>
        <w:rPr>
          <w:rFonts w:ascii="Arial" w:hAnsi="Arial" w:cs="Arial"/>
          <w:b/>
          <w:sz w:val="20"/>
        </w:rPr>
      </w:pPr>
      <w:r>
        <w:rPr>
          <w:rFonts w:ascii="Arial" w:hAnsi="Arial" w:cs="Arial"/>
          <w:b/>
          <w:sz w:val="20"/>
        </w:rPr>
        <w:t xml:space="preserve">FACULTIES SUPPORT OFFICE USE ONLY </w:t>
      </w:r>
    </w:p>
    <w:p w14:paraId="582D82CF" w14:textId="77777777" w:rsidR="009E518A" w:rsidRDefault="00962C16">
      <w:pPr>
        <w:spacing w:after="120" w:line="240" w:lineRule="auto"/>
        <w:ind w:right="260"/>
        <w:rPr>
          <w:rFonts w:ascii="Arial" w:hAnsi="Arial" w:cs="Arial"/>
          <w:b/>
          <w:sz w:val="20"/>
        </w:rPr>
      </w:pPr>
      <w:r>
        <w:rPr>
          <w:rFonts w:ascii="Arial" w:hAnsi="Arial" w:cs="Arial"/>
          <w:b/>
          <w:sz w:val="20"/>
        </w:rPr>
        <w:t>Revision record – all revisions must be recorded in the grid and full details of the change retained in the appropriate committee records.</w:t>
      </w:r>
    </w:p>
    <w:tbl>
      <w:tblPr>
        <w:tblStyle w:val="TableGrid"/>
        <w:tblW w:w="10682" w:type="dxa"/>
        <w:tblLook w:val="04A0" w:firstRow="1" w:lastRow="0" w:firstColumn="1" w:lastColumn="0" w:noHBand="0" w:noVBand="1"/>
      </w:tblPr>
      <w:tblGrid>
        <w:gridCol w:w="1526"/>
        <w:gridCol w:w="1701"/>
        <w:gridCol w:w="2410"/>
        <w:gridCol w:w="2448"/>
        <w:gridCol w:w="2597"/>
      </w:tblGrid>
      <w:tr w:rsidR="009E518A" w14:paraId="582D82D5" w14:textId="77777777">
        <w:trPr>
          <w:trHeight w:val="317"/>
        </w:trPr>
        <w:tc>
          <w:tcPr>
            <w:tcW w:w="1526" w:type="dxa"/>
          </w:tcPr>
          <w:p w14:paraId="582D82D0" w14:textId="77777777" w:rsidR="009E518A" w:rsidRDefault="00962C16">
            <w:pPr>
              <w:spacing w:after="120"/>
              <w:ind w:right="-330"/>
              <w:rPr>
                <w:rFonts w:ascii="Arial" w:hAnsi="Arial" w:cs="Arial"/>
                <w:sz w:val="18"/>
              </w:rPr>
            </w:pPr>
            <w:r>
              <w:rPr>
                <w:rFonts w:ascii="Arial" w:hAnsi="Arial" w:cs="Arial"/>
                <w:sz w:val="18"/>
              </w:rPr>
              <w:t>Date approved</w:t>
            </w:r>
          </w:p>
        </w:tc>
        <w:tc>
          <w:tcPr>
            <w:tcW w:w="1701" w:type="dxa"/>
          </w:tcPr>
          <w:p w14:paraId="582D82D1" w14:textId="77777777" w:rsidR="009E518A" w:rsidRDefault="00962C16">
            <w:pPr>
              <w:spacing w:after="120"/>
              <w:rPr>
                <w:rFonts w:ascii="Arial" w:hAnsi="Arial" w:cs="Arial"/>
                <w:sz w:val="18"/>
              </w:rPr>
            </w:pPr>
            <w:r>
              <w:rPr>
                <w:rFonts w:ascii="Arial" w:hAnsi="Arial" w:cs="Arial"/>
                <w:sz w:val="18"/>
              </w:rPr>
              <w:t>Major/minor revision</w:t>
            </w:r>
          </w:p>
        </w:tc>
        <w:tc>
          <w:tcPr>
            <w:tcW w:w="2410" w:type="dxa"/>
          </w:tcPr>
          <w:p w14:paraId="582D82D2" w14:textId="77777777" w:rsidR="009E518A" w:rsidRDefault="00962C16">
            <w:pPr>
              <w:spacing w:after="120"/>
              <w:ind w:right="-34"/>
              <w:rPr>
                <w:rFonts w:ascii="Arial" w:hAnsi="Arial" w:cs="Arial"/>
                <w:sz w:val="18"/>
              </w:rPr>
            </w:pPr>
            <w:r>
              <w:rPr>
                <w:rFonts w:ascii="Arial" w:hAnsi="Arial" w:cs="Arial"/>
                <w:sz w:val="18"/>
              </w:rPr>
              <w:t xml:space="preserve">Start date of the </w:t>
            </w:r>
            <w:r>
              <w:rPr>
                <w:rFonts w:ascii="Arial" w:hAnsi="Arial" w:cs="Arial"/>
                <w:sz w:val="18"/>
              </w:rPr>
              <w:t>delivery of  revised version</w:t>
            </w:r>
          </w:p>
        </w:tc>
        <w:tc>
          <w:tcPr>
            <w:tcW w:w="2448" w:type="dxa"/>
          </w:tcPr>
          <w:p w14:paraId="582D82D3" w14:textId="77777777" w:rsidR="009E518A" w:rsidRDefault="00962C16">
            <w:pPr>
              <w:spacing w:after="120"/>
              <w:ind w:right="-330"/>
              <w:rPr>
                <w:rFonts w:ascii="Arial" w:hAnsi="Arial" w:cs="Arial"/>
                <w:sz w:val="18"/>
              </w:rPr>
            </w:pPr>
            <w:r>
              <w:rPr>
                <w:rFonts w:ascii="Arial" w:hAnsi="Arial" w:cs="Arial"/>
                <w:sz w:val="18"/>
              </w:rPr>
              <w:t>Section revised</w:t>
            </w:r>
          </w:p>
        </w:tc>
        <w:tc>
          <w:tcPr>
            <w:tcW w:w="2597" w:type="dxa"/>
          </w:tcPr>
          <w:p w14:paraId="582D82D4" w14:textId="77777777" w:rsidR="009E518A" w:rsidRDefault="00962C16">
            <w:pPr>
              <w:spacing w:after="120"/>
              <w:ind w:right="-330"/>
              <w:rPr>
                <w:rFonts w:ascii="Arial" w:hAnsi="Arial" w:cs="Arial"/>
                <w:sz w:val="18"/>
              </w:rPr>
            </w:pPr>
            <w:r>
              <w:rPr>
                <w:rFonts w:ascii="Arial" w:hAnsi="Arial" w:cs="Arial"/>
                <w:sz w:val="18"/>
              </w:rPr>
              <w:t>Impacts PLOs (Q6&amp;7 cover sheet)</w:t>
            </w:r>
          </w:p>
        </w:tc>
      </w:tr>
      <w:tr w:rsidR="009E518A" w14:paraId="582D82DB" w14:textId="77777777">
        <w:trPr>
          <w:trHeight w:val="305"/>
        </w:trPr>
        <w:tc>
          <w:tcPr>
            <w:tcW w:w="1526" w:type="dxa"/>
          </w:tcPr>
          <w:p w14:paraId="582D82D6" w14:textId="77777777" w:rsidR="009E518A" w:rsidRDefault="009E518A">
            <w:pPr>
              <w:spacing w:after="120"/>
              <w:ind w:right="-330"/>
              <w:rPr>
                <w:rFonts w:ascii="Arial" w:hAnsi="Arial" w:cs="Arial"/>
              </w:rPr>
            </w:pPr>
          </w:p>
        </w:tc>
        <w:tc>
          <w:tcPr>
            <w:tcW w:w="1701" w:type="dxa"/>
          </w:tcPr>
          <w:p w14:paraId="582D82D7" w14:textId="77777777" w:rsidR="009E518A" w:rsidRDefault="009E518A">
            <w:pPr>
              <w:spacing w:after="120"/>
              <w:ind w:right="-330"/>
              <w:rPr>
                <w:rFonts w:ascii="Arial" w:hAnsi="Arial" w:cs="Arial"/>
              </w:rPr>
            </w:pPr>
          </w:p>
        </w:tc>
        <w:tc>
          <w:tcPr>
            <w:tcW w:w="2410" w:type="dxa"/>
          </w:tcPr>
          <w:p w14:paraId="582D82D8" w14:textId="77777777" w:rsidR="009E518A" w:rsidRDefault="009E518A">
            <w:pPr>
              <w:spacing w:after="120"/>
              <w:ind w:right="-330"/>
              <w:rPr>
                <w:rFonts w:ascii="Arial" w:hAnsi="Arial" w:cs="Arial"/>
              </w:rPr>
            </w:pPr>
          </w:p>
        </w:tc>
        <w:tc>
          <w:tcPr>
            <w:tcW w:w="2448" w:type="dxa"/>
          </w:tcPr>
          <w:p w14:paraId="582D82D9" w14:textId="77777777" w:rsidR="009E518A" w:rsidRDefault="009E518A">
            <w:pPr>
              <w:spacing w:after="120"/>
              <w:ind w:right="-330"/>
              <w:rPr>
                <w:rFonts w:ascii="Arial" w:hAnsi="Arial" w:cs="Arial"/>
              </w:rPr>
            </w:pPr>
          </w:p>
        </w:tc>
        <w:tc>
          <w:tcPr>
            <w:tcW w:w="2597" w:type="dxa"/>
          </w:tcPr>
          <w:p w14:paraId="582D82DA" w14:textId="77777777" w:rsidR="009E518A" w:rsidRDefault="009E518A">
            <w:pPr>
              <w:spacing w:after="120"/>
              <w:ind w:right="-330"/>
              <w:rPr>
                <w:rFonts w:ascii="Arial" w:hAnsi="Arial" w:cs="Arial"/>
              </w:rPr>
            </w:pPr>
          </w:p>
        </w:tc>
      </w:tr>
      <w:tr w:rsidR="009E518A" w14:paraId="582D82E1" w14:textId="77777777">
        <w:trPr>
          <w:trHeight w:val="305"/>
        </w:trPr>
        <w:tc>
          <w:tcPr>
            <w:tcW w:w="1526" w:type="dxa"/>
          </w:tcPr>
          <w:p w14:paraId="582D82DC" w14:textId="77777777" w:rsidR="009E518A" w:rsidRDefault="009E518A">
            <w:pPr>
              <w:spacing w:after="120"/>
              <w:ind w:right="-330"/>
              <w:rPr>
                <w:rFonts w:ascii="Arial" w:hAnsi="Arial" w:cs="Arial"/>
              </w:rPr>
            </w:pPr>
          </w:p>
        </w:tc>
        <w:tc>
          <w:tcPr>
            <w:tcW w:w="1701" w:type="dxa"/>
          </w:tcPr>
          <w:p w14:paraId="582D82DD" w14:textId="77777777" w:rsidR="009E518A" w:rsidRDefault="009E518A">
            <w:pPr>
              <w:spacing w:after="120"/>
              <w:ind w:right="-330"/>
              <w:rPr>
                <w:rFonts w:ascii="Arial" w:hAnsi="Arial" w:cs="Arial"/>
              </w:rPr>
            </w:pPr>
          </w:p>
        </w:tc>
        <w:tc>
          <w:tcPr>
            <w:tcW w:w="2410" w:type="dxa"/>
          </w:tcPr>
          <w:p w14:paraId="582D82DE" w14:textId="77777777" w:rsidR="009E518A" w:rsidRDefault="009E518A">
            <w:pPr>
              <w:spacing w:after="120"/>
              <w:ind w:right="-330"/>
              <w:rPr>
                <w:rFonts w:ascii="Arial" w:hAnsi="Arial" w:cs="Arial"/>
              </w:rPr>
            </w:pPr>
          </w:p>
        </w:tc>
        <w:tc>
          <w:tcPr>
            <w:tcW w:w="2448" w:type="dxa"/>
          </w:tcPr>
          <w:p w14:paraId="582D82DF" w14:textId="77777777" w:rsidR="009E518A" w:rsidRDefault="009E518A">
            <w:pPr>
              <w:spacing w:after="120"/>
              <w:ind w:right="-330"/>
              <w:rPr>
                <w:rFonts w:ascii="Arial" w:hAnsi="Arial" w:cs="Arial"/>
              </w:rPr>
            </w:pPr>
          </w:p>
        </w:tc>
        <w:tc>
          <w:tcPr>
            <w:tcW w:w="2597" w:type="dxa"/>
          </w:tcPr>
          <w:p w14:paraId="582D82E0" w14:textId="77777777" w:rsidR="009E518A" w:rsidRDefault="009E518A">
            <w:pPr>
              <w:spacing w:after="120"/>
              <w:ind w:right="-330"/>
              <w:rPr>
                <w:rFonts w:ascii="Arial" w:hAnsi="Arial" w:cs="Arial"/>
              </w:rPr>
            </w:pPr>
          </w:p>
        </w:tc>
      </w:tr>
    </w:tbl>
    <w:p w14:paraId="582D82E2" w14:textId="77777777" w:rsidR="009E518A" w:rsidRDefault="009E518A">
      <w:pPr>
        <w:spacing w:after="120" w:line="240" w:lineRule="auto"/>
        <w:ind w:right="-330"/>
        <w:rPr>
          <w:rFonts w:ascii="Arial" w:hAnsi="Arial" w:cs="Arial"/>
        </w:rPr>
      </w:pPr>
    </w:p>
    <w:p w14:paraId="582D82E3" w14:textId="77777777" w:rsidR="009E518A" w:rsidRDefault="00962C16">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9E518A">
      <w:headerReference w:type="default" r:id="rId12"/>
      <w:footerReference w:type="default" r:id="rId13"/>
      <w:headerReference w:type="first" r:id="rId14"/>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2D82E7" w14:textId="77777777" w:rsidR="009E518A" w:rsidRDefault="00962C16">
      <w:pPr>
        <w:spacing w:after="0" w:line="240" w:lineRule="auto"/>
      </w:pPr>
      <w:r>
        <w:separator/>
      </w:r>
    </w:p>
  </w:endnote>
  <w:endnote w:type="continuationSeparator" w:id="0">
    <w:p w14:paraId="582D82E8" w14:textId="77777777" w:rsidR="009E518A" w:rsidRDefault="00962C16">
      <w:pPr>
        <w:spacing w:after="0" w:line="240" w:lineRule="auto"/>
      </w:pPr>
      <w:r>
        <w:continuationSeparator/>
      </w:r>
    </w:p>
  </w:endnote>
  <w:endnote w:type="continuationNotice" w:id="1">
    <w:p w14:paraId="582D82E9" w14:textId="77777777" w:rsidR="009E518A" w:rsidRDefault="009E518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82D82ED" w14:textId="56D8E613" w:rsidR="009E518A" w:rsidRDefault="00962C16">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582D82EE" w14:textId="77777777" w:rsidR="009E518A" w:rsidRDefault="00962C16">
    <w:pPr>
      <w:pStyle w:val="Footer"/>
      <w:spacing w:after="120"/>
      <w:ind w:right="-330"/>
      <w:rPr>
        <w:rFonts w:ascii="Arial" w:hAnsi="Arial"/>
        <w:sz w:val="18"/>
      </w:rPr>
    </w:pPr>
    <w:r>
      <w:rPr>
        <w:rFonts w:ascii="Arial" w:hAnsi="Arial"/>
        <w:sz w:val="18"/>
      </w:rPr>
      <w:t>Reviewed and approved at the School Education Committee 24/04/2019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2D82E4" w14:textId="77777777" w:rsidR="009E518A" w:rsidRDefault="00962C16">
      <w:pPr>
        <w:spacing w:after="0" w:line="240" w:lineRule="auto"/>
      </w:pPr>
      <w:r>
        <w:separator/>
      </w:r>
    </w:p>
  </w:footnote>
  <w:footnote w:type="continuationSeparator" w:id="0">
    <w:p w14:paraId="582D82E5" w14:textId="77777777" w:rsidR="009E518A" w:rsidRDefault="00962C16">
      <w:pPr>
        <w:spacing w:after="0" w:line="240" w:lineRule="auto"/>
      </w:pPr>
      <w:r>
        <w:continuationSeparator/>
      </w:r>
    </w:p>
  </w:footnote>
  <w:footnote w:type="continuationNotice" w:id="1">
    <w:p w14:paraId="582D82E6" w14:textId="77777777" w:rsidR="009E518A" w:rsidRDefault="009E518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D82EA" w14:textId="77777777" w:rsidR="009E518A" w:rsidRDefault="00962C16">
    <w:pPr>
      <w:jc w:val="center"/>
      <w:rPr>
        <w:rFonts w:ascii="Arial" w:hAnsi="Arial" w:cs="Arial"/>
        <w:b/>
        <w:sz w:val="28"/>
        <w:szCs w:val="28"/>
      </w:rPr>
    </w:pPr>
    <w:r>
      <w:rPr>
        <w:rFonts w:ascii="Arial" w:hAnsi="Arial" w:cs="Arial"/>
        <w:b/>
        <w:noProof/>
        <w:sz w:val="28"/>
        <w:szCs w:val="28"/>
      </w:rPr>
      <w:drawing>
        <wp:anchor distT="0" distB="0" distL="114300" distR="114300" simplePos="0" relativeHeight="251658240" behindDoc="1" locked="0" layoutInCell="1" allowOverlap="1" wp14:anchorId="582D82F1" wp14:editId="582D82F2">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582D82EB" w14:textId="77777777" w:rsidR="009E518A" w:rsidRDefault="009E518A">
    <w:pPr>
      <w:pStyle w:val="Heading1"/>
      <w:spacing w:before="60" w:after="60"/>
      <w:rPr>
        <w:rFonts w:ascii="Arial" w:hAnsi="Arial" w:cs="Arial"/>
      </w:rPr>
    </w:pPr>
  </w:p>
  <w:p w14:paraId="582D82EC" w14:textId="77777777" w:rsidR="009E518A" w:rsidRDefault="009E51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D82EF" w14:textId="77777777" w:rsidR="009E518A" w:rsidRDefault="00962C16">
    <w:pPr>
      <w:jc w:val="center"/>
      <w:rPr>
        <w:rFonts w:ascii="Arial" w:hAnsi="Arial" w:cs="Arial"/>
        <w:b/>
        <w:sz w:val="28"/>
        <w:szCs w:val="28"/>
      </w:rPr>
    </w:pPr>
    <w:r>
      <w:rPr>
        <w:rFonts w:ascii="Arial" w:hAnsi="Arial" w:cs="Arial"/>
        <w:b/>
        <w:noProof/>
        <w:sz w:val="28"/>
        <w:szCs w:val="28"/>
      </w:rPr>
      <w:drawing>
        <wp:anchor distT="0" distB="0" distL="114300" distR="114300" simplePos="0" relativeHeight="251658241" behindDoc="1" locked="0" layoutInCell="1" allowOverlap="1" wp14:anchorId="582D82F3" wp14:editId="582D82F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582D82F0" w14:textId="77777777" w:rsidR="009E518A" w:rsidRDefault="009E51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4711D9D"/>
    <w:multiLevelType w:val="hybridMultilevel"/>
    <w:tmpl w:val="5080D6B2"/>
    <w:lvl w:ilvl="0" w:tplc="0EA656CE">
      <w:start w:val="1"/>
      <w:numFmt w:val="lowerLetter"/>
      <w:lvlText w:val="%1."/>
      <w:lvlJc w:val="left"/>
      <w:pPr>
        <w:ind w:left="1146" w:hanging="360"/>
      </w:pPr>
      <w:rPr>
        <w:b w:val="0"/>
        <w:i w:val="0"/>
        <w:caps w:val="0"/>
        <w:strike w:val="0"/>
        <w:dstrike w:val="0"/>
        <w:vanish w:val="0"/>
        <w:webHidden w:val="0"/>
        <w:kern w:val="0"/>
        <w:sz w:val="22"/>
        <w:szCs w:val="22"/>
        <w:u w:val="none"/>
        <w:effect w:val="none"/>
        <w:vertAlign w:val="baseline"/>
        <w:specVanish w:val="0"/>
        <w14:cntxtAlts w14:val="0"/>
      </w:rPr>
    </w:lvl>
    <w:lvl w:ilvl="1" w:tplc="0809001B">
      <w:start w:val="1"/>
      <w:numFmt w:val="lowerRoman"/>
      <w:lvlText w:val="%2."/>
      <w:lvlJc w:val="right"/>
      <w:pPr>
        <w:ind w:left="1866" w:hanging="360"/>
      </w:pPr>
    </w:lvl>
    <w:lvl w:ilvl="2" w:tplc="08090005">
      <w:start w:val="1"/>
      <w:numFmt w:val="bullet"/>
      <w:lvlText w:val=""/>
      <w:lvlJc w:val="left"/>
      <w:pPr>
        <w:ind w:left="2586" w:hanging="360"/>
      </w:pPr>
      <w:rPr>
        <w:rFonts w:ascii="Wingdings" w:hAnsi="Wingdings" w:hint="default"/>
      </w:rPr>
    </w:lvl>
    <w:lvl w:ilvl="3" w:tplc="08090001">
      <w:start w:val="1"/>
      <w:numFmt w:val="bullet"/>
      <w:lvlText w:val=""/>
      <w:lvlJc w:val="left"/>
      <w:pPr>
        <w:ind w:left="3306" w:hanging="360"/>
      </w:pPr>
      <w:rPr>
        <w:rFonts w:ascii="Symbol" w:hAnsi="Symbol" w:hint="default"/>
      </w:rPr>
    </w:lvl>
    <w:lvl w:ilvl="4" w:tplc="08090003">
      <w:start w:val="1"/>
      <w:numFmt w:val="bullet"/>
      <w:lvlText w:val="o"/>
      <w:lvlJc w:val="left"/>
      <w:pPr>
        <w:ind w:left="4026" w:hanging="360"/>
      </w:pPr>
      <w:rPr>
        <w:rFonts w:ascii="Courier New" w:hAnsi="Courier New" w:cs="Courier New" w:hint="default"/>
      </w:rPr>
    </w:lvl>
    <w:lvl w:ilvl="5" w:tplc="08090005">
      <w:start w:val="1"/>
      <w:numFmt w:val="bullet"/>
      <w:lvlText w:val=""/>
      <w:lvlJc w:val="left"/>
      <w:pPr>
        <w:ind w:left="4746" w:hanging="360"/>
      </w:pPr>
      <w:rPr>
        <w:rFonts w:ascii="Wingdings" w:hAnsi="Wingdings" w:hint="default"/>
      </w:rPr>
    </w:lvl>
    <w:lvl w:ilvl="6" w:tplc="08090001">
      <w:start w:val="1"/>
      <w:numFmt w:val="bullet"/>
      <w:lvlText w:val=""/>
      <w:lvlJc w:val="left"/>
      <w:pPr>
        <w:ind w:left="5466" w:hanging="360"/>
      </w:pPr>
      <w:rPr>
        <w:rFonts w:ascii="Symbol" w:hAnsi="Symbol" w:hint="default"/>
      </w:rPr>
    </w:lvl>
    <w:lvl w:ilvl="7" w:tplc="08090003">
      <w:start w:val="1"/>
      <w:numFmt w:val="bullet"/>
      <w:lvlText w:val="o"/>
      <w:lvlJc w:val="left"/>
      <w:pPr>
        <w:ind w:left="6186" w:hanging="360"/>
      </w:pPr>
      <w:rPr>
        <w:rFonts w:ascii="Courier New" w:hAnsi="Courier New" w:cs="Courier New" w:hint="default"/>
      </w:rPr>
    </w:lvl>
    <w:lvl w:ilvl="8" w:tplc="08090005">
      <w:start w:val="1"/>
      <w:numFmt w:val="bullet"/>
      <w:lvlText w:val=""/>
      <w:lvlJc w:val="left"/>
      <w:pPr>
        <w:ind w:left="6906" w:hanging="360"/>
      </w:pPr>
      <w:rPr>
        <w:rFonts w:ascii="Wingdings" w:hAnsi="Wingding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61B523FA"/>
    <w:multiLevelType w:val="hybridMultilevel"/>
    <w:tmpl w:val="EDA44EF2"/>
    <w:lvl w:ilvl="0" w:tplc="0809001B">
      <w:start w:val="1"/>
      <w:numFmt w:val="lowerRoman"/>
      <w:lvlText w:val="%1."/>
      <w:lvlJc w:val="right"/>
      <w:pPr>
        <w:ind w:left="1506" w:hanging="360"/>
      </w:pPr>
      <w:rPr>
        <w:b w:val="0"/>
        <w:i w:val="0"/>
        <w:caps w:val="0"/>
        <w:strike w:val="0"/>
        <w:dstrike w:val="0"/>
        <w:vanish w:val="0"/>
        <w:webHidden w:val="0"/>
        <w:kern w:val="0"/>
        <w:sz w:val="22"/>
        <w:u w:val="none"/>
        <w:effect w:val="none"/>
        <w:vertAlign w:val="baseline"/>
        <w:specVanish w:val="0"/>
        <w14:cntxtAlts w14:val="0"/>
      </w:rPr>
    </w:lvl>
    <w:lvl w:ilvl="1" w:tplc="08090003">
      <w:start w:val="1"/>
      <w:numFmt w:val="bullet"/>
      <w:lvlText w:val="o"/>
      <w:lvlJc w:val="left"/>
      <w:pPr>
        <w:ind w:left="2226" w:hanging="360"/>
      </w:pPr>
      <w:rPr>
        <w:rFonts w:ascii="Courier New" w:hAnsi="Courier New" w:cs="Courier New" w:hint="default"/>
      </w:rPr>
    </w:lvl>
    <w:lvl w:ilvl="2" w:tplc="08090005">
      <w:start w:val="1"/>
      <w:numFmt w:val="bullet"/>
      <w:lvlText w:val=""/>
      <w:lvlJc w:val="left"/>
      <w:pPr>
        <w:ind w:left="2946" w:hanging="360"/>
      </w:pPr>
      <w:rPr>
        <w:rFonts w:ascii="Wingdings" w:hAnsi="Wingdings" w:hint="default"/>
      </w:rPr>
    </w:lvl>
    <w:lvl w:ilvl="3" w:tplc="08090001">
      <w:start w:val="1"/>
      <w:numFmt w:val="bullet"/>
      <w:lvlText w:val=""/>
      <w:lvlJc w:val="left"/>
      <w:pPr>
        <w:ind w:left="3666" w:hanging="360"/>
      </w:pPr>
      <w:rPr>
        <w:rFonts w:ascii="Symbol" w:hAnsi="Symbol" w:hint="default"/>
      </w:rPr>
    </w:lvl>
    <w:lvl w:ilvl="4" w:tplc="08090003">
      <w:start w:val="1"/>
      <w:numFmt w:val="bullet"/>
      <w:lvlText w:val="o"/>
      <w:lvlJc w:val="left"/>
      <w:pPr>
        <w:ind w:left="4386" w:hanging="360"/>
      </w:pPr>
      <w:rPr>
        <w:rFonts w:ascii="Courier New" w:hAnsi="Courier New" w:cs="Courier New" w:hint="default"/>
      </w:rPr>
    </w:lvl>
    <w:lvl w:ilvl="5" w:tplc="08090005">
      <w:start w:val="1"/>
      <w:numFmt w:val="bullet"/>
      <w:lvlText w:val=""/>
      <w:lvlJc w:val="left"/>
      <w:pPr>
        <w:ind w:left="5106" w:hanging="360"/>
      </w:pPr>
      <w:rPr>
        <w:rFonts w:ascii="Wingdings" w:hAnsi="Wingdings" w:hint="default"/>
      </w:rPr>
    </w:lvl>
    <w:lvl w:ilvl="6" w:tplc="08090001">
      <w:start w:val="1"/>
      <w:numFmt w:val="bullet"/>
      <w:lvlText w:val=""/>
      <w:lvlJc w:val="left"/>
      <w:pPr>
        <w:ind w:left="5826" w:hanging="360"/>
      </w:pPr>
      <w:rPr>
        <w:rFonts w:ascii="Symbol" w:hAnsi="Symbol" w:hint="default"/>
      </w:rPr>
    </w:lvl>
    <w:lvl w:ilvl="7" w:tplc="08090003">
      <w:start w:val="1"/>
      <w:numFmt w:val="bullet"/>
      <w:lvlText w:val="o"/>
      <w:lvlJc w:val="left"/>
      <w:pPr>
        <w:ind w:left="6546" w:hanging="360"/>
      </w:pPr>
      <w:rPr>
        <w:rFonts w:ascii="Courier New" w:hAnsi="Courier New" w:cs="Courier New" w:hint="default"/>
      </w:rPr>
    </w:lvl>
    <w:lvl w:ilvl="8" w:tplc="08090005">
      <w:start w:val="1"/>
      <w:numFmt w:val="bullet"/>
      <w:lvlText w:val=""/>
      <w:lvlJc w:val="left"/>
      <w:pPr>
        <w:ind w:left="7266" w:hanging="360"/>
      </w:pPr>
      <w:rPr>
        <w:rFonts w:ascii="Wingdings" w:hAnsi="Wingdings" w:hint="default"/>
      </w:rPr>
    </w:lvl>
  </w:abstractNum>
  <w:abstractNum w:abstractNumId="10" w15:restartNumberingAfterBreak="0">
    <w:nsid w:val="659C6837"/>
    <w:multiLevelType w:val="hybridMultilevel"/>
    <w:tmpl w:val="35EE4F0C"/>
    <w:lvl w:ilvl="0" w:tplc="9D14B49C">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1" w15:restartNumberingAfterBreak="0">
    <w:nsid w:val="6B84007B"/>
    <w:multiLevelType w:val="hybridMultilevel"/>
    <w:tmpl w:val="35EE4F0C"/>
    <w:lvl w:ilvl="0" w:tplc="9D14B49C">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15:restartNumberingAfterBreak="0">
    <w:nsid w:val="73292FA8"/>
    <w:multiLevelType w:val="hybridMultilevel"/>
    <w:tmpl w:val="E23CA7E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8"/>
  </w:num>
  <w:num w:numId="6">
    <w:abstractNumId w:val="6"/>
  </w:num>
  <w:num w:numId="7">
    <w:abstractNumId w:val="13"/>
  </w:num>
  <w:num w:numId="8">
    <w:abstractNumId w:val="7"/>
  </w:num>
  <w:num w:numId="9">
    <w:abstractNumId w:val="4"/>
  </w:num>
  <w:num w:numId="10">
    <w:abstractNumId w:val="10"/>
  </w:num>
  <w:num w:numId="11">
    <w:abstractNumId w:val="12"/>
  </w:num>
  <w:num w:numId="12">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5"/>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10"/>
  <w:displayHorizontalDrawingGridEvery w:val="2"/>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18A"/>
    <w:rsid w:val="00962C16"/>
    <w:rsid w:val="009E51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82D8253"/>
  <w15:docId w15:val="{5909B4D7-B60A-47FE-A3EE-A9A20D2A5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lang w:eastAsia="en-GB"/>
    </w:rPr>
  </w:style>
  <w:style w:type="paragraph" w:styleId="Heading1">
    <w:name w:val="heading 1"/>
    <w:basedOn w:val="Normal"/>
    <w:next w:val="Normal"/>
    <w:link w:val="Heading1Char"/>
    <w:qFormat/>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customStyle="1" w:styleId="Default">
    <w:name w:val="Default"/>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eastAsiaTheme="minorEastAsia"/>
      <w:lang w:eastAsia="en-GB"/>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eastAsiaTheme="minorEastAsia"/>
      <w:lang w:eastAsia="en-GB"/>
    </w:rPr>
  </w:style>
  <w:style w:type="character" w:customStyle="1" w:styleId="Heading1Char">
    <w:name w:val="Heading 1 Char"/>
    <w:basedOn w:val="DefaultParagraphFont"/>
    <w:link w:val="Heading1"/>
    <w:rPr>
      <w:rFonts w:ascii="Plantin" w:eastAsia="Times New Roman" w:hAnsi="Plantin" w:cs="Times New Roman"/>
      <w:b/>
      <w:sz w:val="24"/>
      <w:szCs w:val="20"/>
    </w:rPr>
  </w:style>
  <w:style w:type="paragraph" w:styleId="ListBullet">
    <w:name w:val="List Bullet"/>
    <w:basedOn w:val="Normal"/>
    <w:uiPriority w:val="99"/>
    <w:unhideWhenUsed/>
    <w:pPr>
      <w:numPr>
        <w:numId w:val="2"/>
      </w:numPr>
      <w:contextualSpacing/>
    </w:pPr>
  </w:style>
  <w:style w:type="table" w:styleId="TableGrid">
    <w:name w:val="Table Grid"/>
    <w:basedOn w:val="TableNormal"/>
    <w:uiPriority w:val="59"/>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Pr>
      <w:rFonts w:ascii="Plantin" w:eastAsia="Times New Roman" w:hAnsi="Plantin" w:cs="Times New Roman"/>
      <w:b/>
      <w:sz w:val="24"/>
      <w:szCs w:val="20"/>
    </w:rPr>
  </w:style>
  <w:style w:type="paragraph" w:styleId="FootnoteText">
    <w:name w:val="footnote text"/>
    <w:basedOn w:val="Normal"/>
    <w:link w:val="FootnoteTextChar"/>
    <w:semiHidden/>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Pr>
      <w:rFonts w:ascii="Times New Roman" w:eastAsia="Times New Roman" w:hAnsi="Times New Roman" w:cs="Times New Roman"/>
      <w:sz w:val="20"/>
      <w:szCs w:val="20"/>
    </w:rPr>
  </w:style>
  <w:style w:type="character" w:styleId="FootnoteReference">
    <w:name w:val="footnote reference"/>
    <w:semiHidden/>
    <w:rPr>
      <w:vertAlign w:val="superscript"/>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Pr>
      <w:color w:val="800080" w:themeColor="followed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eastAsiaTheme="minorEastAsia"/>
      <w:b/>
      <w:bCs/>
      <w:sz w:val="20"/>
      <w:szCs w:val="20"/>
      <w:lang w:eastAsia="en-GB"/>
    </w:r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style>
  <w:style w:type="paragraph" w:styleId="PlainText">
    <w:name w:val="Plain Text"/>
    <w:basedOn w:val="Normal"/>
    <w:link w:val="PlainTextChar"/>
    <w:uiPriority w:val="99"/>
    <w:unhideWhenUsed/>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3617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568418866">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554092">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999115497">
      <w:bodyDiv w:val="1"/>
      <w:marLeft w:val="0"/>
      <w:marRight w:val="0"/>
      <w:marTop w:val="0"/>
      <w:marBottom w:val="0"/>
      <w:divBdr>
        <w:top w:val="none" w:sz="0" w:space="0" w:color="auto"/>
        <w:left w:val="none" w:sz="0" w:space="0" w:color="auto"/>
        <w:bottom w:val="none" w:sz="0" w:space="0" w:color="auto"/>
        <w:right w:val="none" w:sz="0" w:space="0" w:color="auto"/>
      </w:divBdr>
    </w:div>
    <w:div w:id="1128283310">
      <w:bodyDiv w:val="1"/>
      <w:marLeft w:val="0"/>
      <w:marRight w:val="0"/>
      <w:marTop w:val="0"/>
      <w:marBottom w:val="0"/>
      <w:divBdr>
        <w:top w:val="none" w:sz="0" w:space="0" w:color="auto"/>
        <w:left w:val="none" w:sz="0" w:space="0" w:color="auto"/>
        <w:bottom w:val="none" w:sz="0" w:space="0" w:color="auto"/>
        <w:right w:val="none" w:sz="0" w:space="0" w:color="auto"/>
      </w:divBdr>
    </w:div>
    <w:div w:id="1327048667">
      <w:bodyDiv w:val="1"/>
      <w:marLeft w:val="0"/>
      <w:marRight w:val="0"/>
      <w:marTop w:val="0"/>
      <w:marBottom w:val="0"/>
      <w:divBdr>
        <w:top w:val="none" w:sz="0" w:space="0" w:color="auto"/>
        <w:left w:val="none" w:sz="0" w:space="0" w:color="auto"/>
        <w:bottom w:val="none" w:sz="0" w:space="0" w:color="auto"/>
        <w:right w:val="none" w:sz="0" w:space="0" w:color="auto"/>
      </w:divBdr>
    </w:div>
    <w:div w:id="1590381458">
      <w:bodyDiv w:val="1"/>
      <w:marLeft w:val="0"/>
      <w:marRight w:val="0"/>
      <w:marTop w:val="0"/>
      <w:marBottom w:val="0"/>
      <w:divBdr>
        <w:top w:val="none" w:sz="0" w:space="0" w:color="auto"/>
        <w:left w:val="none" w:sz="0" w:space="0" w:color="auto"/>
        <w:bottom w:val="none" w:sz="0" w:space="0" w:color="auto"/>
        <w:right w:val="none" w:sz="0" w:space="0" w:color="auto"/>
      </w:divBdr>
    </w:div>
    <w:div w:id="1643538131">
      <w:bodyDiv w:val="1"/>
      <w:marLeft w:val="0"/>
      <w:marRight w:val="0"/>
      <w:marTop w:val="0"/>
      <w:marBottom w:val="0"/>
      <w:divBdr>
        <w:top w:val="none" w:sz="0" w:space="0" w:color="auto"/>
        <w:left w:val="none" w:sz="0" w:space="0" w:color="auto"/>
        <w:bottom w:val="none" w:sz="0" w:space="0" w:color="auto"/>
        <w:right w:val="none" w:sz="0" w:space="0" w:color="auto"/>
      </w:divBdr>
    </w:div>
    <w:div w:id="1903563113">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203654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798F0416E893F4984621239176F6BA9" ma:contentTypeVersion="1" ma:contentTypeDescription="Create a new document." ma:contentTypeScope="" ma:versionID="e88ec3eea8ba4aeaf0bd9f1944705f51">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3AMX4D3CU3N3-1394680045-146</_dlc_DocId>
    <_dlc_DocIdUrl xmlns="ef2b9e05-657a-4dc1-8c6c-679bdea18f38">
      <Url>https://sharepoint.kent.ac.uk/fso/cmaproject/_layouts/15/DocIdRedir.aspx?ID=3AMX4D3CU3N3-1394680045-146</Url>
      <Description>3AMX4D3CU3N3-1394680045-146</Description>
    </_dlc_DocIdUrl>
    <_dlc_DocIdPersistId xmlns="ef2b9e05-657a-4dc1-8c6c-679bdea18f38">false</_dlc_DocIdPersistId>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ED318-11B1-4230-806E-3B5C1F0FEBFE}">
  <ds:schemaRefs>
    <ds:schemaRef ds:uri="http://schemas.microsoft.com/sharepoint/v3/contenttype/forms"/>
  </ds:schemaRefs>
</ds:datastoreItem>
</file>

<file path=customXml/itemProps2.xml><?xml version="1.0" encoding="utf-8"?>
<ds:datastoreItem xmlns:ds="http://schemas.openxmlformats.org/officeDocument/2006/customXml" ds:itemID="{A24904F5-3030-4F47-BF4A-B279BCEC7C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4AFBEC-08DD-4165-8506-BC5F37E80C51}">
  <ds:schemaRefs>
    <ds:schemaRef ds:uri="http://schemas.microsoft.com/sharepoint/events"/>
  </ds:schemaRefs>
</ds:datastoreItem>
</file>

<file path=customXml/itemProps4.xml><?xml version="1.0" encoding="utf-8"?>
<ds:datastoreItem xmlns:ds="http://schemas.openxmlformats.org/officeDocument/2006/customXml" ds:itemID="{4AA3CAD4-7338-4777-BF29-E2215065709E}">
  <ds:schemaRefs>
    <ds:schemaRef ds:uri="ef2b9e05-657a-4dc1-8c6c-679bdea18f38"/>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www.w3.org/XML/1998/namespace"/>
    <ds:schemaRef ds:uri="http://purl.org/dc/terms/"/>
  </ds:schemaRefs>
</ds:datastoreItem>
</file>

<file path=customXml/itemProps5.xml><?xml version="1.0" encoding="utf-8"?>
<ds:datastoreItem xmlns:ds="http://schemas.openxmlformats.org/officeDocument/2006/customXml" ds:itemID="{2837EEDD-D231-420C-80DD-E6DD9681D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802</Words>
  <Characters>4573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Olivia Matthes-Buck</dc:creator>
  <cp:lastModifiedBy>Jo Stoner</cp:lastModifiedBy>
  <cp:revision>2</cp:revision>
  <cp:lastPrinted>2015-09-09T08:37:00Z</cp:lastPrinted>
  <dcterms:created xsi:type="dcterms:W3CDTF">2019-11-20T11:27:00Z</dcterms:created>
  <dcterms:modified xsi:type="dcterms:W3CDTF">2019-11-20T11:27:00Z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0x0101007798F0416E893F4984621239176F6BA9</vt:lpwstr>
  </property>
  <property fmtid="{D5CDD505-2E9C-101B-9397-08002B2CF9AE}" pid="3" name="_dlc_DocIdItemGuid">
    <vt:lpwstr>1b9921ea-9a72-4f26-8a3f-09b7bda983a0</vt:lpwstr>
  </property>
  <property fmtid="{D5CDD505-2E9C-101B-9397-08002B2CF9AE}" pid="4" name="Order">
    <vt:r8>5600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