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D7C1E" w14:textId="77777777" w:rsidR="003B753C" w:rsidRDefault="00292DD7">
      <w:pPr>
        <w:tabs>
          <w:tab w:val="left" w:pos="8389"/>
        </w:tabs>
        <w:spacing w:after="120" w:line="240" w:lineRule="auto"/>
        <w:ind w:right="26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14:paraId="60BD7C1F" w14:textId="77777777" w:rsidR="003B753C" w:rsidRDefault="00292DD7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of the module</w:t>
      </w:r>
    </w:p>
    <w:p w14:paraId="60BD7C20" w14:textId="77777777" w:rsidR="003B753C" w:rsidRDefault="00292DD7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PHAM1005 </w:t>
      </w:r>
      <w:r>
        <w:rPr>
          <w:rFonts w:ascii="Arial" w:hAnsi="Arial" w:cs="Arial"/>
          <w:iCs/>
        </w:rPr>
        <w:t>- Introduction to Pharmacy: Professional Skills, Law and Ethics</w:t>
      </w:r>
    </w:p>
    <w:p w14:paraId="60BD7C21" w14:textId="77777777" w:rsidR="003B753C" w:rsidRDefault="003B753C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60BD7C22" w14:textId="77777777" w:rsidR="003B753C" w:rsidRDefault="00292DD7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or partner institution which will be responsible for management of the module</w:t>
      </w:r>
    </w:p>
    <w:p w14:paraId="60BD7C23" w14:textId="77777777" w:rsidR="003B753C" w:rsidRDefault="00292DD7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Medway School of Pharmacy</w:t>
      </w:r>
    </w:p>
    <w:p w14:paraId="60BD7C24" w14:textId="77777777" w:rsidR="003B753C" w:rsidRDefault="003B753C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0BD7C25" w14:textId="77777777" w:rsidR="003B753C" w:rsidRDefault="00292DD7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(Level 4, Level 5, Level 6 or Level 7)</w:t>
      </w:r>
    </w:p>
    <w:p w14:paraId="60BD7C26" w14:textId="77777777" w:rsidR="003B753C" w:rsidRDefault="00292DD7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Level 4</w:t>
      </w:r>
    </w:p>
    <w:p w14:paraId="60BD7C27" w14:textId="77777777" w:rsidR="003B753C" w:rsidRDefault="003B753C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0BD7C28" w14:textId="77777777" w:rsidR="003B753C" w:rsidRDefault="00292DD7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number of credits and the ECTS value which the module represents </w:t>
      </w:r>
    </w:p>
    <w:p w14:paraId="60BD7C29" w14:textId="77777777" w:rsidR="003B753C" w:rsidRDefault="00292DD7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 credits (15 ECTS)</w:t>
      </w:r>
    </w:p>
    <w:p w14:paraId="60BD7C2A" w14:textId="77777777" w:rsidR="003B753C" w:rsidRDefault="003B753C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60BD7C2B" w14:textId="77777777" w:rsidR="003B753C" w:rsidRDefault="00292DD7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Which term(s) the module is to be taught in (or other teaching </w:t>
      </w:r>
      <w:r>
        <w:rPr>
          <w:rFonts w:ascii="Arial" w:hAnsi="Arial" w:cs="Arial"/>
          <w:b/>
        </w:rPr>
        <w:t>pattern)</w:t>
      </w:r>
    </w:p>
    <w:p w14:paraId="60BD7C2C" w14:textId="77777777" w:rsidR="003B753C" w:rsidRDefault="00292DD7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Autumn and Spring</w:t>
      </w:r>
    </w:p>
    <w:p w14:paraId="60BD7C2D" w14:textId="77777777" w:rsidR="003B753C" w:rsidRDefault="003B753C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0BD7C2E" w14:textId="77777777" w:rsidR="003B753C" w:rsidRDefault="00292DD7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Prerequisite and co-requisite modules</w:t>
      </w:r>
    </w:p>
    <w:p w14:paraId="60BD7C2F" w14:textId="77777777" w:rsidR="003B753C" w:rsidRDefault="00292DD7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Co-requisites:</w:t>
      </w:r>
    </w:p>
    <w:p w14:paraId="60BD7C30" w14:textId="77777777" w:rsidR="003B753C" w:rsidRDefault="00292DD7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PHAM1054 </w:t>
      </w:r>
      <w:r>
        <w:rPr>
          <w:rFonts w:ascii="Arial" w:hAnsi="Arial" w:cs="Arial"/>
          <w:iCs/>
        </w:rPr>
        <w:t>- Molecules, Cells and Body Systems: Cell Biology and Biochemistry</w:t>
      </w:r>
    </w:p>
    <w:p w14:paraId="60BD7C31" w14:textId="77777777" w:rsidR="003B753C" w:rsidRDefault="00292DD7">
      <w:pPr>
        <w:spacing w:after="120" w:line="240" w:lineRule="auto"/>
        <w:ind w:left="567" w:right="26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PHAM1003 - </w:t>
      </w:r>
      <w:r>
        <w:rPr>
          <w:rFonts w:ascii="Arial" w:hAnsi="Arial" w:cs="Arial"/>
          <w:bCs/>
        </w:rPr>
        <w:t>Molecules, Cells and Body Systems: Physiology and Pharmacology</w:t>
      </w:r>
    </w:p>
    <w:p w14:paraId="60BD7C32" w14:textId="77777777" w:rsidR="003B753C" w:rsidRDefault="00292DD7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PHAM1004 </w:t>
      </w:r>
      <w:r>
        <w:rPr>
          <w:rFonts w:ascii="Arial" w:hAnsi="Arial" w:cs="Arial"/>
          <w:iCs/>
        </w:rPr>
        <w:t>- Medicinal Prod</w:t>
      </w:r>
      <w:r>
        <w:rPr>
          <w:rFonts w:ascii="Arial" w:hAnsi="Arial" w:cs="Arial"/>
          <w:iCs/>
        </w:rPr>
        <w:t>ucts: Chemistry and Pharmaceutics for Pharmacy</w:t>
      </w:r>
    </w:p>
    <w:p w14:paraId="60BD7C33" w14:textId="77777777" w:rsidR="003B753C" w:rsidRDefault="003B753C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0BD7C34" w14:textId="77777777" w:rsidR="003B753C" w:rsidRDefault="00292DD7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programmes of study to which the module contributes</w:t>
      </w:r>
    </w:p>
    <w:p w14:paraId="60BD7C35" w14:textId="77777777" w:rsidR="003B753C" w:rsidRDefault="00292DD7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MPharm (Master of Pharmacy)</w:t>
      </w:r>
    </w:p>
    <w:p w14:paraId="60BD7C36" w14:textId="77777777" w:rsidR="003B753C" w:rsidRDefault="003B753C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0BD7C37" w14:textId="77777777" w:rsidR="003B753C" w:rsidRDefault="00292DD7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intended subject specific learning outcomes.</w:t>
      </w:r>
      <w:r>
        <w:rPr>
          <w:rFonts w:ascii="Arial" w:hAnsi="Arial" w:cs="Arial"/>
          <w:b/>
        </w:rPr>
        <w:br/>
        <w:t>On successfully completing the module students will be able to:</w:t>
      </w:r>
    </w:p>
    <w:p w14:paraId="60BD7C38" w14:textId="77777777" w:rsidR="003B753C" w:rsidRDefault="00292DD7">
      <w:pPr>
        <w:pStyle w:val="ListParagraph"/>
        <w:numPr>
          <w:ilvl w:val="0"/>
          <w:numId w:val="18"/>
        </w:numPr>
        <w:spacing w:after="120" w:line="240" w:lineRule="auto"/>
        <w:ind w:left="1077" w:right="261" w:hanging="357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Understand</w:t>
      </w:r>
      <w:r>
        <w:rPr>
          <w:rFonts w:ascii="Arial" w:hAnsi="Arial" w:cs="Arial"/>
          <w:iCs/>
        </w:rPr>
        <w:t xml:space="preserve"> the roles and the responsibilities of the General Pharmaceutical Council and a basic knowledge of the legal framework within which a pharmacist works</w:t>
      </w:r>
    </w:p>
    <w:p w14:paraId="60BD7C39" w14:textId="77777777" w:rsidR="003B753C" w:rsidRDefault="00292DD7">
      <w:pPr>
        <w:pStyle w:val="ListParagraph"/>
        <w:numPr>
          <w:ilvl w:val="0"/>
          <w:numId w:val="18"/>
        </w:numPr>
        <w:spacing w:after="120" w:line="240" w:lineRule="auto"/>
        <w:ind w:left="1077" w:right="261" w:hanging="357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Understand the ethical and legal responsibilities of the pharmacist</w:t>
      </w:r>
    </w:p>
    <w:p w14:paraId="60BD7C3A" w14:textId="77777777" w:rsidR="003B753C" w:rsidRDefault="00292DD7">
      <w:pPr>
        <w:pStyle w:val="ListParagraph"/>
        <w:numPr>
          <w:ilvl w:val="0"/>
          <w:numId w:val="18"/>
        </w:numPr>
        <w:spacing w:after="120" w:line="240" w:lineRule="auto"/>
        <w:ind w:left="1077" w:right="261" w:hanging="357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Have practical skills and an ability </w:t>
      </w:r>
      <w:r>
        <w:rPr>
          <w:rFonts w:ascii="Arial" w:hAnsi="Arial" w:cs="Arial"/>
          <w:iCs/>
        </w:rPr>
        <w:t>to dispense prescriptions in a simulated environment including assembly manufacture and dose calculation</w:t>
      </w:r>
    </w:p>
    <w:p w14:paraId="60BD7C3B" w14:textId="77777777" w:rsidR="003B753C" w:rsidRDefault="00292DD7">
      <w:pPr>
        <w:pStyle w:val="ListParagraph"/>
        <w:numPr>
          <w:ilvl w:val="0"/>
          <w:numId w:val="18"/>
        </w:numPr>
        <w:spacing w:after="120" w:line="240" w:lineRule="auto"/>
        <w:ind w:left="1077" w:right="261" w:hanging="357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Have knowledge and understanding of the documentary evidence required to be maintained by pharmacists to support their continuing professional developm</w:t>
      </w:r>
      <w:r>
        <w:rPr>
          <w:rFonts w:ascii="Arial" w:hAnsi="Arial" w:cs="Arial"/>
          <w:iCs/>
        </w:rPr>
        <w:t>ent</w:t>
      </w:r>
    </w:p>
    <w:p w14:paraId="60BD7C3C" w14:textId="77777777" w:rsidR="003B753C" w:rsidRDefault="00292DD7">
      <w:pPr>
        <w:pStyle w:val="ListParagraph"/>
        <w:numPr>
          <w:ilvl w:val="0"/>
          <w:numId w:val="18"/>
        </w:numPr>
        <w:spacing w:after="120" w:line="240" w:lineRule="auto"/>
        <w:ind w:left="1077" w:right="261" w:hanging="357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Undertake pharmaceutical calculations without the use of a calculator</w:t>
      </w:r>
    </w:p>
    <w:p w14:paraId="60BD7C3D" w14:textId="77777777" w:rsidR="003B753C" w:rsidRDefault="003B753C">
      <w:pPr>
        <w:spacing w:after="120" w:line="240" w:lineRule="auto"/>
        <w:ind w:left="567" w:right="260"/>
        <w:rPr>
          <w:rFonts w:ascii="Arial" w:hAnsi="Arial" w:cs="Arial"/>
          <w:i/>
        </w:rPr>
      </w:pPr>
    </w:p>
    <w:p w14:paraId="60BD7C3E" w14:textId="77777777" w:rsidR="003B753C" w:rsidRDefault="00292DD7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intended generic learning outcomes.</w:t>
      </w:r>
      <w:r>
        <w:rPr>
          <w:rFonts w:ascii="Arial" w:hAnsi="Arial" w:cs="Arial"/>
          <w:b/>
        </w:rPr>
        <w:br/>
        <w:t>On successfully completing the module students will be able to:</w:t>
      </w:r>
    </w:p>
    <w:p w14:paraId="60BD7C3F" w14:textId="77777777" w:rsidR="003B753C" w:rsidRDefault="00292DD7">
      <w:pPr>
        <w:pStyle w:val="Default"/>
        <w:numPr>
          <w:ilvl w:val="0"/>
          <w:numId w:val="19"/>
        </w:numPr>
        <w:autoSpaceDE/>
        <w:autoSpaceDN/>
        <w:adjustRightInd/>
        <w:spacing w:after="120"/>
        <w:ind w:left="1077" w:right="261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Knowledge of how the pharmacist may use communication and interpersonal skill</w:t>
      </w:r>
      <w:r>
        <w:rPr>
          <w:color w:val="auto"/>
          <w:sz w:val="22"/>
          <w:szCs w:val="22"/>
        </w:rPr>
        <w:t>s to build working relationships with patients and colleagues</w:t>
      </w:r>
    </w:p>
    <w:p w14:paraId="60BD7C40" w14:textId="77777777" w:rsidR="003B753C" w:rsidRDefault="00292DD7">
      <w:pPr>
        <w:pStyle w:val="Default"/>
        <w:numPr>
          <w:ilvl w:val="0"/>
          <w:numId w:val="19"/>
        </w:numPr>
        <w:autoSpaceDE/>
        <w:autoSpaceDN/>
        <w:adjustRightInd/>
        <w:spacing w:after="120"/>
        <w:ind w:left="1077" w:right="261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 ability to describe the range of skills required for lifelong learning</w:t>
      </w:r>
    </w:p>
    <w:p w14:paraId="60BD7C41" w14:textId="77777777" w:rsidR="003B753C" w:rsidRDefault="00292DD7">
      <w:pPr>
        <w:pStyle w:val="Default"/>
        <w:numPr>
          <w:ilvl w:val="0"/>
          <w:numId w:val="19"/>
        </w:numPr>
        <w:autoSpaceDE/>
        <w:autoSpaceDN/>
        <w:adjustRightInd/>
        <w:spacing w:after="120"/>
        <w:ind w:left="1077" w:right="261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 ability to develop a portfolio, which reflects their progress in learning</w:t>
      </w:r>
    </w:p>
    <w:p w14:paraId="60BD7C42" w14:textId="77777777" w:rsidR="003B753C" w:rsidRDefault="003B753C">
      <w:pPr>
        <w:pStyle w:val="Default"/>
        <w:spacing w:after="120"/>
        <w:ind w:right="260"/>
        <w:rPr>
          <w:color w:val="auto"/>
          <w:sz w:val="22"/>
          <w:szCs w:val="22"/>
        </w:rPr>
      </w:pPr>
    </w:p>
    <w:p w14:paraId="60BD7C43" w14:textId="77777777" w:rsidR="003B753C" w:rsidRDefault="00292DD7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synopsis of the curriculum</w:t>
      </w:r>
    </w:p>
    <w:p w14:paraId="60BD7C44" w14:textId="77777777" w:rsidR="003B753C" w:rsidRDefault="00292DD7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This module aims to provide the foundation for the pharmacy practice theme which span all 4 years of the MPharm programme. Students will be given an introduction to dispensing and the legal and ethical responsibilities of pharmacists, and to the General Ph</w:t>
      </w:r>
      <w:r>
        <w:rPr>
          <w:rFonts w:ascii="Arial" w:hAnsi="Arial" w:cs="Arial"/>
          <w:iCs/>
        </w:rPr>
        <w:t>armaceutical Council. The Module also introduces students to the concept of continuing professional development (CPD) with the formation of a reflective portfolio. The module introduces students to the concept of safe dispensing, accurate dose and dosage c</w:t>
      </w:r>
      <w:r>
        <w:rPr>
          <w:rFonts w:ascii="Arial" w:hAnsi="Arial" w:cs="Arial"/>
          <w:iCs/>
        </w:rPr>
        <w:t>alculation and commences preparation for the standards of numeracy expected of pharmacy students by the external regulator.</w:t>
      </w:r>
    </w:p>
    <w:p w14:paraId="60BD7C45" w14:textId="77777777" w:rsidR="003B753C" w:rsidRDefault="00292DD7">
      <w:pPr>
        <w:spacing w:after="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Specific learning objectives include:</w:t>
      </w:r>
    </w:p>
    <w:p w14:paraId="60BD7C46" w14:textId="77777777" w:rsidR="003B753C" w:rsidRDefault="003B753C">
      <w:pPr>
        <w:spacing w:after="0" w:line="240" w:lineRule="auto"/>
        <w:ind w:right="260"/>
        <w:rPr>
          <w:rFonts w:ascii="Arial" w:hAnsi="Arial" w:cs="Arial"/>
          <w:iCs/>
        </w:rPr>
      </w:pPr>
    </w:p>
    <w:p w14:paraId="60BD7C47" w14:textId="77777777" w:rsidR="003B753C" w:rsidRDefault="00292DD7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1. Overview of Pharmacy Practice</w:t>
      </w:r>
    </w:p>
    <w:p w14:paraId="60BD7C48" w14:textId="77777777" w:rsidR="003B753C" w:rsidRDefault="00292DD7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Functions of the General Pharmaceutical Council</w:t>
      </w:r>
    </w:p>
    <w:p w14:paraId="60BD7C49" w14:textId="77777777" w:rsidR="003B753C" w:rsidRDefault="00292DD7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Function of </w:t>
      </w:r>
      <w:r>
        <w:rPr>
          <w:rFonts w:ascii="Arial" w:hAnsi="Arial" w:cs="Arial"/>
          <w:iCs/>
        </w:rPr>
        <w:t>the Royal Pharmaceutical Society</w:t>
      </w:r>
    </w:p>
    <w:p w14:paraId="60BD7C4A" w14:textId="77777777" w:rsidR="003B753C" w:rsidRDefault="00292DD7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Role of the pharmacist within the National Health Service (NHS) organisation</w:t>
      </w:r>
    </w:p>
    <w:p w14:paraId="60BD7C4B" w14:textId="77777777" w:rsidR="003B753C" w:rsidRDefault="00292DD7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2. Professional Standards in Practice</w:t>
      </w:r>
    </w:p>
    <w:p w14:paraId="60BD7C4C" w14:textId="77777777" w:rsidR="003B753C" w:rsidRDefault="00292DD7">
      <w:pPr>
        <w:pStyle w:val="ListParagraph"/>
        <w:numPr>
          <w:ilvl w:val="0"/>
          <w:numId w:val="11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Code of Ethics and Professional Standards relating to pharmacy and pharmacy students</w:t>
      </w:r>
    </w:p>
    <w:p w14:paraId="60BD7C4D" w14:textId="77777777" w:rsidR="003B753C" w:rsidRDefault="00292DD7">
      <w:pPr>
        <w:pStyle w:val="ListParagraph"/>
        <w:numPr>
          <w:ilvl w:val="0"/>
          <w:numId w:val="11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CPD and use of a reflec</w:t>
      </w:r>
      <w:r>
        <w:rPr>
          <w:rFonts w:ascii="Arial" w:hAnsi="Arial" w:cs="Arial"/>
          <w:iCs/>
        </w:rPr>
        <w:t>tive portfolio</w:t>
      </w:r>
    </w:p>
    <w:p w14:paraId="60BD7C4E" w14:textId="77777777" w:rsidR="003B753C" w:rsidRDefault="00292DD7">
      <w:pPr>
        <w:pStyle w:val="ListParagraph"/>
        <w:numPr>
          <w:ilvl w:val="0"/>
          <w:numId w:val="11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Role of the GPhC in the maintenance of professional standards</w:t>
      </w:r>
    </w:p>
    <w:p w14:paraId="60BD7C4F" w14:textId="77777777" w:rsidR="003B753C" w:rsidRDefault="00292DD7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3. Prescribing, Supply and Administration of Medicines</w:t>
      </w:r>
    </w:p>
    <w:p w14:paraId="60BD7C50" w14:textId="77777777" w:rsidR="003B753C" w:rsidRDefault="00292DD7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Laws governing prescribing, supply and administration of medicines</w:t>
      </w:r>
    </w:p>
    <w:p w14:paraId="60BD7C51" w14:textId="77777777" w:rsidR="003B753C" w:rsidRDefault="00292DD7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Ethical issues</w:t>
      </w:r>
    </w:p>
    <w:p w14:paraId="60BD7C52" w14:textId="77777777" w:rsidR="003B753C" w:rsidRDefault="00292DD7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Interpretation of prescriptions in terms o</w:t>
      </w:r>
      <w:r>
        <w:rPr>
          <w:rFonts w:ascii="Arial" w:hAnsi="Arial" w:cs="Arial"/>
          <w:iCs/>
        </w:rPr>
        <w:t>f legal validity, technical accuracy and clinical appropriateness (drug dosage and indication)</w:t>
      </w:r>
    </w:p>
    <w:p w14:paraId="60BD7C53" w14:textId="77777777" w:rsidR="003B753C" w:rsidRDefault="00292DD7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Accurate dispensing of prescriptions</w:t>
      </w:r>
    </w:p>
    <w:p w14:paraId="60BD7C54" w14:textId="77777777" w:rsidR="003B753C" w:rsidRDefault="00292DD7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Responding to symptoms – introduction – coughs and cold and dyspepsia</w:t>
      </w:r>
    </w:p>
    <w:p w14:paraId="60BD7C55" w14:textId="77777777" w:rsidR="003B753C" w:rsidRDefault="00292DD7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4. Communicating with Patients, Carers and </w:t>
      </w:r>
      <w:r>
        <w:rPr>
          <w:rFonts w:ascii="Arial" w:hAnsi="Arial" w:cs="Arial"/>
          <w:iCs/>
        </w:rPr>
        <w:t>Professionals</w:t>
      </w:r>
    </w:p>
    <w:p w14:paraId="60BD7C56" w14:textId="77777777" w:rsidR="003B753C" w:rsidRDefault="00292DD7">
      <w:pPr>
        <w:pStyle w:val="ListParagraph"/>
        <w:numPr>
          <w:ilvl w:val="0"/>
          <w:numId w:val="13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Effective communication skills in pharmacy practice</w:t>
      </w:r>
    </w:p>
    <w:p w14:paraId="60BD7C57" w14:textId="77777777" w:rsidR="003B753C" w:rsidRDefault="00292DD7">
      <w:pPr>
        <w:pStyle w:val="ListParagraph"/>
        <w:numPr>
          <w:ilvl w:val="0"/>
          <w:numId w:val="13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Sources of information on medicines</w:t>
      </w:r>
    </w:p>
    <w:p w14:paraId="60BD7C58" w14:textId="77777777" w:rsidR="003B753C" w:rsidRDefault="00292DD7">
      <w:pPr>
        <w:pStyle w:val="ListParagraph"/>
        <w:numPr>
          <w:ilvl w:val="0"/>
          <w:numId w:val="13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Communication with patients, carers and professionals</w:t>
      </w:r>
    </w:p>
    <w:p w14:paraId="60BD7C59" w14:textId="77777777" w:rsidR="003B753C" w:rsidRDefault="00292DD7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5. An Introduction to Clinical Governance</w:t>
      </w:r>
    </w:p>
    <w:p w14:paraId="60BD7C5A" w14:textId="77777777" w:rsidR="003B753C" w:rsidRDefault="00292DD7">
      <w:pPr>
        <w:pStyle w:val="ListParagraph"/>
        <w:numPr>
          <w:ilvl w:val="0"/>
          <w:numId w:val="14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Responsibility and accountability of pharmacists for the s</w:t>
      </w:r>
      <w:r>
        <w:rPr>
          <w:rFonts w:ascii="Arial" w:hAnsi="Arial" w:cs="Arial"/>
          <w:iCs/>
        </w:rPr>
        <w:t>ervices that they provide to patients, carers and professionals</w:t>
      </w:r>
    </w:p>
    <w:p w14:paraId="60BD7C5B" w14:textId="77777777" w:rsidR="003B753C" w:rsidRDefault="00292DD7">
      <w:pPr>
        <w:pStyle w:val="ListParagraph"/>
        <w:numPr>
          <w:ilvl w:val="0"/>
          <w:numId w:val="14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Pharmacy-related quality improvement activities</w:t>
      </w:r>
    </w:p>
    <w:p w14:paraId="60BD7C5C" w14:textId="77777777" w:rsidR="003B753C" w:rsidRDefault="00292DD7">
      <w:pPr>
        <w:pStyle w:val="ListParagraph"/>
        <w:numPr>
          <w:ilvl w:val="0"/>
          <w:numId w:val="14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Managing risks</w:t>
      </w:r>
    </w:p>
    <w:p w14:paraId="60BD7C5D" w14:textId="77777777" w:rsidR="003B753C" w:rsidRDefault="00292DD7">
      <w:pPr>
        <w:pStyle w:val="ListParagraph"/>
        <w:numPr>
          <w:ilvl w:val="0"/>
          <w:numId w:val="14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Procedures involved in identifying and addressing poor performance in pharmacists</w:t>
      </w:r>
    </w:p>
    <w:p w14:paraId="60BD7C5E" w14:textId="77777777" w:rsidR="003B753C" w:rsidRDefault="00292DD7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6. Numeracy skills (‘does’)</w:t>
      </w:r>
    </w:p>
    <w:p w14:paraId="60BD7C5F" w14:textId="77777777" w:rsidR="003B753C" w:rsidRDefault="00292DD7">
      <w:pPr>
        <w:pStyle w:val="ListParagraph"/>
        <w:numPr>
          <w:ilvl w:val="0"/>
          <w:numId w:val="15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Basic numeracy </w:t>
      </w:r>
      <w:r>
        <w:rPr>
          <w:rFonts w:ascii="Arial" w:hAnsi="Arial" w:cs="Arial"/>
          <w:iCs/>
        </w:rPr>
        <w:t>skills (covering concepts and use of: decimals; fractions; ratios, proportions and parts; percentages; unit conversion)</w:t>
      </w:r>
    </w:p>
    <w:p w14:paraId="60BD7C60" w14:textId="77777777" w:rsidR="003B753C" w:rsidRDefault="00292DD7">
      <w:pPr>
        <w:pStyle w:val="ListParagraph"/>
        <w:numPr>
          <w:ilvl w:val="0"/>
          <w:numId w:val="15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Estimate, approximate and check of mathematical working</w:t>
      </w:r>
    </w:p>
    <w:p w14:paraId="60BD7C61" w14:textId="77777777" w:rsidR="003B753C" w:rsidRDefault="00292DD7">
      <w:pPr>
        <w:pStyle w:val="ListParagraph"/>
        <w:numPr>
          <w:ilvl w:val="0"/>
          <w:numId w:val="15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Pharmaceutical use of ratios and proportions</w:t>
      </w:r>
    </w:p>
    <w:p w14:paraId="60BD7C62" w14:textId="77777777" w:rsidR="003B753C" w:rsidRDefault="00292DD7">
      <w:pPr>
        <w:pStyle w:val="ListParagraph"/>
        <w:numPr>
          <w:ilvl w:val="0"/>
          <w:numId w:val="15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Use of master formulae (scaling up </w:t>
      </w:r>
      <w:r>
        <w:rPr>
          <w:rFonts w:ascii="Arial" w:hAnsi="Arial" w:cs="Arial"/>
          <w:iCs/>
        </w:rPr>
        <w:t>and scaling down), including concentrations and dilutions</w:t>
      </w:r>
    </w:p>
    <w:p w14:paraId="60BD7C63" w14:textId="77777777" w:rsidR="003B753C" w:rsidRDefault="003B753C"/>
    <w:p w14:paraId="60BD7C64" w14:textId="77777777" w:rsidR="003B753C" w:rsidRDefault="00292DD7">
      <w:pPr>
        <w:pStyle w:val="ListParagraph"/>
        <w:numPr>
          <w:ilvl w:val="0"/>
          <w:numId w:val="15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Dose and Molar calculations</w:t>
      </w:r>
    </w:p>
    <w:p w14:paraId="60BD7C65" w14:textId="77777777" w:rsidR="003B753C" w:rsidRDefault="00292DD7">
      <w:pPr>
        <w:pStyle w:val="ListParagraph"/>
        <w:numPr>
          <w:ilvl w:val="0"/>
          <w:numId w:val="15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Basic manipulation of simple equations, including algebraic handling of concentrations and dilutions</w:t>
      </w:r>
    </w:p>
    <w:p w14:paraId="60BD7C66" w14:textId="77777777" w:rsidR="003B753C" w:rsidRDefault="00292DD7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7. Competence in Study Skills</w:t>
      </w:r>
    </w:p>
    <w:p w14:paraId="60BD7C67" w14:textId="77777777" w:rsidR="003B753C" w:rsidRDefault="00292D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7.1 Transferable Academic Skills</w:t>
      </w:r>
    </w:p>
    <w:p w14:paraId="60BD7C68" w14:textId="77777777" w:rsidR="003B753C" w:rsidRDefault="00292DD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r>
        <w:rPr>
          <w:rFonts w:ascii="Arial" w:hAnsi="Arial" w:cs="Arial"/>
        </w:rPr>
        <w:t>to study at university</w:t>
      </w:r>
    </w:p>
    <w:p w14:paraId="60BD7C69" w14:textId="77777777" w:rsidR="003B753C" w:rsidRDefault="00292DD7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How to take notes in lectures</w:t>
      </w:r>
    </w:p>
    <w:p w14:paraId="60BD7C6A" w14:textId="77777777" w:rsidR="003B753C" w:rsidRDefault="00292DD7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Time management</w:t>
      </w:r>
    </w:p>
    <w:p w14:paraId="60BD7C6B" w14:textId="77777777" w:rsidR="003B753C" w:rsidRDefault="00292DD7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Effective reading for private study and coursework</w:t>
      </w:r>
    </w:p>
    <w:p w14:paraId="60BD7C6C" w14:textId="77777777" w:rsidR="003B753C" w:rsidRDefault="00292DD7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Effective assimilation of knowledge</w:t>
      </w:r>
    </w:p>
    <w:p w14:paraId="60BD7C6D" w14:textId="77777777" w:rsidR="003B753C" w:rsidRDefault="00292DD7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Referencing</w:t>
      </w:r>
    </w:p>
    <w:p w14:paraId="60BD7C6E" w14:textId="77777777" w:rsidR="003B753C" w:rsidRDefault="00292DD7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Effective written communication</w:t>
      </w:r>
    </w:p>
    <w:p w14:paraId="60BD7C6F" w14:textId="77777777" w:rsidR="003B753C" w:rsidRDefault="00292DD7">
      <w:pPr>
        <w:pStyle w:val="ListParagraph"/>
        <w:numPr>
          <w:ilvl w:val="1"/>
          <w:numId w:val="24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Academic writing</w:t>
      </w:r>
    </w:p>
    <w:p w14:paraId="60BD7C70" w14:textId="77777777" w:rsidR="003B753C" w:rsidRDefault="00292DD7">
      <w:pPr>
        <w:pStyle w:val="ListParagraph"/>
        <w:numPr>
          <w:ilvl w:val="1"/>
          <w:numId w:val="24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Reflective writing</w:t>
      </w:r>
    </w:p>
    <w:p w14:paraId="60BD7C71" w14:textId="77777777" w:rsidR="003B753C" w:rsidRDefault="00292DD7">
      <w:pPr>
        <w:pStyle w:val="ListParagraph"/>
        <w:numPr>
          <w:ilvl w:val="1"/>
          <w:numId w:val="24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Professional </w:t>
      </w:r>
      <w:r>
        <w:rPr>
          <w:rFonts w:ascii="Arial" w:hAnsi="Arial" w:cs="Arial"/>
        </w:rPr>
        <w:t>communications</w:t>
      </w:r>
    </w:p>
    <w:p w14:paraId="60BD7C72" w14:textId="77777777" w:rsidR="003B753C" w:rsidRDefault="00292DD7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Planning your written work </w:t>
      </w:r>
    </w:p>
    <w:p w14:paraId="60BD7C73" w14:textId="77777777" w:rsidR="003B753C" w:rsidRDefault="00292DD7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Effective verbal and non-verbal communication</w:t>
      </w:r>
    </w:p>
    <w:p w14:paraId="60BD7C74" w14:textId="77777777" w:rsidR="003B753C" w:rsidRDefault="00292DD7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Exam revision</w:t>
      </w:r>
    </w:p>
    <w:p w14:paraId="60BD7C75" w14:textId="77777777" w:rsidR="003B753C" w:rsidRDefault="00292DD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7.2 Pharmacy Study Skills</w:t>
      </w:r>
    </w:p>
    <w:p w14:paraId="60BD7C76" w14:textId="77777777" w:rsidR="003B753C" w:rsidRDefault="00292DD7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Using the BNF</w:t>
      </w:r>
    </w:p>
    <w:p w14:paraId="60BD7C77" w14:textId="77777777" w:rsidR="003B753C" w:rsidRDefault="00292DD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Medical terminology</w:t>
      </w:r>
    </w:p>
    <w:p w14:paraId="60BD7C78" w14:textId="77777777" w:rsidR="003B753C" w:rsidRDefault="00292DD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Core drugs</w:t>
      </w:r>
    </w:p>
    <w:p w14:paraId="60BD7C79" w14:textId="77777777" w:rsidR="003B753C" w:rsidRDefault="00292DD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Continuing Professional Development</w:t>
      </w:r>
    </w:p>
    <w:p w14:paraId="60BD7C7A" w14:textId="77777777" w:rsidR="003B753C" w:rsidRDefault="003B753C">
      <w:pPr>
        <w:pStyle w:val="ListParagraph"/>
        <w:ind w:left="1440"/>
        <w:rPr>
          <w:rFonts w:ascii="Arial" w:hAnsi="Arial" w:cs="Arial"/>
        </w:rPr>
      </w:pPr>
    </w:p>
    <w:p w14:paraId="60BD7C7B" w14:textId="77777777" w:rsidR="003B753C" w:rsidRDefault="00292DD7">
      <w:pPr>
        <w:numPr>
          <w:ilvl w:val="0"/>
          <w:numId w:val="1"/>
        </w:numPr>
        <w:spacing w:after="120" w:line="240" w:lineRule="auto"/>
        <w:ind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list (Indicative list, current at tim</w:t>
      </w:r>
      <w:r>
        <w:rPr>
          <w:rFonts w:ascii="Arial" w:hAnsi="Arial" w:cs="Arial"/>
          <w:b/>
        </w:rPr>
        <w:t>e of publication. Reading lists will be published annually)</w:t>
      </w:r>
    </w:p>
    <w:p w14:paraId="60BD7C7C" w14:textId="77777777" w:rsidR="003B753C" w:rsidRDefault="00292DD7">
      <w:pPr>
        <w:spacing w:after="120" w:line="240" w:lineRule="auto"/>
        <w:ind w:left="567" w:right="828"/>
        <w:jc w:val="both"/>
        <w:rPr>
          <w:rFonts w:ascii="Arial" w:hAnsi="Arial" w:cs="Arial"/>
        </w:rPr>
      </w:pPr>
      <w:r>
        <w:rPr>
          <w:rFonts w:ascii="Arial" w:hAnsi="Arial" w:cs="Arial"/>
        </w:rPr>
        <w:t>The reading list for the module will be updated annually.</w:t>
      </w:r>
    </w:p>
    <w:p w14:paraId="60BD7C7D" w14:textId="77777777" w:rsidR="003B753C" w:rsidRDefault="00292DD7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The current reading is available to students on the module Moodle page.</w:t>
      </w:r>
    </w:p>
    <w:p w14:paraId="60BD7C7E" w14:textId="77777777" w:rsidR="003B753C" w:rsidRDefault="003B753C">
      <w:pPr>
        <w:spacing w:after="120" w:line="240" w:lineRule="auto"/>
        <w:ind w:left="567" w:right="260"/>
        <w:rPr>
          <w:rFonts w:ascii="Arial" w:hAnsi="Arial" w:cs="Arial"/>
        </w:rPr>
      </w:pPr>
    </w:p>
    <w:p w14:paraId="60BD7C7F" w14:textId="77777777" w:rsidR="003B753C" w:rsidRDefault="00292DD7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Learning and teaching methods</w:t>
      </w:r>
    </w:p>
    <w:p w14:paraId="60BD7C80" w14:textId="77777777" w:rsidR="003B753C" w:rsidRDefault="00292DD7">
      <w:pPr>
        <w:spacing w:after="120" w:line="240" w:lineRule="auto"/>
        <w:ind w:left="567" w:right="260"/>
        <w:jc w:val="both"/>
        <w:rPr>
          <w:rFonts w:ascii="Arial" w:eastAsia="Arial" w:hAnsi="Arial" w:cs="Arial"/>
        </w:rPr>
      </w:pPr>
      <w:r>
        <w:rPr>
          <w:rFonts w:ascii="Arial" w:hAnsi="Arial" w:cs="Arial"/>
          <w:iCs/>
        </w:rPr>
        <w:t>Total contact hours:</w:t>
      </w:r>
      <w:r>
        <w:rPr>
          <w:rFonts w:ascii="Arial" w:eastAsia="Arial" w:hAnsi="Arial" w:cs="Arial"/>
        </w:rPr>
        <w:t xml:space="preserve"> 120</w:t>
      </w:r>
    </w:p>
    <w:p w14:paraId="60BD7C81" w14:textId="77777777" w:rsidR="003B753C" w:rsidRDefault="00292DD7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eastAsia="Arial" w:hAnsi="Arial" w:cs="Arial"/>
        </w:rPr>
        <w:t>Placements: 15</w:t>
      </w:r>
    </w:p>
    <w:p w14:paraId="60BD7C82" w14:textId="77777777" w:rsidR="003B753C" w:rsidRDefault="00292DD7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Private study hours:</w:t>
      </w:r>
      <w:r>
        <w:rPr>
          <w:rFonts w:ascii="Arial" w:eastAsia="Arial" w:hAnsi="Arial" w:cs="Arial"/>
        </w:rPr>
        <w:t xml:space="preserve"> 165</w:t>
      </w:r>
    </w:p>
    <w:p w14:paraId="60BD7C83" w14:textId="77777777" w:rsidR="003B753C" w:rsidRDefault="00292DD7">
      <w:pPr>
        <w:spacing w:after="120" w:line="240" w:lineRule="auto"/>
        <w:ind w:left="567" w:right="260"/>
        <w:jc w:val="both"/>
        <w:rPr>
          <w:rFonts w:ascii="Arial" w:eastAsia="Arial" w:hAnsi="Arial" w:cs="Arial"/>
        </w:rPr>
      </w:pPr>
      <w:r>
        <w:rPr>
          <w:rFonts w:ascii="Arial" w:hAnsi="Arial" w:cs="Arial"/>
          <w:iCs/>
        </w:rPr>
        <w:t>Total study hours:</w:t>
      </w:r>
      <w:r>
        <w:rPr>
          <w:rFonts w:ascii="Arial" w:eastAsia="Arial" w:hAnsi="Arial" w:cs="Arial"/>
        </w:rPr>
        <w:t xml:space="preserve"> 300</w:t>
      </w:r>
    </w:p>
    <w:p w14:paraId="60BD7C84" w14:textId="77777777" w:rsidR="003B753C" w:rsidRDefault="00292DD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60BD7C85" w14:textId="77777777" w:rsidR="003B753C" w:rsidRDefault="00292DD7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lastRenderedPageBreak/>
        <w:t>Assessment methods</w:t>
      </w:r>
    </w:p>
    <w:p w14:paraId="60BD7C86" w14:textId="77777777" w:rsidR="003B753C" w:rsidRDefault="00292DD7">
      <w:pPr>
        <w:pStyle w:val="ListParagraph"/>
        <w:numPr>
          <w:ilvl w:val="1"/>
          <w:numId w:val="9"/>
        </w:numPr>
        <w:spacing w:after="120" w:line="240" w:lineRule="auto"/>
        <w:ind w:left="1134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60BD7C87" w14:textId="77777777" w:rsidR="003B753C" w:rsidRDefault="00292DD7">
      <w:pPr>
        <w:pStyle w:val="ListParagraph"/>
        <w:numPr>
          <w:ilvl w:val="0"/>
          <w:numId w:val="20"/>
        </w:numPr>
        <w:spacing w:after="120" w:line="240" w:lineRule="auto"/>
        <w:ind w:left="1713"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Coursework (40% of module mark):</w:t>
      </w:r>
    </w:p>
    <w:p w14:paraId="60BD7C88" w14:textId="77777777" w:rsidR="003B753C" w:rsidRDefault="00292DD7">
      <w:pPr>
        <w:pStyle w:val="ListParagraph"/>
        <w:numPr>
          <w:ilvl w:val="0"/>
          <w:numId w:val="21"/>
        </w:numPr>
        <w:spacing w:after="120" w:line="240" w:lineRule="auto"/>
        <w:ind w:left="2155" w:hanging="17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MCQ Assessment (50% of Coursework mark)</w:t>
      </w:r>
    </w:p>
    <w:p w14:paraId="60BD7C89" w14:textId="77777777" w:rsidR="003B753C" w:rsidRDefault="00292DD7">
      <w:pPr>
        <w:pStyle w:val="ListParagraph"/>
        <w:numPr>
          <w:ilvl w:val="0"/>
          <w:numId w:val="21"/>
        </w:numPr>
        <w:spacing w:after="120" w:line="240" w:lineRule="auto"/>
        <w:ind w:left="2155" w:right="261" w:hanging="17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Written Assignment (50% of Coursework mark)</w:t>
      </w:r>
    </w:p>
    <w:p w14:paraId="60BD7C8A" w14:textId="77777777" w:rsidR="003B753C" w:rsidRDefault="00292DD7">
      <w:pPr>
        <w:pStyle w:val="ListParagraph"/>
        <w:numPr>
          <w:ilvl w:val="0"/>
          <w:numId w:val="20"/>
        </w:numPr>
        <w:spacing w:after="120" w:line="240" w:lineRule="auto"/>
        <w:ind w:left="1713" w:right="260"/>
        <w:contextualSpacing w:val="0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Written Examination, 3 hours </w:t>
      </w:r>
      <w:r>
        <w:rPr>
          <w:rFonts w:ascii="Arial" w:hAnsi="Arial" w:cs="Arial"/>
          <w:iCs/>
        </w:rPr>
        <w:t>(60% of module mark)</w:t>
      </w:r>
    </w:p>
    <w:p w14:paraId="60BD7C8B" w14:textId="77777777" w:rsidR="003B753C" w:rsidRDefault="00292DD7">
      <w:pPr>
        <w:pStyle w:val="ListParagraph"/>
        <w:numPr>
          <w:ilvl w:val="0"/>
          <w:numId w:val="20"/>
        </w:numPr>
        <w:spacing w:after="120" w:line="240" w:lineRule="auto"/>
        <w:ind w:left="1713"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Professional Competency (Pass/Fail)</w:t>
      </w:r>
    </w:p>
    <w:p w14:paraId="60BD7C8C" w14:textId="77777777" w:rsidR="003B753C" w:rsidRDefault="00292DD7">
      <w:pPr>
        <w:pStyle w:val="ListParagraph"/>
        <w:numPr>
          <w:ilvl w:val="1"/>
          <w:numId w:val="20"/>
        </w:numPr>
        <w:spacing w:after="120" w:line="240" w:lineRule="auto"/>
        <w:ind w:left="2155" w:right="261" w:hanging="17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</w:rPr>
        <w:t>Attendance (P/F) *</w:t>
      </w:r>
    </w:p>
    <w:p w14:paraId="60BD7C8D" w14:textId="77777777" w:rsidR="003B753C" w:rsidRDefault="00292DD7">
      <w:pPr>
        <w:pStyle w:val="ListParagraph"/>
        <w:numPr>
          <w:ilvl w:val="1"/>
          <w:numId w:val="20"/>
        </w:numPr>
        <w:spacing w:after="120" w:line="240" w:lineRule="auto"/>
        <w:ind w:left="2155" w:right="261" w:hanging="17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Professional Portfolio (P/F)**</w:t>
      </w:r>
    </w:p>
    <w:p w14:paraId="60BD7C8E" w14:textId="77777777" w:rsidR="003B753C" w:rsidRDefault="00292DD7">
      <w:pPr>
        <w:pStyle w:val="ListParagraph"/>
        <w:numPr>
          <w:ilvl w:val="1"/>
          <w:numId w:val="20"/>
        </w:numPr>
        <w:spacing w:after="120" w:line="240" w:lineRule="auto"/>
        <w:ind w:left="2155" w:right="261" w:hanging="17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Placements (P/F) </w:t>
      </w:r>
      <w:r>
        <w:rPr>
          <w:rFonts w:ascii="Arial" w:hAnsi="Arial" w:cs="Arial"/>
          <w:iCs/>
          <w:vertAlign w:val="superscript"/>
        </w:rPr>
        <w:t>#</w:t>
      </w:r>
    </w:p>
    <w:p w14:paraId="60BD7C8F" w14:textId="77777777" w:rsidR="003B753C" w:rsidRDefault="00292DD7">
      <w:pPr>
        <w:pStyle w:val="ListParagraph"/>
        <w:numPr>
          <w:ilvl w:val="1"/>
          <w:numId w:val="20"/>
        </w:numPr>
        <w:spacing w:after="120" w:line="240" w:lineRule="auto"/>
        <w:ind w:left="2155" w:right="261" w:hanging="17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Pharmaceutical Calculations (P/F) </w:t>
      </w:r>
      <w:r>
        <w:rPr>
          <w:rFonts w:ascii="Arial" w:hAnsi="Arial" w:cs="Arial"/>
          <w:iCs/>
          <w:vertAlign w:val="superscript"/>
        </w:rPr>
        <w:t>##</w:t>
      </w:r>
    </w:p>
    <w:p w14:paraId="60BD7C90" w14:textId="77777777" w:rsidR="003B753C" w:rsidRDefault="003B753C">
      <w:pPr>
        <w:spacing w:after="0" w:line="240" w:lineRule="auto"/>
        <w:ind w:left="567"/>
        <w:rPr>
          <w:rFonts w:ascii="Arial" w:hAnsi="Arial" w:cs="Arial"/>
          <w:iCs/>
        </w:rPr>
      </w:pPr>
    </w:p>
    <w:p w14:paraId="60BD7C91" w14:textId="77777777" w:rsidR="003B753C" w:rsidRDefault="00292DD7">
      <w:pPr>
        <w:spacing w:after="120" w:line="240" w:lineRule="auto"/>
        <w:ind w:left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pass mark for this module is 40%. Students must pass both the coursework overall and the</w:t>
      </w:r>
      <w:r>
        <w:rPr>
          <w:rFonts w:ascii="Arial" w:hAnsi="Arial" w:cs="Arial"/>
          <w:iCs/>
        </w:rPr>
        <w:t xml:space="preserve"> examination element in order to satisfactorily complete the module. </w:t>
      </w:r>
      <w:r>
        <w:rPr>
          <w:rFonts w:ascii="Arial" w:eastAsia="Times New Roman" w:hAnsi="Arial" w:cs="Arial"/>
          <w:color w:val="000000"/>
        </w:rPr>
        <w:t>Students must pass the professional competency assessments in order to satisfactorily complete the module and to progress to the next stage of the MPharm programme:</w:t>
      </w:r>
    </w:p>
    <w:p w14:paraId="60BD7C92" w14:textId="77777777" w:rsidR="003B753C" w:rsidRDefault="00292DD7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 Students who fail to</w:t>
      </w:r>
      <w:r>
        <w:rPr>
          <w:rFonts w:ascii="Arial" w:eastAsia="Times New Roman" w:hAnsi="Arial" w:cs="Arial"/>
          <w:color w:val="000000"/>
        </w:rPr>
        <w:t xml:space="preserve"> meet the 80% threshold attendance at all scheduled coursework sessions (i.e. workshops, laboratory sessions and seminars) will have their coursework capped to the pass mark. Students who fail to meet the 60% threshold will be deemed not to have met the le</w:t>
      </w:r>
      <w:r>
        <w:rPr>
          <w:rFonts w:ascii="Arial" w:eastAsia="Times New Roman" w:hAnsi="Arial" w:cs="Arial"/>
          <w:color w:val="000000"/>
        </w:rPr>
        <w:t>arning outcomes and will fail the module.</w:t>
      </w:r>
    </w:p>
    <w:p w14:paraId="60BD7C93" w14:textId="77777777" w:rsidR="003B753C" w:rsidRDefault="00292DD7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**   Successful completion of a Professional Portfolio</w:t>
      </w:r>
    </w:p>
    <w:p w14:paraId="60BD7C94" w14:textId="77777777" w:rsidR="003B753C" w:rsidRDefault="00292DD7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# 100% attendance is required for a Pass</w:t>
      </w:r>
    </w:p>
    <w:p w14:paraId="60BD7C95" w14:textId="77777777" w:rsidR="003B753C" w:rsidRDefault="00292DD7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iCs/>
        </w:rPr>
        <w:t>##</w:t>
      </w:r>
      <w:r>
        <w:rPr>
          <w:rFonts w:ascii="Arial" w:hAnsi="Arial" w:cs="Arial"/>
          <w:iCs/>
          <w:sz w:val="36"/>
          <w:vertAlign w:val="superscript"/>
        </w:rPr>
        <w:t xml:space="preserve"> </w:t>
      </w:r>
      <w:r>
        <w:rPr>
          <w:rFonts w:ascii="Arial" w:hAnsi="Arial" w:cs="Arial"/>
          <w:iCs/>
        </w:rPr>
        <w:t>Requires 70% attainment for a Pass.</w:t>
      </w:r>
    </w:p>
    <w:p w14:paraId="60BD7C96" w14:textId="77777777" w:rsidR="003B753C" w:rsidRDefault="00292DD7">
      <w:pPr>
        <w:spacing w:after="120"/>
        <w:ind w:left="128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  <w:t xml:space="preserve">Reassessment methods </w:t>
      </w:r>
    </w:p>
    <w:p w14:paraId="60BD7C97" w14:textId="77777777" w:rsidR="003B753C" w:rsidRDefault="00292DD7">
      <w:pPr>
        <w:spacing w:after="120"/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Like for like</w:t>
      </w:r>
    </w:p>
    <w:p w14:paraId="60BD7C98" w14:textId="77777777" w:rsidR="003B753C" w:rsidRDefault="00292DD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14:paraId="60BD7C99" w14:textId="77777777" w:rsidR="003B753C" w:rsidRDefault="00292DD7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lastRenderedPageBreak/>
        <w:t xml:space="preserve">Map of module learning outcomes </w:t>
      </w:r>
      <w:r>
        <w:rPr>
          <w:rFonts w:ascii="Arial" w:hAnsi="Arial" w:cs="Arial"/>
          <w:b/>
          <w:i/>
          <w:iCs/>
        </w:rPr>
        <w:t>(sections 8 &amp; 9) to learning and teaching methods (section12) and methods of assessment (section 13)</w:t>
      </w:r>
    </w:p>
    <w:p w14:paraId="60BD7C9A" w14:textId="77777777" w:rsidR="003B753C" w:rsidRDefault="003B753C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3B753C" w14:paraId="60BD7CA4" w14:textId="77777777">
        <w:trPr>
          <w:trHeight w:val="283"/>
        </w:trPr>
        <w:tc>
          <w:tcPr>
            <w:tcW w:w="2104" w:type="pct"/>
            <w:shd w:val="clear" w:color="auto" w:fill="D9D9D9"/>
          </w:tcPr>
          <w:p w14:paraId="60BD7C9B" w14:textId="77777777" w:rsidR="003B753C" w:rsidRDefault="00292DD7">
            <w:pPr>
              <w:spacing w:after="0" w:line="240" w:lineRule="auto"/>
              <w:ind w:lef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9C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9D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9E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9F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A0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A1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A2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A3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9.3</w:t>
            </w:r>
          </w:p>
        </w:tc>
      </w:tr>
      <w:tr w:rsidR="003B753C" w14:paraId="60BD7CAE" w14:textId="77777777">
        <w:trPr>
          <w:trHeight w:val="283"/>
        </w:trPr>
        <w:tc>
          <w:tcPr>
            <w:tcW w:w="2104" w:type="pct"/>
            <w:shd w:val="clear" w:color="auto" w:fill="D9D9D9" w:themeFill="background1" w:themeFillShade="D9"/>
          </w:tcPr>
          <w:p w14:paraId="60BD7CA5" w14:textId="77777777" w:rsidR="003B753C" w:rsidRDefault="00292DD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60BD7CA6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60BD7CA7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60BD7CA8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60BD7CA9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60BD7CAA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60BD7CAB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60BD7CAC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60BD7CAD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B753C" w14:paraId="60BD7CB8" w14:textId="77777777">
        <w:trPr>
          <w:trHeight w:val="283"/>
        </w:trPr>
        <w:tc>
          <w:tcPr>
            <w:tcW w:w="2104" w:type="pct"/>
            <w:shd w:val="clear" w:color="auto" w:fill="auto"/>
          </w:tcPr>
          <w:p w14:paraId="60BD7CAF" w14:textId="77777777" w:rsidR="003B753C" w:rsidRDefault="00292DD7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Private Studies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B0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B1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B2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B3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B4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B5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B6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B7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B753C" w14:paraId="60BD7CC2" w14:textId="77777777">
        <w:trPr>
          <w:trHeight w:val="283"/>
        </w:trPr>
        <w:tc>
          <w:tcPr>
            <w:tcW w:w="2104" w:type="pct"/>
            <w:shd w:val="clear" w:color="auto" w:fill="auto"/>
          </w:tcPr>
          <w:p w14:paraId="60BD7CB9" w14:textId="77777777" w:rsidR="003B753C" w:rsidRDefault="00292DD7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Lectures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BA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BB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BC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CBD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BE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CBF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C0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C1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B753C" w14:paraId="60BD7CCC" w14:textId="77777777">
        <w:trPr>
          <w:trHeight w:val="283"/>
        </w:trPr>
        <w:tc>
          <w:tcPr>
            <w:tcW w:w="2104" w:type="pct"/>
            <w:shd w:val="clear" w:color="auto" w:fill="auto"/>
          </w:tcPr>
          <w:p w14:paraId="60BD7CC3" w14:textId="77777777" w:rsidR="003B753C" w:rsidRDefault="00292DD7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Workshops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C4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C5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C6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C7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C8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C9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CA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CCB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B753C" w14:paraId="60BD7CD6" w14:textId="77777777">
        <w:trPr>
          <w:trHeight w:val="283"/>
        </w:trPr>
        <w:tc>
          <w:tcPr>
            <w:tcW w:w="2104" w:type="pct"/>
            <w:shd w:val="clear" w:color="auto" w:fill="auto"/>
          </w:tcPr>
          <w:p w14:paraId="60BD7CCD" w14:textId="77777777" w:rsidR="003B753C" w:rsidRDefault="00292DD7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Laboratory sessions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CE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CF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D0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D1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D2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D3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D4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CD5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B753C" w14:paraId="60BD7CE0" w14:textId="77777777">
        <w:trPr>
          <w:trHeight w:val="283"/>
        </w:trPr>
        <w:tc>
          <w:tcPr>
            <w:tcW w:w="2104" w:type="pct"/>
            <w:shd w:val="clear" w:color="auto" w:fill="auto"/>
          </w:tcPr>
          <w:p w14:paraId="60BD7CD7" w14:textId="77777777" w:rsidR="003B753C" w:rsidRDefault="00292DD7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Seminars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D8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D9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DA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CDB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DC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CDD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DE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DF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B753C" w14:paraId="60BD7CEA" w14:textId="77777777">
        <w:trPr>
          <w:trHeight w:val="283"/>
        </w:trPr>
        <w:tc>
          <w:tcPr>
            <w:tcW w:w="2104" w:type="pct"/>
            <w:shd w:val="clear" w:color="auto" w:fill="auto"/>
          </w:tcPr>
          <w:p w14:paraId="60BD7CE1" w14:textId="77777777" w:rsidR="003B753C" w:rsidRDefault="00292DD7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Placements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E2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E3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E4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CE5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E6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CE7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E8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E9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B753C" w14:paraId="60BD7CF4" w14:textId="77777777">
        <w:trPr>
          <w:trHeight w:val="283"/>
        </w:trPr>
        <w:tc>
          <w:tcPr>
            <w:tcW w:w="2104" w:type="pct"/>
            <w:shd w:val="clear" w:color="auto" w:fill="D9D9D9" w:themeFill="background1" w:themeFillShade="D9"/>
          </w:tcPr>
          <w:p w14:paraId="60BD7CEB" w14:textId="77777777" w:rsidR="003B753C" w:rsidRDefault="00292DD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60BD7CEC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60BD7CED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60BD7CEE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60BD7CEF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60BD7CF0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60BD7CF1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60BD7CF2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60BD7CF3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B753C" w14:paraId="60BD7CFE" w14:textId="77777777">
        <w:trPr>
          <w:trHeight w:val="283"/>
        </w:trPr>
        <w:tc>
          <w:tcPr>
            <w:tcW w:w="2104" w:type="pct"/>
            <w:shd w:val="clear" w:color="auto" w:fill="auto"/>
          </w:tcPr>
          <w:p w14:paraId="60BD7CF5" w14:textId="77777777" w:rsidR="003B753C" w:rsidRDefault="00292DD7">
            <w:pPr>
              <w:spacing w:after="0" w:line="240" w:lineRule="auto"/>
              <w:jc w:val="right"/>
              <w:rPr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MCQ Assessment 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F6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CF7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CF8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CF9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CFA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CFB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CFC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CFD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B753C" w14:paraId="60BD7D08" w14:textId="77777777">
        <w:trPr>
          <w:trHeight w:val="283"/>
        </w:trPr>
        <w:tc>
          <w:tcPr>
            <w:tcW w:w="2104" w:type="pct"/>
            <w:shd w:val="clear" w:color="auto" w:fill="auto"/>
          </w:tcPr>
          <w:p w14:paraId="60BD7CFF" w14:textId="77777777" w:rsidR="003B753C" w:rsidRDefault="00292DD7">
            <w:pPr>
              <w:spacing w:after="0" w:line="240" w:lineRule="auto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Written Assignment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D00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D01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D02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D03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D04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D05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D06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D07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B753C" w14:paraId="60BD7D12" w14:textId="77777777">
        <w:trPr>
          <w:trHeight w:val="283"/>
        </w:trPr>
        <w:tc>
          <w:tcPr>
            <w:tcW w:w="2104" w:type="pct"/>
            <w:shd w:val="clear" w:color="auto" w:fill="auto"/>
            <w:vAlign w:val="center"/>
          </w:tcPr>
          <w:p w14:paraId="60BD7D09" w14:textId="77777777" w:rsidR="003B753C" w:rsidRDefault="00292DD7">
            <w:pPr>
              <w:tabs>
                <w:tab w:val="num" w:pos="502"/>
              </w:tabs>
              <w:spacing w:after="0" w:line="240" w:lineRule="auto"/>
              <w:jc w:val="right"/>
              <w:rPr>
                <w:rFonts w:ascii="Arial" w:hAnsi="Arial" w:cs="Arial"/>
                <w:i/>
                <w:spacing w:val="-2"/>
              </w:rPr>
            </w:pPr>
            <w:r>
              <w:rPr>
                <w:rFonts w:ascii="Arial" w:hAnsi="Arial" w:cs="Arial"/>
                <w:i/>
                <w:iCs/>
              </w:rPr>
              <w:t>Written Examination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D0A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D0B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D0C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D0D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D0E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D0F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D10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D11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B753C" w14:paraId="60BD7D1C" w14:textId="77777777">
        <w:trPr>
          <w:trHeight w:val="283"/>
        </w:trPr>
        <w:tc>
          <w:tcPr>
            <w:tcW w:w="2104" w:type="pct"/>
            <w:shd w:val="clear" w:color="auto" w:fill="auto"/>
            <w:vAlign w:val="center"/>
          </w:tcPr>
          <w:p w14:paraId="60BD7D13" w14:textId="77777777" w:rsidR="003B753C" w:rsidRDefault="00292DD7">
            <w:pPr>
              <w:tabs>
                <w:tab w:val="num" w:pos="502"/>
              </w:tabs>
              <w:spacing w:after="0" w:line="240" w:lineRule="auto"/>
              <w:jc w:val="right"/>
              <w:rPr>
                <w:rFonts w:ascii="Arial" w:hAnsi="Arial" w:cs="Arial"/>
                <w:i/>
                <w:spacing w:val="-2"/>
              </w:rPr>
            </w:pPr>
            <w:r>
              <w:rPr>
                <w:rFonts w:ascii="Arial" w:hAnsi="Arial" w:cs="Arial"/>
                <w:iCs/>
              </w:rPr>
              <w:t xml:space="preserve">Professional Portfolio / </w:t>
            </w:r>
            <w:r>
              <w:rPr>
                <w:rFonts w:ascii="Arial" w:hAnsi="Arial" w:cs="Arial"/>
                <w:iCs/>
              </w:rPr>
              <w:t>Study Skills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D14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D15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D16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D17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D18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D19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D1A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D1B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B753C" w14:paraId="60BD7D26" w14:textId="77777777">
        <w:trPr>
          <w:trHeight w:val="283"/>
        </w:trPr>
        <w:tc>
          <w:tcPr>
            <w:tcW w:w="2104" w:type="pct"/>
            <w:shd w:val="clear" w:color="auto" w:fill="auto"/>
            <w:vAlign w:val="center"/>
          </w:tcPr>
          <w:p w14:paraId="60BD7D1D" w14:textId="77777777" w:rsidR="003B753C" w:rsidRDefault="00292DD7">
            <w:pPr>
              <w:tabs>
                <w:tab w:val="num" w:pos="502"/>
              </w:tabs>
              <w:spacing w:after="0" w:line="240" w:lineRule="auto"/>
              <w:jc w:val="right"/>
              <w:rPr>
                <w:rFonts w:ascii="Arial" w:hAnsi="Arial" w:cs="Arial"/>
                <w:i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>Attendance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D1E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D1F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D20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D21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D22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D23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D24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D25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B753C" w14:paraId="60BD7D30" w14:textId="77777777">
        <w:trPr>
          <w:trHeight w:val="283"/>
        </w:trPr>
        <w:tc>
          <w:tcPr>
            <w:tcW w:w="2104" w:type="pct"/>
            <w:shd w:val="clear" w:color="auto" w:fill="auto"/>
            <w:vAlign w:val="center"/>
          </w:tcPr>
          <w:p w14:paraId="60BD7D27" w14:textId="77777777" w:rsidR="003B753C" w:rsidRDefault="00292DD7">
            <w:pPr>
              <w:tabs>
                <w:tab w:val="left" w:pos="1701"/>
              </w:tabs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pacing w:val="-2"/>
              </w:rPr>
              <w:t>Placements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D28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D29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D2A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D2B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D2C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D2D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D2E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D2F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B753C" w14:paraId="60BD7D3A" w14:textId="77777777">
        <w:trPr>
          <w:trHeight w:val="283"/>
        </w:trPr>
        <w:tc>
          <w:tcPr>
            <w:tcW w:w="2104" w:type="pct"/>
            <w:shd w:val="clear" w:color="auto" w:fill="auto"/>
            <w:vAlign w:val="center"/>
          </w:tcPr>
          <w:p w14:paraId="60BD7D31" w14:textId="77777777" w:rsidR="003B753C" w:rsidRDefault="00292DD7">
            <w:pPr>
              <w:tabs>
                <w:tab w:val="num" w:pos="502"/>
              </w:tabs>
              <w:spacing w:after="0" w:line="240" w:lineRule="auto"/>
              <w:jc w:val="right"/>
              <w:rPr>
                <w:rFonts w:ascii="Arial" w:hAnsi="Arial" w:cs="Arial"/>
                <w:i/>
                <w:spacing w:val="-2"/>
              </w:rPr>
            </w:pPr>
            <w:r>
              <w:rPr>
                <w:rFonts w:ascii="Arial" w:hAnsi="Arial" w:cs="Arial"/>
                <w:i/>
                <w:iCs/>
              </w:rPr>
              <w:t>Pharmaceutical Calculations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D32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D33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D34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D35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D36" w14:textId="77777777" w:rsidR="003B753C" w:rsidRDefault="00292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BD7D37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D38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0BD7D39" w14:textId="77777777" w:rsidR="003B753C" w:rsidRDefault="003B7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0BD7D3B" w14:textId="77777777" w:rsidR="003B753C" w:rsidRDefault="003B753C">
      <w:pPr>
        <w:spacing w:after="120" w:line="240" w:lineRule="auto"/>
        <w:ind w:right="260"/>
      </w:pPr>
    </w:p>
    <w:p w14:paraId="60BD7D3C" w14:textId="77777777" w:rsidR="003B753C" w:rsidRDefault="00292DD7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 xml:space="preserve">Inclusive module design </w:t>
      </w:r>
    </w:p>
    <w:p w14:paraId="60BD7D3D" w14:textId="77777777" w:rsidR="003B753C" w:rsidRDefault="00292DD7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School recognises and has embedded the expectations of current equality legislation, by ensuring that the module </w:t>
      </w:r>
      <w:r>
        <w:rPr>
          <w:rFonts w:ascii="Arial" w:hAnsi="Arial" w:cs="Arial"/>
        </w:rPr>
        <w:t>is as accessible as possible by design. Additional alternative arrangements for students with Inclusive Learning Plans (ILPs)/declared disabilities will be made on an individual basis, in consultation with the relevant policies and support services.</w:t>
      </w:r>
    </w:p>
    <w:p w14:paraId="60BD7D3E" w14:textId="77777777" w:rsidR="003B753C" w:rsidRDefault="00292DD7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The in</w:t>
      </w:r>
      <w:r>
        <w:rPr>
          <w:rFonts w:ascii="Arial" w:hAnsi="Arial" w:cs="Arial"/>
        </w:rPr>
        <w:t>clusive practices in the guidance (see Annex B Appendix A) have been considered in order to support all students in the following areas:</w:t>
      </w:r>
    </w:p>
    <w:p w14:paraId="60BD7D3F" w14:textId="77777777" w:rsidR="003B753C" w:rsidRDefault="00292DD7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bCs/>
        </w:rPr>
        <w:t>Accessible resources and curriculum</w:t>
      </w:r>
    </w:p>
    <w:p w14:paraId="60BD7D40" w14:textId="77777777" w:rsidR="003B753C" w:rsidRDefault="00292DD7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bCs/>
        </w:rPr>
        <w:t>Learning, teaching and assessment methods</w:t>
      </w:r>
    </w:p>
    <w:p w14:paraId="60BD7D41" w14:textId="77777777" w:rsidR="003B753C" w:rsidRDefault="003B753C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0BD7D42" w14:textId="77777777" w:rsidR="003B753C" w:rsidRDefault="00292DD7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Campus(es) or centre(s) where modu</w:t>
      </w:r>
      <w:r>
        <w:rPr>
          <w:rFonts w:ascii="Arial" w:hAnsi="Arial" w:cs="Arial"/>
          <w:b/>
        </w:rPr>
        <w:t>le will be delivered</w:t>
      </w:r>
    </w:p>
    <w:p w14:paraId="60BD7D43" w14:textId="77777777" w:rsidR="003B753C" w:rsidRDefault="00292DD7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Medway</w:t>
      </w:r>
    </w:p>
    <w:p w14:paraId="60BD7D44" w14:textId="77777777" w:rsidR="003B753C" w:rsidRDefault="003B753C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0BD7D45" w14:textId="77777777" w:rsidR="003B753C" w:rsidRDefault="00292DD7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Internationalisation </w:t>
      </w:r>
    </w:p>
    <w:p w14:paraId="60BD7D46" w14:textId="77777777" w:rsidR="003B753C" w:rsidRDefault="00292DD7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One of the goals of the MPharm degree programme is to produce graduates who will eventually become registered pharmacists in the United Kingdom. However, many of our MPharm</w:t>
      </w:r>
      <w:r>
        <w:rPr>
          <w:rFonts w:ascii="Arial" w:hAnsi="Arial" w:cs="Arial"/>
          <w:iCs/>
        </w:rPr>
        <w:t xml:space="preserve"> graduates have become successful pharmacists in the Republic of Ireland, Canada and other nations.</w:t>
      </w:r>
    </w:p>
    <w:p w14:paraId="60BD7D47" w14:textId="77777777" w:rsidR="003B753C" w:rsidRDefault="003B753C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60BD7D48" w14:textId="77777777" w:rsidR="003B753C" w:rsidRDefault="00292DD7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FACULTIES SUPPORT OFFICE USE ONLY </w:t>
      </w:r>
    </w:p>
    <w:p w14:paraId="60BD7D49" w14:textId="77777777" w:rsidR="003B753C" w:rsidRDefault="00292DD7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Revision record – all revisions must be recorded in the grid and full details of the change retained in the appropriate </w:t>
      </w:r>
      <w:r>
        <w:rPr>
          <w:rFonts w:ascii="Arial" w:hAnsi="Arial" w:cs="Arial"/>
          <w:b/>
          <w:sz w:val="20"/>
        </w:rPr>
        <w:t>committee records.</w:t>
      </w:r>
    </w:p>
    <w:p w14:paraId="60BD7D4A" w14:textId="77777777" w:rsidR="003B753C" w:rsidRDefault="003B753C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B753C" w14:paraId="60BD7D50" w14:textId="77777777">
        <w:trPr>
          <w:trHeight w:val="317"/>
        </w:trPr>
        <w:tc>
          <w:tcPr>
            <w:tcW w:w="1526" w:type="dxa"/>
          </w:tcPr>
          <w:p w14:paraId="60BD7D4B" w14:textId="77777777" w:rsidR="003B753C" w:rsidRDefault="00292DD7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Date approved</w:t>
            </w:r>
          </w:p>
        </w:tc>
        <w:tc>
          <w:tcPr>
            <w:tcW w:w="1701" w:type="dxa"/>
          </w:tcPr>
          <w:p w14:paraId="60BD7D4C" w14:textId="77777777" w:rsidR="003B753C" w:rsidRDefault="00292DD7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60BD7D4D" w14:textId="77777777" w:rsidR="003B753C" w:rsidRDefault="00292DD7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60BD7D4E" w14:textId="77777777" w:rsidR="003B753C" w:rsidRDefault="00292DD7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60BD7D4F" w14:textId="77777777" w:rsidR="003B753C" w:rsidRDefault="00292DD7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Impacts PLOs (Q6&amp;7 cover sheet)</w:t>
            </w:r>
          </w:p>
        </w:tc>
      </w:tr>
      <w:tr w:rsidR="003B753C" w14:paraId="60BD7D56" w14:textId="77777777">
        <w:trPr>
          <w:trHeight w:val="305"/>
        </w:trPr>
        <w:tc>
          <w:tcPr>
            <w:tcW w:w="1526" w:type="dxa"/>
          </w:tcPr>
          <w:p w14:paraId="60BD7D51" w14:textId="77777777" w:rsidR="003B753C" w:rsidRDefault="003B753C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BD7D52" w14:textId="77777777" w:rsidR="003B753C" w:rsidRDefault="003B753C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0BD7D53" w14:textId="77777777" w:rsidR="003B753C" w:rsidRDefault="003B753C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60BD7D54" w14:textId="77777777" w:rsidR="003B753C" w:rsidRDefault="003B753C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60BD7D55" w14:textId="77777777" w:rsidR="003B753C" w:rsidRDefault="003B753C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B753C" w14:paraId="60BD7D5C" w14:textId="77777777">
        <w:trPr>
          <w:trHeight w:val="305"/>
        </w:trPr>
        <w:tc>
          <w:tcPr>
            <w:tcW w:w="1526" w:type="dxa"/>
          </w:tcPr>
          <w:p w14:paraId="60BD7D57" w14:textId="77777777" w:rsidR="003B753C" w:rsidRDefault="003B753C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BD7D58" w14:textId="77777777" w:rsidR="003B753C" w:rsidRDefault="003B753C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0BD7D59" w14:textId="77777777" w:rsidR="003B753C" w:rsidRDefault="003B753C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60BD7D5A" w14:textId="77777777" w:rsidR="003B753C" w:rsidRDefault="003B753C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60BD7D5B" w14:textId="77777777" w:rsidR="003B753C" w:rsidRDefault="003B753C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60BD7D5D" w14:textId="77777777" w:rsidR="003B753C" w:rsidRDefault="003B753C">
      <w:pPr>
        <w:spacing w:after="120" w:line="240" w:lineRule="auto"/>
        <w:ind w:right="-330"/>
        <w:rPr>
          <w:rFonts w:ascii="Arial" w:hAnsi="Arial" w:cs="Arial"/>
        </w:rPr>
      </w:pPr>
    </w:p>
    <w:p w14:paraId="60BD7D5E" w14:textId="77777777" w:rsidR="003B753C" w:rsidRDefault="00292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3B753C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D7D62" w14:textId="77777777" w:rsidR="003B753C" w:rsidRDefault="00292DD7">
      <w:pPr>
        <w:spacing w:after="0" w:line="240" w:lineRule="auto"/>
      </w:pPr>
      <w:r>
        <w:separator/>
      </w:r>
    </w:p>
  </w:endnote>
  <w:endnote w:type="continuationSeparator" w:id="0">
    <w:p w14:paraId="60BD7D63" w14:textId="77777777" w:rsidR="003B753C" w:rsidRDefault="00292DD7">
      <w:pPr>
        <w:spacing w:after="0" w:line="240" w:lineRule="auto"/>
      </w:pPr>
      <w:r>
        <w:continuationSeparator/>
      </w:r>
    </w:p>
  </w:endnote>
  <w:endnote w:type="continuationNotice" w:id="1">
    <w:p w14:paraId="60BD7D64" w14:textId="77777777" w:rsidR="003B753C" w:rsidRDefault="003B75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60BD7D68" w14:textId="61257402" w:rsidR="003B753C" w:rsidRDefault="00292D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BD7D69" w14:textId="77777777" w:rsidR="003B753C" w:rsidRDefault="00292DD7">
    <w:pPr>
      <w:pStyle w:val="Footer"/>
      <w:spacing w:after="120"/>
      <w:ind w:right="-330"/>
      <w:rPr>
        <w:rFonts w:ascii="Arial" w:hAnsi="Arial"/>
        <w:sz w:val="18"/>
      </w:rPr>
    </w:pPr>
    <w:r>
      <w:rPr>
        <w:rFonts w:ascii="Arial" w:hAnsi="Arial"/>
        <w:sz w:val="18"/>
      </w:rPr>
      <w:t xml:space="preserve">Reviewed and </w:t>
    </w:r>
    <w:r>
      <w:rPr>
        <w:rFonts w:ascii="Arial" w:hAnsi="Arial"/>
        <w:sz w:val="18"/>
      </w:rPr>
      <w:t>approved at the School Education Committee 24/04/2019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D7D5F" w14:textId="77777777" w:rsidR="003B753C" w:rsidRDefault="00292DD7">
      <w:pPr>
        <w:spacing w:after="0" w:line="240" w:lineRule="auto"/>
      </w:pPr>
      <w:r>
        <w:separator/>
      </w:r>
    </w:p>
  </w:footnote>
  <w:footnote w:type="continuationSeparator" w:id="0">
    <w:p w14:paraId="60BD7D60" w14:textId="77777777" w:rsidR="003B753C" w:rsidRDefault="00292DD7">
      <w:pPr>
        <w:spacing w:after="0" w:line="240" w:lineRule="auto"/>
      </w:pPr>
      <w:r>
        <w:continuationSeparator/>
      </w:r>
    </w:p>
  </w:footnote>
  <w:footnote w:type="continuationNotice" w:id="1">
    <w:p w14:paraId="60BD7D61" w14:textId="77777777" w:rsidR="003B753C" w:rsidRDefault="003B75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D7D65" w14:textId="77777777" w:rsidR="003B753C" w:rsidRDefault="00292DD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60BD7D6C" wp14:editId="60BD7D6D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60BD7D66" w14:textId="77777777" w:rsidR="003B753C" w:rsidRDefault="003B753C">
    <w:pPr>
      <w:pStyle w:val="Heading1"/>
      <w:spacing w:before="60" w:after="60"/>
      <w:rPr>
        <w:rFonts w:ascii="Arial" w:hAnsi="Arial" w:cs="Arial"/>
      </w:rPr>
    </w:pPr>
  </w:p>
  <w:p w14:paraId="60BD7D67" w14:textId="77777777" w:rsidR="003B753C" w:rsidRDefault="003B7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D7D6A" w14:textId="77777777" w:rsidR="003B753C" w:rsidRDefault="00292DD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0BD7D6E" wp14:editId="60BD7D6F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60BD7D6B" w14:textId="77777777" w:rsidR="003B753C" w:rsidRDefault="003B75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0A62CF"/>
    <w:multiLevelType w:val="hybridMultilevel"/>
    <w:tmpl w:val="C9543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078D"/>
    <w:multiLevelType w:val="hybridMultilevel"/>
    <w:tmpl w:val="B35C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A761E"/>
    <w:multiLevelType w:val="hybridMultilevel"/>
    <w:tmpl w:val="484E2E0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E040D93"/>
    <w:multiLevelType w:val="hybridMultilevel"/>
    <w:tmpl w:val="F1CCA5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15B2D78"/>
    <w:multiLevelType w:val="hybridMultilevel"/>
    <w:tmpl w:val="FCCE37F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711D9D"/>
    <w:multiLevelType w:val="hybridMultilevel"/>
    <w:tmpl w:val="5080D6B2"/>
    <w:lvl w:ilvl="0" w:tplc="0EA656CE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2"/>
        <w:szCs w:val="22"/>
        <w:u w:val="none"/>
        <w:vertAlign w:val="baseline"/>
        <w14:cntxtAlts w14:val="0"/>
      </w:rPr>
    </w:lvl>
    <w:lvl w:ilvl="1" w:tplc="0809001B">
      <w:start w:val="1"/>
      <w:numFmt w:val="lowerRoman"/>
      <w:lvlText w:val="%2."/>
      <w:lvlJc w:val="right"/>
      <w:pPr>
        <w:ind w:left="4612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6410A93"/>
    <w:multiLevelType w:val="hybridMultilevel"/>
    <w:tmpl w:val="D356102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FA56671"/>
    <w:multiLevelType w:val="hybridMultilevel"/>
    <w:tmpl w:val="94668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91854"/>
    <w:multiLevelType w:val="hybridMultilevel"/>
    <w:tmpl w:val="0728E45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0426E80"/>
    <w:multiLevelType w:val="hybridMultilevel"/>
    <w:tmpl w:val="02C20C8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BE66CED"/>
    <w:multiLevelType w:val="hybridMultilevel"/>
    <w:tmpl w:val="32903DC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C1A3D3E"/>
    <w:multiLevelType w:val="hybridMultilevel"/>
    <w:tmpl w:val="7760FF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DE2BC0"/>
    <w:multiLevelType w:val="hybridMultilevel"/>
    <w:tmpl w:val="546E5AC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664A5"/>
    <w:multiLevelType w:val="hybridMultilevel"/>
    <w:tmpl w:val="C85642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DAC655C"/>
    <w:multiLevelType w:val="hybridMultilevel"/>
    <w:tmpl w:val="A6EC3CC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1B523FA"/>
    <w:multiLevelType w:val="hybridMultilevel"/>
    <w:tmpl w:val="EDA44EF2"/>
    <w:lvl w:ilvl="0" w:tplc="0809001B">
      <w:start w:val="1"/>
      <w:numFmt w:val="lowerRoman"/>
      <w:lvlText w:val="%1."/>
      <w:lvlJc w:val="right"/>
      <w:pPr>
        <w:ind w:left="1506" w:hanging="360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2"/>
        <w:u w:val="none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6F333585"/>
    <w:multiLevelType w:val="hybridMultilevel"/>
    <w:tmpl w:val="FB4C34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1"/>
  </w:num>
  <w:num w:numId="6">
    <w:abstractNumId w:val="18"/>
  </w:num>
  <w:num w:numId="7">
    <w:abstractNumId w:val="25"/>
  </w:num>
  <w:num w:numId="8">
    <w:abstractNumId w:val="19"/>
  </w:num>
  <w:num w:numId="9">
    <w:abstractNumId w:val="8"/>
  </w:num>
  <w:num w:numId="10">
    <w:abstractNumId w:val="13"/>
  </w:num>
  <w:num w:numId="11">
    <w:abstractNumId w:val="22"/>
  </w:num>
  <w:num w:numId="12">
    <w:abstractNumId w:val="9"/>
  </w:num>
  <w:num w:numId="13">
    <w:abstractNumId w:val="11"/>
  </w:num>
  <w:num w:numId="14">
    <w:abstractNumId w:val="14"/>
  </w:num>
  <w:num w:numId="15">
    <w:abstractNumId w:val="15"/>
  </w:num>
  <w:num w:numId="16">
    <w:abstractNumId w:val="20"/>
  </w:num>
  <w:num w:numId="17">
    <w:abstractNumId w:val="17"/>
  </w:num>
  <w:num w:numId="18">
    <w:abstractNumId w:val="6"/>
  </w:num>
  <w:num w:numId="19">
    <w:abstractNumId w:val="5"/>
  </w:num>
  <w:num w:numId="20">
    <w:abstractNumId w:val="10"/>
  </w:num>
  <w:num w:numId="21">
    <w:abstractNumId w:val="23"/>
  </w:num>
  <w:num w:numId="22">
    <w:abstractNumId w:val="12"/>
  </w:num>
  <w:num w:numId="23">
    <w:abstractNumId w:val="3"/>
  </w:num>
  <w:num w:numId="24">
    <w:abstractNumId w:val="16"/>
  </w:num>
  <w:num w:numId="25">
    <w:abstractNumId w:val="2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3C"/>
    <w:rsid w:val="00292DD7"/>
    <w:rsid w:val="003B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BD7C1E"/>
  <w15:docId w15:val="{D3DC1385-DC72-4B55-B2BB-C4CF0D72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8F0416E893F4984621239176F6BA9" ma:contentTypeVersion="1" ma:contentTypeDescription="Create a new document." ma:contentTypeScope="" ma:versionID="e88ec3eea8ba4aeaf0bd9f1944705f51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b9e05-657a-4dc1-8c6c-679bdea18f38">3AMX4D3CU3N3-1394680045-135</_dlc_DocId>
    <_dlc_DocIdUrl xmlns="ef2b9e05-657a-4dc1-8c6c-679bdea18f38">
      <Url>https://sharepoint.kent.ac.uk/fso/cmaproject/_layouts/15/DocIdRedir.aspx?ID=3AMX4D3CU3N3-1394680045-135</Url>
      <Description>3AMX4D3CU3N3-1394680045-135</Description>
    </_dlc_DocIdUrl>
    <_dlc_DocIdPersistId xmlns="ef2b9e05-657a-4dc1-8c6c-679bdea18f38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6F95-DC02-4A63-B04C-731419794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9AD64-BE25-4C13-A55F-F50D17F37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00B82-7CAD-4EF1-AA60-768D725805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010D92-F078-435B-A29B-69A8A76D67A2}">
  <ds:schemaRefs>
    <ds:schemaRef ds:uri="ef2b9e05-657a-4dc1-8c6c-679bdea18f3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67C6870-89CA-4744-A8C4-F8108003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 Matthes-Buck</dc:creator>
  <cp:lastModifiedBy>Jo Stoner</cp:lastModifiedBy>
  <cp:revision>2</cp:revision>
  <cp:lastPrinted>2015-09-09T08:37:00Z</cp:lastPrinted>
  <dcterms:created xsi:type="dcterms:W3CDTF">2019-11-20T11:24:00Z</dcterms:created>
  <dcterms:modified xsi:type="dcterms:W3CDTF">2019-11-20T11:24:00Z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0x0101007798F0416E893F4984621239176F6BA9</vt:lpwstr>
  </property>
  <property fmtid="{D5CDD505-2E9C-101B-9397-08002B2CF9AE}" pid="3" name="_dlc_DocIdItemGuid">
    <vt:lpwstr>bdc019c4-e8e1-41a4-8554-15d50c7d0a9b</vt:lpwstr>
  </property>
  <property fmtid="{D5CDD505-2E9C-101B-9397-08002B2CF9AE}" pid="4" name="Order">
    <vt:r8>4200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