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after="0" w:line="240" w:lineRule="auto"/>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A2D37" w:rsidRPr="00302082" w:rsidRDefault="00EA09C1" w:rsidP="00302082">
      <w:pPr>
        <w:spacing w:after="120" w:line="240" w:lineRule="auto"/>
        <w:ind w:left="426" w:right="260"/>
        <w:jc w:val="both"/>
        <w:rPr>
          <w:rFonts w:ascii="Arial" w:hAnsi="Arial" w:cs="Arial"/>
        </w:rPr>
      </w:pPr>
      <w:r>
        <w:rPr>
          <w:rFonts w:ascii="Arial" w:hAnsi="Arial" w:cs="Arial"/>
        </w:rPr>
        <w:t>Organic</w:t>
      </w:r>
      <w:r w:rsidR="00D34A7C">
        <w:rPr>
          <w:rFonts w:ascii="Arial" w:hAnsi="Arial" w:cs="Arial"/>
        </w:rPr>
        <w:t xml:space="preserve"> Chemistry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7A7376" w:rsidRDefault="00AC5C4F" w:rsidP="00302082">
      <w:pPr>
        <w:spacing w:after="120" w:line="240" w:lineRule="auto"/>
        <w:ind w:left="426" w:right="260"/>
        <w:rPr>
          <w:rFonts w:ascii="Arial" w:hAnsi="Arial" w:cs="Arial"/>
          <w:iCs/>
        </w:rPr>
      </w:pPr>
      <w:r>
        <w:rPr>
          <w:rFonts w:ascii="Arial" w:hAnsi="Arial" w:cs="Arial"/>
          <w:iCs/>
        </w:rPr>
        <w:t>Medway School of Pharmacy</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7A7376" w:rsidRDefault="00AC5C4F" w:rsidP="00302082">
      <w:pPr>
        <w:spacing w:after="120" w:line="240" w:lineRule="auto"/>
        <w:ind w:left="426" w:right="260"/>
        <w:rPr>
          <w:rFonts w:ascii="Arial" w:hAnsi="Arial" w:cs="Arial"/>
          <w:iCs/>
        </w:rPr>
      </w:pPr>
      <w:r>
        <w:rPr>
          <w:rFonts w:ascii="Arial" w:hAnsi="Arial" w:cs="Arial"/>
          <w:iCs/>
        </w:rPr>
        <w:t>Level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7A7376" w:rsidRDefault="00AC5C4F" w:rsidP="00302082">
      <w:pPr>
        <w:spacing w:after="120" w:line="240" w:lineRule="auto"/>
        <w:ind w:left="426" w:right="260"/>
        <w:rPr>
          <w:rFonts w:ascii="Arial" w:hAnsi="Arial" w:cs="Arial"/>
        </w:rPr>
      </w:pPr>
      <w:r>
        <w:rPr>
          <w:rFonts w:ascii="Arial" w:hAnsi="Arial" w:cs="Arial"/>
        </w:rPr>
        <w:t>15 (ECTS 7.5)</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AC5C4F" w:rsidRDefault="00AC5C4F" w:rsidP="00AC5C4F">
      <w:pPr>
        <w:ind w:left="426"/>
        <w:rPr>
          <w:rFonts w:ascii="Arial" w:hAnsi="Arial" w:cs="Arial"/>
        </w:rPr>
      </w:pPr>
      <w:r w:rsidRPr="00AC5C4F">
        <w:rPr>
          <w:rFonts w:ascii="Arial" w:hAnsi="Arial" w:cs="Arial"/>
        </w:rPr>
        <w:t>This module is being taught as part of the Foundation in Applied Chemical Science Technology which is being delivered by e-learning on a part-time basis over three years.</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AC5C4F" w:rsidP="00AC5C4F">
      <w:pPr>
        <w:spacing w:after="120" w:line="240" w:lineRule="auto"/>
        <w:ind w:left="426" w:right="260"/>
        <w:rPr>
          <w:rFonts w:ascii="Arial" w:hAnsi="Arial" w:cs="Arial"/>
          <w:iCs/>
        </w:rPr>
      </w:pPr>
      <w:r>
        <w:rPr>
          <w:rFonts w:ascii="Arial" w:hAnsi="Arial" w:cs="Arial"/>
          <w:iCs/>
        </w:rPr>
        <w:t>None</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7A7376" w:rsidRDefault="00AC5C4F" w:rsidP="00302082">
      <w:pPr>
        <w:spacing w:after="120" w:line="240" w:lineRule="auto"/>
        <w:ind w:left="426" w:right="260"/>
        <w:rPr>
          <w:rFonts w:ascii="Arial" w:hAnsi="Arial" w:cs="Arial"/>
          <w:iCs/>
        </w:rPr>
      </w:pPr>
      <w:r w:rsidRPr="00AC5C4F">
        <w:rPr>
          <w:rFonts w:ascii="Arial" w:hAnsi="Arial" w:cs="Arial"/>
          <w:iCs/>
        </w:rPr>
        <w:t>Foundation in Applied Chemical Science Technology</w:t>
      </w: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E3F1B" w:rsidRPr="00DE3F1B" w:rsidRDefault="00DE3F1B" w:rsidP="00482163">
      <w:pPr>
        <w:pStyle w:val="ListParagraph"/>
        <w:numPr>
          <w:ilvl w:val="0"/>
          <w:numId w:val="18"/>
        </w:numPr>
        <w:spacing w:after="120" w:line="240" w:lineRule="auto"/>
        <w:ind w:left="1134" w:right="260" w:hanging="567"/>
        <w:rPr>
          <w:rFonts w:ascii="Arial" w:hAnsi="Arial" w:cs="Arial"/>
        </w:rPr>
      </w:pPr>
      <w:r w:rsidRPr="00DE3F1B">
        <w:rPr>
          <w:rFonts w:ascii="Arial" w:hAnsi="Arial" w:cs="Arial"/>
        </w:rPr>
        <w:t>Demonstrate a basic understanding of atomic structure, bonding and basic understanding of reaction mechanisms</w:t>
      </w:r>
      <w:r w:rsidR="00482163">
        <w:rPr>
          <w:rFonts w:ascii="Arial" w:hAnsi="Arial" w:cs="Arial"/>
        </w:rPr>
        <w:t xml:space="preserve"> (PO A1-3; B1-3)</w:t>
      </w:r>
    </w:p>
    <w:p w:rsidR="00DE3F1B" w:rsidRPr="00DE3F1B" w:rsidRDefault="00DE3F1B" w:rsidP="00482163">
      <w:pPr>
        <w:pStyle w:val="ListParagraph"/>
        <w:numPr>
          <w:ilvl w:val="0"/>
          <w:numId w:val="18"/>
        </w:numPr>
        <w:spacing w:after="120" w:line="240" w:lineRule="auto"/>
        <w:ind w:left="1134" w:right="260" w:hanging="567"/>
        <w:rPr>
          <w:rFonts w:ascii="Arial" w:hAnsi="Arial" w:cs="Arial"/>
        </w:rPr>
      </w:pPr>
      <w:r w:rsidRPr="00DE3F1B">
        <w:rPr>
          <w:rFonts w:ascii="Arial" w:hAnsi="Arial" w:cs="Arial"/>
        </w:rPr>
        <w:t>Demonstrate an understanding of the physicochemical properties and basic reactions of major organic functional groups and the concept of aromaticity</w:t>
      </w:r>
      <w:r w:rsidR="00482163">
        <w:rPr>
          <w:rFonts w:ascii="Arial" w:hAnsi="Arial" w:cs="Arial"/>
        </w:rPr>
        <w:t xml:space="preserve"> (PO A1-3; B1-3)</w:t>
      </w:r>
    </w:p>
    <w:p w:rsidR="00DE3F1B" w:rsidRPr="00DE3F1B" w:rsidRDefault="00DE3F1B" w:rsidP="00482163">
      <w:pPr>
        <w:pStyle w:val="ListParagraph"/>
        <w:numPr>
          <w:ilvl w:val="0"/>
          <w:numId w:val="18"/>
        </w:numPr>
        <w:spacing w:after="120" w:line="240" w:lineRule="auto"/>
        <w:ind w:left="1134" w:right="260" w:hanging="567"/>
        <w:rPr>
          <w:rFonts w:ascii="Arial" w:hAnsi="Arial" w:cs="Arial"/>
        </w:rPr>
      </w:pPr>
      <w:r w:rsidRPr="00DE3F1B">
        <w:rPr>
          <w:rFonts w:ascii="Arial" w:hAnsi="Arial" w:cs="Arial"/>
        </w:rPr>
        <w:t>Develop an understanding of stereochemistry and an ability to apply the principles of chirality and stereochemistry to the behaviour of small molecules</w:t>
      </w:r>
      <w:r w:rsidR="00482163">
        <w:rPr>
          <w:rFonts w:ascii="Arial" w:hAnsi="Arial" w:cs="Arial"/>
        </w:rPr>
        <w:t xml:space="preserve"> (PO A1-3; B1-3)</w:t>
      </w:r>
    </w:p>
    <w:p w:rsidR="00DE3F1B" w:rsidRPr="00DE3F1B" w:rsidRDefault="00DE3F1B" w:rsidP="00482163">
      <w:pPr>
        <w:pStyle w:val="ListParagraph"/>
        <w:numPr>
          <w:ilvl w:val="0"/>
          <w:numId w:val="18"/>
        </w:numPr>
        <w:spacing w:after="120" w:line="240" w:lineRule="auto"/>
        <w:ind w:left="1134" w:right="260" w:hanging="567"/>
        <w:rPr>
          <w:rFonts w:ascii="Arial" w:hAnsi="Arial" w:cs="Arial"/>
        </w:rPr>
      </w:pPr>
      <w:r w:rsidRPr="00DE3F1B">
        <w:rPr>
          <w:rFonts w:ascii="Arial" w:hAnsi="Arial" w:cs="Arial"/>
        </w:rPr>
        <w:t>Understand the concept of acidity and basicity and the structural features that affect these properties</w:t>
      </w:r>
      <w:r w:rsidR="00482163">
        <w:rPr>
          <w:rFonts w:ascii="Arial" w:hAnsi="Arial" w:cs="Arial"/>
        </w:rPr>
        <w:t xml:space="preserve"> (PO A1-3; B1-3)</w:t>
      </w: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276EF" w:rsidRPr="00482163" w:rsidRDefault="00B478C8" w:rsidP="00482163">
      <w:pPr>
        <w:pStyle w:val="Default"/>
        <w:numPr>
          <w:ilvl w:val="0"/>
          <w:numId w:val="20"/>
        </w:numPr>
        <w:spacing w:after="120"/>
        <w:ind w:right="260"/>
        <w:rPr>
          <w:color w:val="auto"/>
          <w:sz w:val="22"/>
          <w:szCs w:val="22"/>
        </w:rPr>
      </w:pPr>
      <w:r w:rsidRPr="00B478C8">
        <w:rPr>
          <w:color w:val="auto"/>
          <w:sz w:val="22"/>
          <w:szCs w:val="22"/>
        </w:rPr>
        <w:t xml:space="preserve">The development of practical/technical skills </w:t>
      </w:r>
      <w:r w:rsidR="00482163">
        <w:rPr>
          <w:color w:val="auto"/>
          <w:sz w:val="22"/>
          <w:szCs w:val="22"/>
        </w:rPr>
        <w:t xml:space="preserve">(A4;C1) </w:t>
      </w:r>
    </w:p>
    <w:p w:rsidR="00B478C8" w:rsidRPr="00B478C8" w:rsidRDefault="00B478C8" w:rsidP="00482163">
      <w:pPr>
        <w:pStyle w:val="Default"/>
        <w:numPr>
          <w:ilvl w:val="0"/>
          <w:numId w:val="20"/>
        </w:numPr>
        <w:spacing w:after="120"/>
        <w:ind w:right="260"/>
        <w:rPr>
          <w:color w:val="auto"/>
          <w:sz w:val="22"/>
          <w:szCs w:val="22"/>
        </w:rPr>
      </w:pPr>
      <w:r w:rsidRPr="00B478C8">
        <w:rPr>
          <w:color w:val="auto"/>
          <w:sz w:val="22"/>
          <w:szCs w:val="22"/>
        </w:rPr>
        <w:t xml:space="preserve">An ability to analyse, evaluate and correctly interpret data </w:t>
      </w:r>
      <w:r w:rsidR="00482163">
        <w:rPr>
          <w:color w:val="auto"/>
          <w:sz w:val="22"/>
          <w:szCs w:val="22"/>
        </w:rPr>
        <w:t>(A6-8; C2)</w:t>
      </w:r>
    </w:p>
    <w:p w:rsidR="000276EF" w:rsidRDefault="00B478C8" w:rsidP="00482163">
      <w:pPr>
        <w:pStyle w:val="Default"/>
        <w:numPr>
          <w:ilvl w:val="0"/>
          <w:numId w:val="20"/>
        </w:numPr>
        <w:spacing w:after="120"/>
        <w:ind w:right="260"/>
        <w:rPr>
          <w:color w:val="auto"/>
          <w:sz w:val="22"/>
          <w:szCs w:val="22"/>
        </w:rPr>
      </w:pPr>
      <w:r w:rsidRPr="00B478C8">
        <w:rPr>
          <w:color w:val="auto"/>
          <w:sz w:val="22"/>
          <w:szCs w:val="22"/>
        </w:rPr>
        <w:t xml:space="preserve">An ability to present and communicate data </w:t>
      </w:r>
      <w:r w:rsidR="00482163">
        <w:rPr>
          <w:color w:val="auto"/>
          <w:sz w:val="22"/>
          <w:szCs w:val="22"/>
        </w:rPr>
        <w:t>(C3; C6; D1-3)</w:t>
      </w:r>
    </w:p>
    <w:p w:rsidR="000276EF" w:rsidRDefault="00B478C8" w:rsidP="00482163">
      <w:pPr>
        <w:pStyle w:val="Default"/>
        <w:numPr>
          <w:ilvl w:val="0"/>
          <w:numId w:val="20"/>
        </w:numPr>
        <w:spacing w:after="120"/>
        <w:ind w:right="260"/>
        <w:rPr>
          <w:color w:val="auto"/>
          <w:sz w:val="22"/>
          <w:szCs w:val="22"/>
        </w:rPr>
      </w:pPr>
      <w:r w:rsidRPr="00B478C8">
        <w:rPr>
          <w:color w:val="auto"/>
          <w:sz w:val="22"/>
          <w:szCs w:val="22"/>
        </w:rPr>
        <w:t xml:space="preserve">An ability to obtain and use information from a variety of sources as part of self-directed learning Time-management and organisational skills within the context of self-directed learning </w:t>
      </w:r>
      <w:r w:rsidR="00482163">
        <w:rPr>
          <w:color w:val="auto"/>
          <w:sz w:val="22"/>
          <w:szCs w:val="22"/>
        </w:rPr>
        <w:t>(C6; D7-9)</w:t>
      </w:r>
    </w:p>
    <w:p w:rsidR="000276EF" w:rsidRPr="00302082" w:rsidRDefault="000276EF" w:rsidP="000276EF">
      <w:pPr>
        <w:pStyle w:val="Default"/>
        <w:spacing w:after="120"/>
        <w:ind w:right="260"/>
        <w:rPr>
          <w:color w:val="auto"/>
          <w:sz w:val="22"/>
          <w:szCs w:val="22"/>
        </w:rPr>
      </w:pP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DE3F1B" w:rsidRPr="00DE3F1B" w:rsidRDefault="00DE3F1B" w:rsidP="00C9732A">
      <w:pPr>
        <w:pStyle w:val="ListParagraph"/>
        <w:numPr>
          <w:ilvl w:val="0"/>
          <w:numId w:val="17"/>
        </w:numPr>
        <w:spacing w:after="120" w:line="240" w:lineRule="auto"/>
        <w:ind w:left="709" w:right="260" w:hanging="283"/>
        <w:rPr>
          <w:rFonts w:ascii="Arial" w:hAnsi="Arial" w:cs="Arial"/>
          <w:iCs/>
        </w:rPr>
      </w:pPr>
      <w:r w:rsidRPr="00DE3F1B">
        <w:rPr>
          <w:rFonts w:ascii="Arial" w:hAnsi="Arial" w:cs="Arial"/>
          <w:iCs/>
        </w:rPr>
        <w:t xml:space="preserve">Atomic structure and bonding in molecules </w:t>
      </w:r>
    </w:p>
    <w:p w:rsidR="00DE3F1B" w:rsidRPr="00DE3F1B" w:rsidRDefault="00DE3F1B" w:rsidP="00C9732A">
      <w:pPr>
        <w:pStyle w:val="ListParagraph"/>
        <w:numPr>
          <w:ilvl w:val="0"/>
          <w:numId w:val="17"/>
        </w:numPr>
        <w:spacing w:after="120" w:line="240" w:lineRule="auto"/>
        <w:ind w:left="709" w:right="260" w:hanging="283"/>
        <w:rPr>
          <w:rFonts w:ascii="Arial" w:hAnsi="Arial" w:cs="Arial"/>
          <w:iCs/>
        </w:rPr>
      </w:pPr>
      <w:r w:rsidRPr="00DE3F1B">
        <w:rPr>
          <w:rFonts w:ascii="Arial" w:hAnsi="Arial" w:cs="Arial"/>
          <w:iCs/>
        </w:rPr>
        <w:lastRenderedPageBreak/>
        <w:t>Stereochemistry</w:t>
      </w:r>
    </w:p>
    <w:p w:rsidR="00DE3F1B" w:rsidRPr="00DE3F1B" w:rsidRDefault="00DE3F1B" w:rsidP="00C9732A">
      <w:pPr>
        <w:pStyle w:val="ListParagraph"/>
        <w:numPr>
          <w:ilvl w:val="0"/>
          <w:numId w:val="17"/>
        </w:numPr>
        <w:spacing w:after="120" w:line="240" w:lineRule="auto"/>
        <w:ind w:left="709" w:right="260" w:hanging="283"/>
        <w:rPr>
          <w:rFonts w:ascii="Arial" w:hAnsi="Arial" w:cs="Arial"/>
          <w:iCs/>
        </w:rPr>
      </w:pPr>
      <w:r w:rsidRPr="00DE3F1B">
        <w:rPr>
          <w:rFonts w:ascii="Arial" w:hAnsi="Arial" w:cs="Arial"/>
          <w:iCs/>
        </w:rPr>
        <w:t>Introduction to mechanistic principles</w:t>
      </w:r>
    </w:p>
    <w:p w:rsidR="00DE3F1B" w:rsidRPr="00DE3F1B" w:rsidRDefault="00DE3F1B" w:rsidP="00C9732A">
      <w:pPr>
        <w:pStyle w:val="ListParagraph"/>
        <w:numPr>
          <w:ilvl w:val="0"/>
          <w:numId w:val="17"/>
        </w:numPr>
        <w:spacing w:after="120" w:line="240" w:lineRule="auto"/>
        <w:ind w:left="709" w:right="260" w:hanging="283"/>
        <w:rPr>
          <w:rFonts w:ascii="Arial" w:hAnsi="Arial" w:cs="Arial"/>
          <w:iCs/>
        </w:rPr>
      </w:pPr>
      <w:r w:rsidRPr="00DE3F1B">
        <w:rPr>
          <w:rFonts w:ascii="Arial" w:hAnsi="Arial" w:cs="Arial"/>
          <w:iCs/>
        </w:rPr>
        <w:t>Acids and bases</w:t>
      </w:r>
    </w:p>
    <w:p w:rsidR="00DE3F1B" w:rsidRPr="00DE3F1B" w:rsidRDefault="00DE3F1B" w:rsidP="00C9732A">
      <w:pPr>
        <w:pStyle w:val="ListParagraph"/>
        <w:numPr>
          <w:ilvl w:val="0"/>
          <w:numId w:val="17"/>
        </w:numPr>
        <w:spacing w:after="120" w:line="240" w:lineRule="auto"/>
        <w:ind w:left="709" w:right="260" w:hanging="283"/>
        <w:rPr>
          <w:rFonts w:ascii="Arial" w:hAnsi="Arial" w:cs="Arial"/>
          <w:iCs/>
        </w:rPr>
      </w:pPr>
      <w:r w:rsidRPr="00DE3F1B">
        <w:rPr>
          <w:rFonts w:ascii="Arial" w:hAnsi="Arial" w:cs="Arial"/>
          <w:iCs/>
        </w:rPr>
        <w:t>Aliphatic and aromatic hydrocarbons</w:t>
      </w:r>
    </w:p>
    <w:p w:rsidR="00DE3F1B" w:rsidRPr="00DE3F1B" w:rsidRDefault="00DE3F1B" w:rsidP="00C9732A">
      <w:pPr>
        <w:pStyle w:val="ListParagraph"/>
        <w:numPr>
          <w:ilvl w:val="0"/>
          <w:numId w:val="17"/>
        </w:numPr>
        <w:spacing w:after="120" w:line="240" w:lineRule="auto"/>
        <w:ind w:left="709" w:right="260" w:hanging="283"/>
        <w:rPr>
          <w:rFonts w:ascii="Arial" w:hAnsi="Arial" w:cs="Arial"/>
          <w:iCs/>
        </w:rPr>
      </w:pPr>
      <w:r w:rsidRPr="00DE3F1B">
        <w:rPr>
          <w:rFonts w:ascii="Arial" w:hAnsi="Arial" w:cs="Arial"/>
          <w:iCs/>
        </w:rPr>
        <w:t>Chemistry of carbonyl compounds</w:t>
      </w:r>
    </w:p>
    <w:p w:rsidR="00482163" w:rsidRDefault="00DE3F1B" w:rsidP="00C9732A">
      <w:pPr>
        <w:pStyle w:val="ListParagraph"/>
        <w:numPr>
          <w:ilvl w:val="0"/>
          <w:numId w:val="17"/>
        </w:numPr>
        <w:spacing w:after="120" w:line="240" w:lineRule="auto"/>
        <w:ind w:left="709" w:right="260" w:hanging="283"/>
        <w:rPr>
          <w:rFonts w:ascii="Arial" w:hAnsi="Arial" w:cs="Arial"/>
          <w:iCs/>
        </w:rPr>
      </w:pPr>
      <w:r w:rsidRPr="00DE3F1B">
        <w:rPr>
          <w:rFonts w:ascii="Arial" w:hAnsi="Arial" w:cs="Arial"/>
          <w:iCs/>
        </w:rPr>
        <w:t>Chemistry of amines, alcohols, phenols and alkyl halides</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tbl>
      <w:tblPr>
        <w:tblW w:w="949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843"/>
        <w:gridCol w:w="850"/>
        <w:gridCol w:w="3260"/>
        <w:gridCol w:w="1701"/>
      </w:tblGrid>
      <w:tr w:rsidR="00C9732A" w:rsidRPr="00385B3E" w:rsidTr="00C56BAF">
        <w:tc>
          <w:tcPr>
            <w:tcW w:w="1843" w:type="dxa"/>
          </w:tcPr>
          <w:p w:rsidR="00C9732A" w:rsidRPr="00385B3E" w:rsidRDefault="00C9732A" w:rsidP="00C56BAF">
            <w:pPr>
              <w:tabs>
                <w:tab w:val="left" w:pos="-720"/>
              </w:tabs>
              <w:suppressAutoHyphens/>
              <w:spacing w:before="66" w:after="112"/>
              <w:ind w:left="-687" w:firstLine="687"/>
              <w:rPr>
                <w:rFonts w:ascii="Calibri" w:hAnsi="Calibri"/>
                <w:b/>
                <w:spacing w:val="-2"/>
              </w:rPr>
            </w:pPr>
            <w:r w:rsidRPr="00385B3E">
              <w:rPr>
                <w:rFonts w:ascii="Calibri" w:hAnsi="Calibri"/>
                <w:b/>
                <w:spacing w:val="-2"/>
              </w:rPr>
              <w:t>ISBN</w:t>
            </w:r>
          </w:p>
        </w:tc>
        <w:tc>
          <w:tcPr>
            <w:tcW w:w="1843" w:type="dxa"/>
          </w:tcPr>
          <w:p w:rsidR="00C9732A" w:rsidRPr="00385B3E" w:rsidRDefault="00C9732A" w:rsidP="00C56BAF">
            <w:pPr>
              <w:tabs>
                <w:tab w:val="left" w:pos="-720"/>
              </w:tabs>
              <w:suppressAutoHyphens/>
              <w:spacing w:before="66" w:after="112"/>
              <w:ind w:left="-687" w:firstLine="687"/>
              <w:rPr>
                <w:rFonts w:ascii="Calibri" w:hAnsi="Calibri"/>
                <w:b/>
                <w:spacing w:val="-2"/>
              </w:rPr>
            </w:pPr>
            <w:r w:rsidRPr="00385B3E">
              <w:rPr>
                <w:rFonts w:ascii="Calibri" w:hAnsi="Calibri"/>
                <w:b/>
                <w:spacing w:val="-2"/>
              </w:rPr>
              <w:t>Author</w:t>
            </w:r>
          </w:p>
        </w:tc>
        <w:tc>
          <w:tcPr>
            <w:tcW w:w="850" w:type="dxa"/>
          </w:tcPr>
          <w:p w:rsidR="00C9732A" w:rsidRPr="00385B3E" w:rsidRDefault="00C9732A" w:rsidP="00C56BAF">
            <w:pPr>
              <w:tabs>
                <w:tab w:val="left" w:pos="-720"/>
              </w:tabs>
              <w:suppressAutoHyphens/>
              <w:spacing w:before="66" w:after="112"/>
              <w:ind w:left="-687" w:firstLine="687"/>
              <w:rPr>
                <w:rFonts w:ascii="Calibri" w:hAnsi="Calibri"/>
                <w:b/>
                <w:spacing w:val="-2"/>
              </w:rPr>
            </w:pPr>
            <w:r w:rsidRPr="00385B3E">
              <w:rPr>
                <w:rFonts w:ascii="Calibri" w:hAnsi="Calibri"/>
                <w:b/>
                <w:spacing w:val="-2"/>
              </w:rPr>
              <w:t>Date</w:t>
            </w:r>
          </w:p>
        </w:tc>
        <w:tc>
          <w:tcPr>
            <w:tcW w:w="3260" w:type="dxa"/>
          </w:tcPr>
          <w:p w:rsidR="00C9732A" w:rsidRPr="00385B3E" w:rsidRDefault="00C9732A" w:rsidP="00C56BAF">
            <w:pPr>
              <w:tabs>
                <w:tab w:val="left" w:pos="-720"/>
              </w:tabs>
              <w:suppressAutoHyphens/>
              <w:spacing w:before="66" w:after="112"/>
              <w:ind w:left="-687" w:firstLine="687"/>
              <w:rPr>
                <w:rFonts w:ascii="Calibri" w:hAnsi="Calibri"/>
                <w:b/>
                <w:spacing w:val="-2"/>
              </w:rPr>
            </w:pPr>
            <w:r w:rsidRPr="00385B3E">
              <w:rPr>
                <w:rFonts w:ascii="Calibri" w:hAnsi="Calibri"/>
                <w:b/>
                <w:spacing w:val="-2"/>
              </w:rPr>
              <w:t>Title</w:t>
            </w:r>
          </w:p>
        </w:tc>
        <w:tc>
          <w:tcPr>
            <w:tcW w:w="1701" w:type="dxa"/>
          </w:tcPr>
          <w:p w:rsidR="00C9732A" w:rsidRPr="00385B3E" w:rsidRDefault="00C9732A" w:rsidP="00C56BAF">
            <w:pPr>
              <w:tabs>
                <w:tab w:val="left" w:pos="-720"/>
              </w:tabs>
              <w:suppressAutoHyphens/>
              <w:spacing w:before="66" w:after="112"/>
              <w:ind w:left="-687" w:firstLine="687"/>
              <w:rPr>
                <w:rFonts w:ascii="Calibri" w:hAnsi="Calibri"/>
                <w:b/>
                <w:spacing w:val="-2"/>
              </w:rPr>
            </w:pPr>
            <w:r w:rsidRPr="00385B3E">
              <w:rPr>
                <w:rFonts w:ascii="Calibri" w:hAnsi="Calibri"/>
                <w:b/>
                <w:spacing w:val="-2"/>
              </w:rPr>
              <w:t>Publisher</w:t>
            </w:r>
          </w:p>
        </w:tc>
      </w:tr>
      <w:tr w:rsidR="00C9732A" w:rsidRPr="00385B3E" w:rsidTr="00C56BAF">
        <w:trPr>
          <w:trHeight w:val="184"/>
        </w:trPr>
        <w:tc>
          <w:tcPr>
            <w:tcW w:w="1843"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0321644166</w:t>
            </w:r>
          </w:p>
        </w:tc>
        <w:tc>
          <w:tcPr>
            <w:tcW w:w="1843"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 xml:space="preserve">Paula Bruice </w:t>
            </w:r>
          </w:p>
        </w:tc>
        <w:tc>
          <w:tcPr>
            <w:tcW w:w="850"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2009</w:t>
            </w:r>
          </w:p>
        </w:tc>
        <w:tc>
          <w:tcPr>
            <w:tcW w:w="3260"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Essential Organic Chemistry</w:t>
            </w:r>
          </w:p>
        </w:tc>
        <w:tc>
          <w:tcPr>
            <w:tcW w:w="1701"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Pearson</w:t>
            </w:r>
          </w:p>
        </w:tc>
      </w:tr>
      <w:tr w:rsidR="00C9732A" w:rsidRPr="00385B3E" w:rsidTr="00C56BAF">
        <w:trPr>
          <w:trHeight w:val="184"/>
        </w:trPr>
        <w:tc>
          <w:tcPr>
            <w:tcW w:w="1843" w:type="dxa"/>
          </w:tcPr>
          <w:p w:rsidR="00C9732A" w:rsidRPr="009141BB" w:rsidRDefault="00C9732A" w:rsidP="00C56BAF">
            <w:pPr>
              <w:tabs>
                <w:tab w:val="left" w:pos="-720"/>
              </w:tabs>
              <w:suppressAutoHyphens/>
              <w:spacing w:before="66" w:after="112"/>
              <w:ind w:left="-687" w:firstLine="687"/>
              <w:rPr>
                <w:rFonts w:ascii="Calibri" w:hAnsi="Calibri"/>
                <w:spacing w:val="-2"/>
              </w:rPr>
            </w:pPr>
            <w:r w:rsidRPr="009141BB">
              <w:rPr>
                <w:rFonts w:ascii="Calibri" w:hAnsi="Calibri" w:cs="Arial"/>
                <w:color w:val="424242"/>
                <w:szCs w:val="26"/>
                <w:lang w:val="en-US"/>
              </w:rPr>
              <w:t>97808400544</w:t>
            </w:r>
          </w:p>
        </w:tc>
        <w:tc>
          <w:tcPr>
            <w:tcW w:w="1843"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John McMurry</w:t>
            </w:r>
          </w:p>
        </w:tc>
        <w:tc>
          <w:tcPr>
            <w:tcW w:w="850"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2011</w:t>
            </w:r>
          </w:p>
        </w:tc>
        <w:tc>
          <w:tcPr>
            <w:tcW w:w="3260"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Organic Chemistry</w:t>
            </w:r>
          </w:p>
        </w:tc>
        <w:tc>
          <w:tcPr>
            <w:tcW w:w="1701" w:type="dxa"/>
          </w:tcPr>
          <w:p w:rsidR="00C9732A" w:rsidRPr="00385B3E" w:rsidRDefault="00C9732A" w:rsidP="00C56BAF">
            <w:pPr>
              <w:tabs>
                <w:tab w:val="left" w:pos="-720"/>
              </w:tabs>
              <w:suppressAutoHyphens/>
              <w:spacing w:before="66" w:after="112"/>
              <w:ind w:left="-687" w:firstLine="687"/>
              <w:rPr>
                <w:rFonts w:ascii="Calibri" w:hAnsi="Calibri"/>
                <w:spacing w:val="-2"/>
              </w:rPr>
            </w:pPr>
            <w:r w:rsidRPr="00385B3E">
              <w:rPr>
                <w:rFonts w:ascii="Calibri" w:hAnsi="Calibri"/>
                <w:spacing w:val="-2"/>
              </w:rPr>
              <w:t>Brooks/Cole</w:t>
            </w:r>
          </w:p>
        </w:tc>
      </w:tr>
    </w:tbl>
    <w:p w:rsidR="009A2D37" w:rsidRPr="007A7376" w:rsidRDefault="009A2D37" w:rsidP="007A7376">
      <w:pPr>
        <w:spacing w:after="120" w:line="240" w:lineRule="auto"/>
        <w:ind w:left="426" w:right="260"/>
        <w:jc w:val="both"/>
        <w:rPr>
          <w:rFonts w:ascii="Arial" w:hAnsi="Arial" w:cs="Arial"/>
        </w:rPr>
      </w:pPr>
    </w:p>
    <w:p w:rsidR="000276EF" w:rsidRPr="00302082"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275"/>
        <w:gridCol w:w="1558"/>
        <w:gridCol w:w="992"/>
        <w:gridCol w:w="991"/>
        <w:gridCol w:w="2406"/>
      </w:tblGrid>
      <w:tr w:rsidR="000276EF" w:rsidRPr="00DD5915" w:rsidTr="000276EF">
        <w:tc>
          <w:tcPr>
            <w:tcW w:w="13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Activity</w:t>
            </w:r>
          </w:p>
        </w:tc>
        <w:tc>
          <w:tcPr>
            <w:tcW w:w="1275" w:type="dxa"/>
            <w:shd w:val="clear" w:color="auto" w:fill="D9D9D9"/>
          </w:tcPr>
          <w:p w:rsidR="000276EF" w:rsidRPr="00DD5915" w:rsidRDefault="000276EF" w:rsidP="00C56BAF">
            <w:pPr>
              <w:spacing w:after="120"/>
              <w:jc w:val="center"/>
              <w:rPr>
                <w:rFonts w:ascii="Arial" w:hAnsi="Arial" w:cs="Arial"/>
                <w:b/>
              </w:rPr>
            </w:pPr>
            <w:r>
              <w:rPr>
                <w:rFonts w:ascii="Arial" w:hAnsi="Arial" w:cs="Arial"/>
                <w:b/>
              </w:rPr>
              <w:t>e-learning</w:t>
            </w:r>
          </w:p>
        </w:tc>
        <w:tc>
          <w:tcPr>
            <w:tcW w:w="1558" w:type="dxa"/>
            <w:shd w:val="clear" w:color="auto" w:fill="D9D9D9"/>
          </w:tcPr>
          <w:p w:rsidR="000276EF" w:rsidRDefault="000276EF" w:rsidP="00C56BAF">
            <w:pPr>
              <w:spacing w:after="120"/>
              <w:jc w:val="center"/>
              <w:rPr>
                <w:rFonts w:ascii="Arial" w:hAnsi="Arial" w:cs="Arial"/>
                <w:b/>
              </w:rPr>
            </w:pPr>
            <w:r>
              <w:rPr>
                <w:rFonts w:ascii="Arial" w:hAnsi="Arial" w:cs="Arial"/>
                <w:b/>
              </w:rPr>
              <w:t>e-activities/</w:t>
            </w:r>
          </w:p>
          <w:p w:rsidR="000276EF" w:rsidRPr="00DD5915" w:rsidRDefault="000276EF" w:rsidP="00C56BAF">
            <w:pPr>
              <w:spacing w:after="120"/>
              <w:jc w:val="center"/>
              <w:rPr>
                <w:rFonts w:ascii="Arial" w:hAnsi="Arial" w:cs="Arial"/>
                <w:b/>
              </w:rPr>
            </w:pPr>
            <w:r>
              <w:rPr>
                <w:rFonts w:ascii="Arial" w:hAnsi="Arial" w:cs="Arial"/>
                <w:b/>
              </w:rPr>
              <w:t>Practicals / Work activities</w:t>
            </w:r>
          </w:p>
        </w:tc>
        <w:tc>
          <w:tcPr>
            <w:tcW w:w="992"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MSCL</w:t>
            </w:r>
            <w:r>
              <w:rPr>
                <w:rFonts w:ascii="Arial" w:hAnsi="Arial" w:cs="Arial"/>
                <w:b/>
              </w:rPr>
              <w:t xml:space="preserve"> / CAL</w:t>
            </w:r>
          </w:p>
        </w:tc>
        <w:tc>
          <w:tcPr>
            <w:tcW w:w="991" w:type="dxa"/>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Total hours</w:t>
            </w:r>
          </w:p>
        </w:tc>
        <w:tc>
          <w:tcPr>
            <w:tcW w:w="2406" w:type="dxa"/>
            <w:tcBorders>
              <w:bottom w:val="single" w:sz="4" w:space="0" w:color="auto"/>
            </w:tcBorders>
            <w:shd w:val="clear" w:color="auto" w:fill="D9D9D9"/>
          </w:tcPr>
          <w:p w:rsidR="000276EF" w:rsidRPr="00DD5915" w:rsidRDefault="000276EF" w:rsidP="00C56BAF">
            <w:pPr>
              <w:spacing w:after="120"/>
              <w:jc w:val="center"/>
              <w:rPr>
                <w:rFonts w:ascii="Arial" w:hAnsi="Arial" w:cs="Arial"/>
                <w:b/>
              </w:rPr>
            </w:pPr>
            <w:r w:rsidRPr="00DD5915">
              <w:rPr>
                <w:rFonts w:ascii="Arial" w:hAnsi="Arial" w:cs="Arial"/>
                <w:b/>
              </w:rPr>
              <w:t>Learning Outcomes</w:t>
            </w:r>
          </w:p>
        </w:tc>
      </w:tr>
      <w:tr w:rsidR="00482163" w:rsidRPr="00334CC3" w:rsidTr="000276EF">
        <w:tc>
          <w:tcPr>
            <w:tcW w:w="1391" w:type="dxa"/>
          </w:tcPr>
          <w:p w:rsidR="00482163" w:rsidRPr="00DD5915" w:rsidRDefault="00482163" w:rsidP="00C56BAF">
            <w:pPr>
              <w:spacing w:after="120"/>
              <w:jc w:val="both"/>
              <w:rPr>
                <w:rFonts w:ascii="Arial" w:hAnsi="Arial" w:cs="Arial"/>
              </w:rPr>
            </w:pPr>
            <w:r>
              <w:rPr>
                <w:rFonts w:ascii="Arial" w:hAnsi="Arial" w:cs="Arial"/>
              </w:rPr>
              <w:t>Teaching</w:t>
            </w:r>
          </w:p>
        </w:tc>
        <w:tc>
          <w:tcPr>
            <w:tcW w:w="1275" w:type="dxa"/>
          </w:tcPr>
          <w:p w:rsidR="00482163" w:rsidRPr="00DD5915" w:rsidRDefault="00482163" w:rsidP="00C56BAF">
            <w:pPr>
              <w:spacing w:after="120"/>
              <w:jc w:val="center"/>
              <w:rPr>
                <w:rFonts w:ascii="Arial" w:hAnsi="Arial" w:cs="Arial"/>
              </w:rPr>
            </w:pPr>
            <w:r>
              <w:rPr>
                <w:rFonts w:ascii="Arial" w:hAnsi="Arial" w:cs="Arial"/>
              </w:rPr>
              <w:t>35</w:t>
            </w:r>
          </w:p>
        </w:tc>
        <w:tc>
          <w:tcPr>
            <w:tcW w:w="1558" w:type="dxa"/>
          </w:tcPr>
          <w:p w:rsidR="00482163" w:rsidRPr="00DD5915" w:rsidRDefault="00482163" w:rsidP="00C56BAF">
            <w:pPr>
              <w:spacing w:after="120"/>
              <w:jc w:val="center"/>
              <w:rPr>
                <w:rFonts w:ascii="Arial" w:hAnsi="Arial" w:cs="Arial"/>
              </w:rPr>
            </w:pPr>
            <w:r>
              <w:rPr>
                <w:rFonts w:ascii="Arial" w:hAnsi="Arial" w:cs="Arial"/>
              </w:rPr>
              <w:t>25</w:t>
            </w:r>
          </w:p>
        </w:tc>
        <w:tc>
          <w:tcPr>
            <w:tcW w:w="992" w:type="dxa"/>
          </w:tcPr>
          <w:p w:rsidR="00482163" w:rsidRPr="00DD5915" w:rsidRDefault="00482163" w:rsidP="00C56BAF">
            <w:pPr>
              <w:spacing w:after="120"/>
              <w:jc w:val="center"/>
              <w:rPr>
                <w:rFonts w:ascii="Arial" w:hAnsi="Arial" w:cs="Arial"/>
              </w:rPr>
            </w:pPr>
            <w:r>
              <w:rPr>
                <w:rFonts w:ascii="Arial" w:hAnsi="Arial" w:cs="Arial"/>
              </w:rPr>
              <w:t>15</w:t>
            </w:r>
          </w:p>
        </w:tc>
        <w:tc>
          <w:tcPr>
            <w:tcW w:w="991" w:type="dxa"/>
          </w:tcPr>
          <w:p w:rsidR="00482163" w:rsidRPr="00DD5915" w:rsidRDefault="00482163" w:rsidP="00C56BAF">
            <w:pPr>
              <w:spacing w:after="120"/>
              <w:jc w:val="center"/>
              <w:rPr>
                <w:rFonts w:ascii="Arial" w:hAnsi="Arial" w:cs="Arial"/>
                <w:b/>
              </w:rPr>
            </w:pPr>
            <w:r>
              <w:rPr>
                <w:rFonts w:ascii="Arial" w:hAnsi="Arial" w:cs="Arial"/>
                <w:b/>
              </w:rPr>
              <w:t>75</w:t>
            </w:r>
          </w:p>
        </w:tc>
        <w:tc>
          <w:tcPr>
            <w:tcW w:w="2406" w:type="dxa"/>
            <w:shd w:val="clear" w:color="auto" w:fill="FFFFFF"/>
          </w:tcPr>
          <w:p w:rsidR="00482163" w:rsidRPr="00334CC3" w:rsidRDefault="00482163" w:rsidP="003C5F10">
            <w:pPr>
              <w:spacing w:after="120"/>
              <w:jc w:val="both"/>
              <w:rPr>
                <w:rFonts w:ascii="Arial" w:hAnsi="Arial" w:cs="Arial"/>
              </w:rPr>
            </w:pPr>
            <w:r w:rsidRPr="00467598">
              <w:rPr>
                <w:rFonts w:ascii="Arial" w:hAnsi="Arial" w:cs="Arial"/>
              </w:rPr>
              <w:t>All subject specific learning outcomes (SSLOs)</w:t>
            </w:r>
          </w:p>
        </w:tc>
      </w:tr>
      <w:tr w:rsidR="00482163" w:rsidRPr="00DD5915" w:rsidTr="000276EF">
        <w:tc>
          <w:tcPr>
            <w:tcW w:w="1391" w:type="dxa"/>
          </w:tcPr>
          <w:p w:rsidR="00482163" w:rsidRPr="00DD5915" w:rsidRDefault="00482163" w:rsidP="00C56BAF">
            <w:pPr>
              <w:spacing w:after="120"/>
              <w:jc w:val="both"/>
              <w:rPr>
                <w:rFonts w:ascii="Arial" w:hAnsi="Arial" w:cs="Arial"/>
              </w:rPr>
            </w:pPr>
            <w:r w:rsidRPr="00DD5915">
              <w:rPr>
                <w:rFonts w:ascii="Arial" w:hAnsi="Arial" w:cs="Arial"/>
              </w:rPr>
              <w:t>Private study</w:t>
            </w:r>
          </w:p>
        </w:tc>
        <w:tc>
          <w:tcPr>
            <w:tcW w:w="1275" w:type="dxa"/>
          </w:tcPr>
          <w:p w:rsidR="00482163" w:rsidRPr="00DD5915" w:rsidRDefault="00482163" w:rsidP="00C56BAF">
            <w:pPr>
              <w:spacing w:after="120"/>
              <w:jc w:val="center"/>
              <w:rPr>
                <w:rFonts w:ascii="Arial" w:hAnsi="Arial" w:cs="Arial"/>
              </w:rPr>
            </w:pPr>
            <w:r>
              <w:rPr>
                <w:rFonts w:ascii="Arial" w:hAnsi="Arial" w:cs="Arial"/>
              </w:rPr>
              <w:t>15</w:t>
            </w:r>
          </w:p>
        </w:tc>
        <w:tc>
          <w:tcPr>
            <w:tcW w:w="1558" w:type="dxa"/>
          </w:tcPr>
          <w:p w:rsidR="00482163" w:rsidRPr="00DD5915" w:rsidRDefault="00482163" w:rsidP="00C56BAF">
            <w:pPr>
              <w:spacing w:after="120"/>
              <w:jc w:val="center"/>
              <w:rPr>
                <w:rFonts w:ascii="Arial" w:hAnsi="Arial" w:cs="Arial"/>
              </w:rPr>
            </w:pPr>
            <w:r>
              <w:rPr>
                <w:rFonts w:ascii="Arial" w:hAnsi="Arial" w:cs="Arial"/>
              </w:rPr>
              <w:t>5</w:t>
            </w:r>
          </w:p>
        </w:tc>
        <w:tc>
          <w:tcPr>
            <w:tcW w:w="992" w:type="dxa"/>
          </w:tcPr>
          <w:p w:rsidR="00482163" w:rsidRPr="00DD5915" w:rsidRDefault="00482163" w:rsidP="00C56BAF">
            <w:pPr>
              <w:spacing w:after="120"/>
              <w:jc w:val="center"/>
              <w:rPr>
                <w:rFonts w:ascii="Arial" w:hAnsi="Arial" w:cs="Arial"/>
              </w:rPr>
            </w:pPr>
            <w:r>
              <w:rPr>
                <w:rFonts w:ascii="Arial" w:hAnsi="Arial" w:cs="Arial"/>
              </w:rPr>
              <w:t>10</w:t>
            </w:r>
          </w:p>
        </w:tc>
        <w:tc>
          <w:tcPr>
            <w:tcW w:w="991" w:type="dxa"/>
          </w:tcPr>
          <w:p w:rsidR="00482163" w:rsidRPr="00DD5915" w:rsidRDefault="00482163" w:rsidP="00C56BAF">
            <w:pPr>
              <w:spacing w:after="120"/>
              <w:jc w:val="center"/>
              <w:rPr>
                <w:rFonts w:ascii="Arial" w:hAnsi="Arial" w:cs="Arial"/>
                <w:b/>
              </w:rPr>
            </w:pPr>
            <w:r>
              <w:rPr>
                <w:rFonts w:ascii="Arial" w:hAnsi="Arial" w:cs="Arial"/>
                <w:b/>
              </w:rPr>
              <w:t>30</w:t>
            </w:r>
          </w:p>
        </w:tc>
        <w:tc>
          <w:tcPr>
            <w:tcW w:w="2406" w:type="dxa"/>
          </w:tcPr>
          <w:p w:rsidR="00482163" w:rsidRPr="00DD5915" w:rsidRDefault="00482163" w:rsidP="003C5F10">
            <w:pPr>
              <w:spacing w:after="120"/>
              <w:jc w:val="both"/>
              <w:rPr>
                <w:rFonts w:ascii="Arial" w:hAnsi="Arial" w:cs="Arial"/>
              </w:rPr>
            </w:pPr>
            <w:r w:rsidRPr="00467598">
              <w:rPr>
                <w:rFonts w:ascii="Arial" w:hAnsi="Arial" w:cs="Arial"/>
              </w:rPr>
              <w:t>All subject specific learning outcomes (SSLOs)</w:t>
            </w:r>
          </w:p>
        </w:tc>
      </w:tr>
      <w:tr w:rsidR="00482163" w:rsidRPr="00490CD7" w:rsidTr="000276EF">
        <w:tc>
          <w:tcPr>
            <w:tcW w:w="1391" w:type="dxa"/>
          </w:tcPr>
          <w:p w:rsidR="00482163" w:rsidRPr="00DD5915" w:rsidRDefault="00482163" w:rsidP="00C56BAF">
            <w:pPr>
              <w:spacing w:after="120"/>
              <w:jc w:val="both"/>
              <w:rPr>
                <w:rFonts w:ascii="Arial" w:hAnsi="Arial" w:cs="Arial"/>
              </w:rPr>
            </w:pPr>
            <w:r>
              <w:rPr>
                <w:rFonts w:ascii="Arial" w:hAnsi="Arial" w:cs="Arial"/>
              </w:rPr>
              <w:t>Work-based experience</w:t>
            </w:r>
          </w:p>
        </w:tc>
        <w:tc>
          <w:tcPr>
            <w:tcW w:w="1275" w:type="dxa"/>
          </w:tcPr>
          <w:p w:rsidR="00482163" w:rsidRDefault="00482163" w:rsidP="00C56BAF">
            <w:pPr>
              <w:spacing w:after="120"/>
              <w:jc w:val="center"/>
              <w:rPr>
                <w:rFonts w:ascii="Arial" w:hAnsi="Arial" w:cs="Arial"/>
              </w:rPr>
            </w:pPr>
          </w:p>
        </w:tc>
        <w:tc>
          <w:tcPr>
            <w:tcW w:w="1558" w:type="dxa"/>
          </w:tcPr>
          <w:p w:rsidR="00482163" w:rsidRDefault="00482163" w:rsidP="00C56BAF">
            <w:pPr>
              <w:spacing w:after="120"/>
              <w:jc w:val="center"/>
              <w:rPr>
                <w:rFonts w:ascii="Arial" w:hAnsi="Arial" w:cs="Arial"/>
              </w:rPr>
            </w:pPr>
            <w:r>
              <w:rPr>
                <w:rFonts w:ascii="Arial" w:hAnsi="Arial" w:cs="Arial"/>
              </w:rPr>
              <w:t>40</w:t>
            </w:r>
          </w:p>
        </w:tc>
        <w:tc>
          <w:tcPr>
            <w:tcW w:w="992" w:type="dxa"/>
          </w:tcPr>
          <w:p w:rsidR="00482163" w:rsidRDefault="00482163" w:rsidP="00C56BAF">
            <w:pPr>
              <w:spacing w:after="120"/>
              <w:jc w:val="center"/>
              <w:rPr>
                <w:rFonts w:ascii="Arial" w:hAnsi="Arial" w:cs="Arial"/>
              </w:rPr>
            </w:pPr>
          </w:p>
        </w:tc>
        <w:tc>
          <w:tcPr>
            <w:tcW w:w="991" w:type="dxa"/>
          </w:tcPr>
          <w:p w:rsidR="00482163" w:rsidRDefault="00482163" w:rsidP="00C56BAF">
            <w:pPr>
              <w:spacing w:after="120"/>
              <w:jc w:val="center"/>
              <w:rPr>
                <w:rFonts w:ascii="Arial" w:hAnsi="Arial" w:cs="Arial"/>
                <w:b/>
              </w:rPr>
            </w:pPr>
            <w:r>
              <w:rPr>
                <w:rFonts w:ascii="Arial" w:hAnsi="Arial" w:cs="Arial"/>
                <w:b/>
              </w:rPr>
              <w:t>40</w:t>
            </w:r>
          </w:p>
        </w:tc>
        <w:tc>
          <w:tcPr>
            <w:tcW w:w="2406" w:type="dxa"/>
          </w:tcPr>
          <w:p w:rsidR="00482163" w:rsidRPr="00467598" w:rsidRDefault="00482163" w:rsidP="003C5F10">
            <w:pPr>
              <w:spacing w:after="120"/>
              <w:jc w:val="both"/>
              <w:rPr>
                <w:rFonts w:ascii="Arial" w:hAnsi="Arial" w:cs="Arial"/>
                <w:lang w:val="pt-PT"/>
              </w:rPr>
            </w:pPr>
            <w:r w:rsidRPr="00467598">
              <w:rPr>
                <w:rFonts w:ascii="Arial" w:hAnsi="Arial" w:cs="Arial"/>
                <w:lang w:val="pt-PT"/>
              </w:rPr>
              <w:t xml:space="preserve">A2-11; B1-7; </w:t>
            </w:r>
            <w:r>
              <w:rPr>
                <w:rFonts w:ascii="Arial" w:hAnsi="Arial" w:cs="Arial"/>
                <w:lang w:val="pt-PT"/>
              </w:rPr>
              <w:t>C1-5; D1-9</w:t>
            </w:r>
          </w:p>
        </w:tc>
      </w:tr>
      <w:tr w:rsidR="00482163" w:rsidRPr="00DD5915" w:rsidTr="000276EF">
        <w:tc>
          <w:tcPr>
            <w:tcW w:w="1391" w:type="dxa"/>
          </w:tcPr>
          <w:p w:rsidR="00482163" w:rsidRPr="00DD5915" w:rsidRDefault="00482163" w:rsidP="00C56BAF">
            <w:pPr>
              <w:spacing w:after="120"/>
              <w:jc w:val="both"/>
              <w:rPr>
                <w:rFonts w:ascii="Arial" w:hAnsi="Arial" w:cs="Arial"/>
              </w:rPr>
            </w:pPr>
            <w:r w:rsidRPr="00DD5915">
              <w:rPr>
                <w:rFonts w:ascii="Arial" w:hAnsi="Arial" w:cs="Arial"/>
              </w:rPr>
              <w:t>Formal assessment</w:t>
            </w:r>
          </w:p>
        </w:tc>
        <w:tc>
          <w:tcPr>
            <w:tcW w:w="1275" w:type="dxa"/>
          </w:tcPr>
          <w:p w:rsidR="00482163" w:rsidRPr="00DD5915" w:rsidRDefault="00482163" w:rsidP="00C56BAF">
            <w:pPr>
              <w:spacing w:after="120"/>
              <w:jc w:val="center"/>
              <w:rPr>
                <w:rFonts w:ascii="Arial" w:hAnsi="Arial" w:cs="Arial"/>
              </w:rPr>
            </w:pPr>
          </w:p>
        </w:tc>
        <w:tc>
          <w:tcPr>
            <w:tcW w:w="1558" w:type="dxa"/>
          </w:tcPr>
          <w:p w:rsidR="00482163" w:rsidRPr="00DD5915" w:rsidRDefault="00482163" w:rsidP="00C56BAF">
            <w:pPr>
              <w:spacing w:after="120"/>
              <w:jc w:val="center"/>
              <w:rPr>
                <w:rFonts w:ascii="Arial" w:hAnsi="Arial" w:cs="Arial"/>
              </w:rPr>
            </w:pPr>
          </w:p>
        </w:tc>
        <w:tc>
          <w:tcPr>
            <w:tcW w:w="992" w:type="dxa"/>
          </w:tcPr>
          <w:p w:rsidR="00482163" w:rsidRPr="00DD5915" w:rsidRDefault="00482163" w:rsidP="00C56BAF">
            <w:pPr>
              <w:spacing w:after="120"/>
              <w:jc w:val="center"/>
              <w:rPr>
                <w:rFonts w:ascii="Arial" w:hAnsi="Arial" w:cs="Arial"/>
              </w:rPr>
            </w:pPr>
          </w:p>
        </w:tc>
        <w:tc>
          <w:tcPr>
            <w:tcW w:w="991" w:type="dxa"/>
          </w:tcPr>
          <w:p w:rsidR="00482163" w:rsidRPr="00DD5915" w:rsidRDefault="00482163" w:rsidP="00C56BAF">
            <w:pPr>
              <w:spacing w:after="120"/>
              <w:jc w:val="center"/>
              <w:rPr>
                <w:rFonts w:ascii="Arial" w:hAnsi="Arial" w:cs="Arial"/>
                <w:b/>
              </w:rPr>
            </w:pPr>
            <w:r>
              <w:rPr>
                <w:rFonts w:ascii="Arial" w:hAnsi="Arial" w:cs="Arial"/>
                <w:b/>
              </w:rPr>
              <w:t>5</w:t>
            </w:r>
          </w:p>
        </w:tc>
        <w:tc>
          <w:tcPr>
            <w:tcW w:w="2406" w:type="dxa"/>
          </w:tcPr>
          <w:p w:rsidR="00482163" w:rsidRPr="00DD5915" w:rsidRDefault="00482163" w:rsidP="003C5F10">
            <w:pPr>
              <w:spacing w:after="120"/>
              <w:jc w:val="both"/>
              <w:rPr>
                <w:rFonts w:ascii="Arial" w:hAnsi="Arial" w:cs="Arial"/>
              </w:rPr>
            </w:pPr>
            <w:r w:rsidRPr="00467598">
              <w:rPr>
                <w:rFonts w:ascii="Arial" w:hAnsi="Arial" w:cs="Arial"/>
              </w:rPr>
              <w:t>All subject specific learning outcomes (SSLOs)</w:t>
            </w:r>
          </w:p>
        </w:tc>
      </w:tr>
      <w:tr w:rsidR="00482163" w:rsidRPr="00DD5915" w:rsidTr="000276EF">
        <w:tc>
          <w:tcPr>
            <w:tcW w:w="1391" w:type="dxa"/>
          </w:tcPr>
          <w:p w:rsidR="00482163" w:rsidRPr="00DD5915" w:rsidRDefault="00482163" w:rsidP="00C56BAF">
            <w:pPr>
              <w:spacing w:after="120"/>
              <w:jc w:val="both"/>
              <w:rPr>
                <w:rFonts w:ascii="Arial" w:hAnsi="Arial" w:cs="Arial"/>
                <w:b/>
              </w:rPr>
            </w:pPr>
            <w:r w:rsidRPr="00DD5915">
              <w:rPr>
                <w:rFonts w:ascii="Arial" w:hAnsi="Arial" w:cs="Arial"/>
                <w:b/>
              </w:rPr>
              <w:t>Total hours</w:t>
            </w:r>
          </w:p>
        </w:tc>
        <w:tc>
          <w:tcPr>
            <w:tcW w:w="1275" w:type="dxa"/>
          </w:tcPr>
          <w:p w:rsidR="00482163" w:rsidRPr="00DD5915" w:rsidRDefault="00482163" w:rsidP="00C56BAF">
            <w:pPr>
              <w:spacing w:after="120"/>
              <w:jc w:val="center"/>
              <w:rPr>
                <w:rFonts w:ascii="Arial" w:hAnsi="Arial" w:cs="Arial"/>
                <w:b/>
              </w:rPr>
            </w:pPr>
          </w:p>
        </w:tc>
        <w:tc>
          <w:tcPr>
            <w:tcW w:w="1558" w:type="dxa"/>
          </w:tcPr>
          <w:p w:rsidR="00482163" w:rsidRPr="00DD5915" w:rsidRDefault="00482163" w:rsidP="00C56BAF">
            <w:pPr>
              <w:spacing w:after="120"/>
              <w:jc w:val="center"/>
              <w:rPr>
                <w:rFonts w:ascii="Arial" w:hAnsi="Arial" w:cs="Arial"/>
                <w:b/>
              </w:rPr>
            </w:pPr>
          </w:p>
        </w:tc>
        <w:tc>
          <w:tcPr>
            <w:tcW w:w="992" w:type="dxa"/>
          </w:tcPr>
          <w:p w:rsidR="00482163" w:rsidRPr="00DD5915" w:rsidRDefault="00482163" w:rsidP="00C56BAF">
            <w:pPr>
              <w:spacing w:after="120"/>
              <w:jc w:val="center"/>
              <w:rPr>
                <w:rFonts w:ascii="Arial" w:hAnsi="Arial" w:cs="Arial"/>
                <w:b/>
              </w:rPr>
            </w:pPr>
          </w:p>
        </w:tc>
        <w:tc>
          <w:tcPr>
            <w:tcW w:w="991" w:type="dxa"/>
          </w:tcPr>
          <w:p w:rsidR="00482163" w:rsidRPr="00DD5915" w:rsidRDefault="00482163" w:rsidP="00C56BAF">
            <w:pPr>
              <w:spacing w:after="120"/>
              <w:jc w:val="center"/>
              <w:rPr>
                <w:rFonts w:ascii="Arial" w:hAnsi="Arial" w:cs="Arial"/>
                <w:b/>
              </w:rPr>
            </w:pPr>
            <w:r>
              <w:rPr>
                <w:rFonts w:ascii="Arial" w:hAnsi="Arial" w:cs="Arial"/>
                <w:b/>
              </w:rPr>
              <w:t>150</w:t>
            </w:r>
          </w:p>
        </w:tc>
        <w:tc>
          <w:tcPr>
            <w:tcW w:w="2406" w:type="dxa"/>
          </w:tcPr>
          <w:p w:rsidR="00482163" w:rsidRPr="00DD5915" w:rsidRDefault="00482163" w:rsidP="00C56BAF">
            <w:pPr>
              <w:spacing w:after="120"/>
              <w:jc w:val="both"/>
              <w:rPr>
                <w:rFonts w:ascii="Arial" w:hAnsi="Arial" w:cs="Arial"/>
                <w:b/>
              </w:rPr>
            </w:pPr>
          </w:p>
        </w:tc>
      </w:tr>
    </w:tbl>
    <w:p w:rsidR="00D44068" w:rsidRDefault="00D44068" w:rsidP="000276EF">
      <w:pPr>
        <w:jc w:val="both"/>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0276EF" w:rsidRPr="00A833BE" w:rsidRDefault="000276EF" w:rsidP="000276EF">
      <w:pPr>
        <w:jc w:val="both"/>
        <w:rPr>
          <w:rFonts w:ascii="Arial" w:hAnsi="Arial" w:cs="Arial"/>
        </w:rPr>
      </w:pPr>
      <w:r w:rsidRPr="00A833BE">
        <w:rPr>
          <w:rFonts w:ascii="Arial" w:hAnsi="Arial" w:cs="Arial"/>
          <w:b/>
        </w:rPr>
        <w:t>Online e-learning</w:t>
      </w:r>
      <w:r w:rsidRPr="00A833BE">
        <w:rPr>
          <w:rFonts w:ascii="Arial" w:hAnsi="Arial" w:cs="Arial"/>
        </w:rPr>
        <w:t xml:space="preserve"> is in</w:t>
      </w:r>
      <w:r>
        <w:rPr>
          <w:rFonts w:ascii="Arial" w:hAnsi="Arial" w:cs="Arial"/>
        </w:rPr>
        <w:t>tended to present the key information</w:t>
      </w:r>
      <w:r w:rsidRPr="00A833BE">
        <w:rPr>
          <w:rFonts w:ascii="Arial" w:hAnsi="Arial" w:cs="Arial"/>
        </w:rPr>
        <w:t xml:space="preserve"> directly relating to the learning objectives.</w:t>
      </w:r>
    </w:p>
    <w:p w:rsidR="000276EF" w:rsidRPr="00A833BE" w:rsidRDefault="000276EF" w:rsidP="000276EF">
      <w:pPr>
        <w:jc w:val="both"/>
        <w:rPr>
          <w:rFonts w:ascii="Arial" w:hAnsi="Arial" w:cs="Arial"/>
        </w:rPr>
      </w:pPr>
      <w:r>
        <w:rPr>
          <w:rFonts w:ascii="Arial" w:hAnsi="Arial" w:cs="Arial"/>
          <w:b/>
        </w:rPr>
        <w:t>E-activities, p</w:t>
      </w:r>
      <w:r w:rsidRPr="00A833BE">
        <w:rPr>
          <w:rFonts w:ascii="Arial" w:hAnsi="Arial" w:cs="Arial"/>
          <w:b/>
        </w:rPr>
        <w:t>ractical</w:t>
      </w:r>
      <w:r>
        <w:rPr>
          <w:rFonts w:ascii="Arial" w:hAnsi="Arial" w:cs="Arial"/>
          <w:b/>
        </w:rPr>
        <w:t>s and work activities</w:t>
      </w:r>
      <w:r w:rsidRPr="00A833BE">
        <w:rPr>
          <w:rFonts w:ascii="Arial" w:hAnsi="Arial" w:cs="Arial"/>
        </w:rPr>
        <w:t xml:space="preserve"> serve to reinforce material presented online and also relate directly to the learning objectives</w:t>
      </w:r>
      <w:r>
        <w:rPr>
          <w:rFonts w:ascii="Arial" w:hAnsi="Arial" w:cs="Arial"/>
        </w:rPr>
        <w:t>. T</w:t>
      </w:r>
      <w:r w:rsidRPr="00A833BE">
        <w:rPr>
          <w:rFonts w:ascii="Arial" w:hAnsi="Arial" w:cs="Arial"/>
        </w:rPr>
        <w:t>hese are spec</w:t>
      </w:r>
      <w:r>
        <w:rPr>
          <w:rFonts w:ascii="Arial" w:hAnsi="Arial" w:cs="Arial"/>
        </w:rPr>
        <w:t>ifically based on</w:t>
      </w:r>
      <w:r w:rsidRPr="00A833BE">
        <w:rPr>
          <w:rFonts w:ascii="Arial" w:hAnsi="Arial" w:cs="Arial"/>
        </w:rPr>
        <w:t xml:space="preserve"> enabling students to relate their theoretical know</w:t>
      </w:r>
      <w:r>
        <w:rPr>
          <w:rFonts w:ascii="Arial" w:hAnsi="Arial" w:cs="Arial"/>
        </w:rPr>
        <w:t xml:space="preserve">ledge of Cell Biology to the bioscience workplace </w:t>
      </w:r>
      <w:r w:rsidRPr="00A833BE">
        <w:rPr>
          <w:rFonts w:ascii="Arial" w:hAnsi="Arial" w:cs="Arial"/>
        </w:rPr>
        <w:t>in a variety of industries.</w:t>
      </w:r>
    </w:p>
    <w:p w:rsidR="000276EF" w:rsidRPr="00A833BE" w:rsidRDefault="000276EF" w:rsidP="000276EF">
      <w:pPr>
        <w:jc w:val="both"/>
        <w:rPr>
          <w:rFonts w:ascii="Arial" w:hAnsi="Arial" w:cs="Arial"/>
        </w:rPr>
      </w:pPr>
      <w:r w:rsidRPr="00A833BE">
        <w:rPr>
          <w:rFonts w:ascii="Arial" w:hAnsi="Arial" w:cs="Arial"/>
          <w:b/>
        </w:rPr>
        <w:t>MSCL</w:t>
      </w:r>
      <w:r w:rsidRPr="00A833BE">
        <w:rPr>
          <w:rFonts w:ascii="Arial" w:hAnsi="Arial" w:cs="Arial"/>
        </w:rPr>
        <w:t xml:space="preserve"> serves to reinforce and support materials presented in the above forms in the students’ minds. They also form part of the self-directed learning for the student.</w:t>
      </w:r>
    </w:p>
    <w:p w:rsidR="000276EF" w:rsidRDefault="000276EF" w:rsidP="000276EF">
      <w:pPr>
        <w:jc w:val="both"/>
        <w:rPr>
          <w:rFonts w:ascii="Arial" w:hAnsi="Arial" w:cs="Arial"/>
        </w:rPr>
      </w:pPr>
      <w:r w:rsidRPr="00A833BE">
        <w:rPr>
          <w:rFonts w:ascii="Arial" w:hAnsi="Arial" w:cs="Arial"/>
          <w:b/>
        </w:rPr>
        <w:t xml:space="preserve">Private study </w:t>
      </w:r>
      <w:r w:rsidRPr="00A833BE">
        <w:rPr>
          <w:rFonts w:ascii="Arial" w:hAnsi="Arial" w:cs="Arial"/>
        </w:rPr>
        <w:t>encompasses the revising of all material presented in the above various forms of teaching and learning, together with the opportunity to explore and read more widely around specific topics (this may already have been suggested in the MSCL materials).</w:t>
      </w:r>
    </w:p>
    <w:p w:rsidR="00D44068" w:rsidRPr="00A833BE" w:rsidRDefault="00D44068" w:rsidP="000276EF">
      <w:pPr>
        <w:jc w:val="both"/>
        <w:rPr>
          <w:rFonts w:ascii="Arial" w:hAnsi="Arial" w:cs="Arial"/>
        </w:rPr>
      </w:pPr>
    </w:p>
    <w:p w:rsidR="00E74EF6" w:rsidRPr="00302082"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lastRenderedPageBreak/>
        <w:t>Assessment methods</w:t>
      </w:r>
      <w:r w:rsidR="006F3F8B" w:rsidRPr="00302082">
        <w:rPr>
          <w:rFonts w:ascii="Arial" w:hAnsi="Arial" w:cs="Arial"/>
          <w:b/>
        </w:rPr>
        <w:t>.</w:t>
      </w:r>
      <w:r w:rsidR="006F3F8B" w:rsidRPr="00302082">
        <w:rPr>
          <w:rFonts w:ascii="Arial" w:hAnsi="Arial" w:cs="Arial"/>
          <w:b/>
        </w:rPr>
        <w:br/>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730"/>
        <w:gridCol w:w="2381"/>
      </w:tblGrid>
      <w:tr w:rsidR="00E74EF6" w:rsidRPr="00DD5915" w:rsidTr="00E74EF6">
        <w:tc>
          <w:tcPr>
            <w:tcW w:w="1701" w:type="dxa"/>
            <w:shd w:val="clear" w:color="auto" w:fill="D9D9D9"/>
          </w:tcPr>
          <w:p w:rsidR="00E74EF6" w:rsidRPr="00DD5915" w:rsidRDefault="00E74EF6" w:rsidP="00C56BAF">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730"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Weighting</w:t>
            </w:r>
          </w:p>
        </w:tc>
        <w:tc>
          <w:tcPr>
            <w:tcW w:w="2381" w:type="dxa"/>
            <w:shd w:val="clear" w:color="auto" w:fill="D9D9D9"/>
          </w:tcPr>
          <w:p w:rsidR="00E74EF6" w:rsidRPr="00DD5915" w:rsidRDefault="00E74EF6" w:rsidP="00C56BAF">
            <w:pPr>
              <w:tabs>
                <w:tab w:val="left" w:pos="426"/>
              </w:tabs>
              <w:spacing w:after="120"/>
              <w:jc w:val="center"/>
              <w:rPr>
                <w:rFonts w:ascii="Arial" w:hAnsi="Arial" w:cs="Arial"/>
                <w:b/>
              </w:rPr>
            </w:pPr>
            <w:r w:rsidRPr="00DD5915">
              <w:rPr>
                <w:rFonts w:ascii="Arial" w:hAnsi="Arial" w:cs="Arial"/>
                <w:b/>
              </w:rPr>
              <w:t>Outline details</w:t>
            </w:r>
          </w:p>
        </w:tc>
      </w:tr>
      <w:tr w:rsidR="00482163" w:rsidRPr="00DD5915" w:rsidTr="00E74EF6">
        <w:tc>
          <w:tcPr>
            <w:tcW w:w="1701" w:type="dxa"/>
          </w:tcPr>
          <w:p w:rsidR="00482163" w:rsidRPr="00DD5915" w:rsidRDefault="00482163" w:rsidP="00C56BAF">
            <w:pPr>
              <w:tabs>
                <w:tab w:val="left" w:pos="426"/>
              </w:tabs>
              <w:spacing w:after="120"/>
              <w:jc w:val="both"/>
              <w:rPr>
                <w:rFonts w:ascii="Arial" w:hAnsi="Arial" w:cs="Arial"/>
              </w:rPr>
            </w:pPr>
            <w:r w:rsidRPr="00DD5915">
              <w:rPr>
                <w:rFonts w:ascii="Arial" w:hAnsi="Arial" w:cs="Arial"/>
              </w:rPr>
              <w:t>Continuous assessment (1)</w:t>
            </w:r>
          </w:p>
        </w:tc>
        <w:tc>
          <w:tcPr>
            <w:tcW w:w="2977" w:type="dxa"/>
            <w:shd w:val="clear" w:color="auto" w:fill="FFFFFF"/>
          </w:tcPr>
          <w:p w:rsidR="00482163" w:rsidRPr="000A27BF" w:rsidRDefault="00482163" w:rsidP="003C5F10">
            <w:pPr>
              <w:rPr>
                <w:rFonts w:ascii="Arial" w:hAnsi="Arial" w:cs="Arial"/>
              </w:rPr>
            </w:pPr>
            <w:r w:rsidRPr="000A27BF">
              <w:rPr>
                <w:rFonts w:ascii="Arial" w:hAnsi="Arial" w:cs="Arial"/>
              </w:rPr>
              <w:t xml:space="preserve">A1-4; B1-3; C1-3 </w:t>
            </w:r>
          </w:p>
        </w:tc>
        <w:tc>
          <w:tcPr>
            <w:tcW w:w="1730" w:type="dxa"/>
          </w:tcPr>
          <w:p w:rsidR="00482163" w:rsidRPr="00DD5915" w:rsidRDefault="00482163" w:rsidP="00C56BAF">
            <w:pPr>
              <w:tabs>
                <w:tab w:val="left" w:pos="426"/>
              </w:tabs>
              <w:spacing w:after="120"/>
              <w:jc w:val="center"/>
              <w:rPr>
                <w:rFonts w:ascii="Arial" w:hAnsi="Arial" w:cs="Arial"/>
              </w:rPr>
            </w:pPr>
            <w:r>
              <w:rPr>
                <w:rFonts w:ascii="Arial" w:hAnsi="Arial" w:cs="Arial"/>
              </w:rPr>
              <w:t>30%</w:t>
            </w:r>
          </w:p>
        </w:tc>
        <w:tc>
          <w:tcPr>
            <w:tcW w:w="2381" w:type="dxa"/>
          </w:tcPr>
          <w:p w:rsidR="00482163" w:rsidRPr="00DD5915" w:rsidRDefault="00482163" w:rsidP="00C56BAF">
            <w:pPr>
              <w:tabs>
                <w:tab w:val="left" w:pos="426"/>
              </w:tabs>
              <w:spacing w:after="120"/>
              <w:jc w:val="both"/>
              <w:rPr>
                <w:rFonts w:ascii="Arial" w:hAnsi="Arial" w:cs="Arial"/>
              </w:rPr>
            </w:pPr>
            <w:r>
              <w:rPr>
                <w:rFonts w:ascii="Arial" w:hAnsi="Arial" w:cs="Arial"/>
              </w:rPr>
              <w:t>Reflective report / case study / lab. report *</w:t>
            </w:r>
          </w:p>
        </w:tc>
      </w:tr>
      <w:tr w:rsidR="00482163" w:rsidRPr="00DD5915" w:rsidTr="00E74EF6">
        <w:tc>
          <w:tcPr>
            <w:tcW w:w="1701" w:type="dxa"/>
          </w:tcPr>
          <w:p w:rsidR="00482163" w:rsidRPr="00DD5915" w:rsidRDefault="00482163" w:rsidP="00C56BAF">
            <w:pPr>
              <w:tabs>
                <w:tab w:val="left" w:pos="426"/>
              </w:tabs>
              <w:spacing w:after="120"/>
              <w:jc w:val="both"/>
              <w:rPr>
                <w:rFonts w:ascii="Arial" w:hAnsi="Arial" w:cs="Arial"/>
              </w:rPr>
            </w:pPr>
            <w:r>
              <w:rPr>
                <w:rFonts w:ascii="Arial" w:hAnsi="Arial" w:cs="Arial"/>
              </w:rPr>
              <w:t>Continuous assessment (2)</w:t>
            </w:r>
          </w:p>
        </w:tc>
        <w:tc>
          <w:tcPr>
            <w:tcW w:w="2977" w:type="dxa"/>
            <w:shd w:val="clear" w:color="auto" w:fill="FFFFFF"/>
          </w:tcPr>
          <w:p w:rsidR="00482163" w:rsidRPr="000A27BF" w:rsidRDefault="00233FDD" w:rsidP="003C5F10">
            <w:pPr>
              <w:rPr>
                <w:rFonts w:ascii="Arial" w:hAnsi="Arial" w:cs="Arial"/>
              </w:rPr>
            </w:pPr>
            <w:r w:rsidRPr="000A27BF">
              <w:rPr>
                <w:rFonts w:ascii="Arial" w:hAnsi="Arial" w:cs="Arial"/>
              </w:rPr>
              <w:t>A1-</w:t>
            </w:r>
            <w:r>
              <w:rPr>
                <w:rFonts w:ascii="Arial" w:hAnsi="Arial" w:cs="Arial"/>
              </w:rPr>
              <w:t>11</w:t>
            </w:r>
            <w:r w:rsidRPr="000A27BF">
              <w:rPr>
                <w:rFonts w:ascii="Arial" w:hAnsi="Arial" w:cs="Arial"/>
              </w:rPr>
              <w:t>; B1-3; C1</w:t>
            </w:r>
            <w:r>
              <w:rPr>
                <w:rFonts w:ascii="Arial" w:hAnsi="Arial" w:cs="Arial"/>
              </w:rPr>
              <w:t>-6</w:t>
            </w:r>
          </w:p>
        </w:tc>
        <w:tc>
          <w:tcPr>
            <w:tcW w:w="1730" w:type="dxa"/>
          </w:tcPr>
          <w:p w:rsidR="00482163" w:rsidRPr="00DD5915" w:rsidRDefault="00482163" w:rsidP="00C56BAF">
            <w:pPr>
              <w:tabs>
                <w:tab w:val="left" w:pos="426"/>
              </w:tabs>
              <w:spacing w:after="120"/>
              <w:jc w:val="center"/>
              <w:rPr>
                <w:rFonts w:ascii="Arial" w:hAnsi="Arial" w:cs="Arial"/>
              </w:rPr>
            </w:pPr>
            <w:r>
              <w:rPr>
                <w:rFonts w:ascii="Arial" w:hAnsi="Arial" w:cs="Arial"/>
              </w:rPr>
              <w:t>20%</w:t>
            </w:r>
          </w:p>
        </w:tc>
        <w:tc>
          <w:tcPr>
            <w:tcW w:w="2381" w:type="dxa"/>
          </w:tcPr>
          <w:p w:rsidR="00482163" w:rsidRDefault="00482163" w:rsidP="00C56BAF">
            <w:pPr>
              <w:tabs>
                <w:tab w:val="left" w:pos="426"/>
              </w:tabs>
              <w:spacing w:after="120"/>
              <w:jc w:val="both"/>
              <w:rPr>
                <w:rFonts w:ascii="Arial" w:hAnsi="Arial" w:cs="Arial"/>
              </w:rPr>
            </w:pPr>
            <w:r>
              <w:rPr>
                <w:rFonts w:ascii="Arial" w:hAnsi="Arial" w:cs="Arial"/>
              </w:rPr>
              <w:t>Based on assessment of myFolio entries.</w:t>
            </w:r>
          </w:p>
        </w:tc>
      </w:tr>
      <w:tr w:rsidR="00482163" w:rsidRPr="00DD5915" w:rsidTr="00E74EF6">
        <w:tc>
          <w:tcPr>
            <w:tcW w:w="1701" w:type="dxa"/>
          </w:tcPr>
          <w:p w:rsidR="00482163" w:rsidRPr="00DD5915" w:rsidRDefault="00482163" w:rsidP="00C56BAF">
            <w:pPr>
              <w:tabs>
                <w:tab w:val="left" w:pos="426"/>
              </w:tabs>
              <w:spacing w:after="120"/>
              <w:jc w:val="both"/>
              <w:rPr>
                <w:rFonts w:ascii="Arial" w:hAnsi="Arial" w:cs="Arial"/>
              </w:rPr>
            </w:pPr>
            <w:r>
              <w:rPr>
                <w:rFonts w:ascii="Arial" w:hAnsi="Arial" w:cs="Arial"/>
              </w:rPr>
              <w:t>Continuous assessment (3</w:t>
            </w:r>
            <w:r w:rsidRPr="00DD5915">
              <w:rPr>
                <w:rFonts w:ascii="Arial" w:hAnsi="Arial" w:cs="Arial"/>
              </w:rPr>
              <w:t>)</w:t>
            </w:r>
          </w:p>
        </w:tc>
        <w:tc>
          <w:tcPr>
            <w:tcW w:w="2977" w:type="dxa"/>
            <w:shd w:val="clear" w:color="auto" w:fill="FFFFFF"/>
          </w:tcPr>
          <w:p w:rsidR="00482163" w:rsidRPr="00DD5915" w:rsidRDefault="00482163" w:rsidP="00C56BAF">
            <w:pPr>
              <w:spacing w:after="120"/>
              <w:jc w:val="both"/>
              <w:rPr>
                <w:rFonts w:ascii="Arial" w:hAnsi="Arial" w:cs="Arial"/>
              </w:rPr>
            </w:pPr>
            <w:r>
              <w:rPr>
                <w:rFonts w:ascii="Arial" w:hAnsi="Arial" w:cs="Arial"/>
              </w:rPr>
              <w:t>All subject specific learning outcomes (SSLOs)</w:t>
            </w:r>
          </w:p>
        </w:tc>
        <w:tc>
          <w:tcPr>
            <w:tcW w:w="1730" w:type="dxa"/>
          </w:tcPr>
          <w:p w:rsidR="00482163" w:rsidRPr="00DD5915" w:rsidRDefault="00482163" w:rsidP="00C56BAF">
            <w:pPr>
              <w:tabs>
                <w:tab w:val="left" w:pos="426"/>
              </w:tabs>
              <w:spacing w:after="120"/>
              <w:jc w:val="center"/>
              <w:rPr>
                <w:rFonts w:ascii="Arial" w:hAnsi="Arial" w:cs="Arial"/>
              </w:rPr>
            </w:pPr>
            <w:r>
              <w:rPr>
                <w:rFonts w:ascii="Arial" w:hAnsi="Arial" w:cs="Arial"/>
              </w:rPr>
              <w:t>20%</w:t>
            </w:r>
          </w:p>
        </w:tc>
        <w:tc>
          <w:tcPr>
            <w:tcW w:w="2381" w:type="dxa"/>
          </w:tcPr>
          <w:p w:rsidR="00482163" w:rsidRPr="00DD5915" w:rsidRDefault="00482163" w:rsidP="00C56BAF">
            <w:pPr>
              <w:tabs>
                <w:tab w:val="left" w:pos="426"/>
              </w:tabs>
              <w:spacing w:after="120"/>
              <w:rPr>
                <w:rFonts w:ascii="Arial" w:hAnsi="Arial" w:cs="Arial"/>
              </w:rPr>
            </w:pPr>
            <w:r>
              <w:rPr>
                <w:rFonts w:ascii="Arial" w:hAnsi="Arial" w:cs="Arial"/>
              </w:rPr>
              <w:t>40 minute MCQ assessment</w:t>
            </w:r>
          </w:p>
        </w:tc>
      </w:tr>
      <w:tr w:rsidR="00482163" w:rsidRPr="00DD5915" w:rsidTr="00E74EF6">
        <w:tc>
          <w:tcPr>
            <w:tcW w:w="1701" w:type="dxa"/>
          </w:tcPr>
          <w:p w:rsidR="00482163" w:rsidRPr="00DD5915" w:rsidRDefault="00482163" w:rsidP="00C56BAF">
            <w:pPr>
              <w:tabs>
                <w:tab w:val="left" w:pos="426"/>
              </w:tabs>
              <w:spacing w:after="120"/>
              <w:jc w:val="both"/>
              <w:rPr>
                <w:rFonts w:ascii="Arial" w:hAnsi="Arial" w:cs="Arial"/>
              </w:rPr>
            </w:pPr>
            <w:r w:rsidRPr="00DD5915">
              <w:rPr>
                <w:rFonts w:ascii="Arial" w:hAnsi="Arial" w:cs="Arial"/>
              </w:rPr>
              <w:t>Examination</w:t>
            </w:r>
          </w:p>
        </w:tc>
        <w:tc>
          <w:tcPr>
            <w:tcW w:w="2977" w:type="dxa"/>
          </w:tcPr>
          <w:p w:rsidR="00482163" w:rsidRPr="00DD5915" w:rsidRDefault="00482163" w:rsidP="00C56BAF">
            <w:pPr>
              <w:tabs>
                <w:tab w:val="left" w:pos="426"/>
              </w:tabs>
              <w:spacing w:after="120"/>
              <w:jc w:val="both"/>
              <w:rPr>
                <w:rFonts w:ascii="Arial" w:hAnsi="Arial" w:cs="Arial"/>
              </w:rPr>
            </w:pPr>
            <w:r>
              <w:rPr>
                <w:rFonts w:ascii="Arial" w:hAnsi="Arial" w:cs="Arial"/>
              </w:rPr>
              <w:t>All subject specific learning outcomes (SSLOs)</w:t>
            </w:r>
          </w:p>
        </w:tc>
        <w:tc>
          <w:tcPr>
            <w:tcW w:w="1730" w:type="dxa"/>
          </w:tcPr>
          <w:p w:rsidR="00482163" w:rsidRPr="00DD5915" w:rsidRDefault="00482163" w:rsidP="00C56BAF">
            <w:pPr>
              <w:tabs>
                <w:tab w:val="left" w:pos="426"/>
              </w:tabs>
              <w:spacing w:after="120"/>
              <w:jc w:val="center"/>
              <w:rPr>
                <w:rFonts w:ascii="Arial" w:hAnsi="Arial" w:cs="Arial"/>
              </w:rPr>
            </w:pPr>
            <w:r>
              <w:rPr>
                <w:rFonts w:ascii="Arial" w:hAnsi="Arial" w:cs="Arial"/>
              </w:rPr>
              <w:t>30%</w:t>
            </w:r>
          </w:p>
        </w:tc>
        <w:tc>
          <w:tcPr>
            <w:tcW w:w="2381" w:type="dxa"/>
          </w:tcPr>
          <w:p w:rsidR="00482163" w:rsidRPr="00DD5915" w:rsidRDefault="00482163" w:rsidP="00C56BAF">
            <w:pPr>
              <w:tabs>
                <w:tab w:val="left" w:pos="426"/>
              </w:tabs>
              <w:spacing w:after="120"/>
              <w:rPr>
                <w:rFonts w:ascii="Arial" w:hAnsi="Arial" w:cs="Arial"/>
              </w:rPr>
            </w:pPr>
            <w:r>
              <w:rPr>
                <w:rFonts w:ascii="Arial" w:hAnsi="Arial" w:cs="Arial"/>
              </w:rPr>
              <w:t>1 hour written examination</w:t>
            </w:r>
          </w:p>
        </w:tc>
      </w:tr>
    </w:tbl>
    <w:p w:rsidR="000276EF" w:rsidRDefault="00D44068" w:rsidP="00E74EF6">
      <w:pPr>
        <w:spacing w:after="120" w:line="240" w:lineRule="auto"/>
        <w:ind w:right="260"/>
        <w:rPr>
          <w:rFonts w:ascii="Arial" w:hAnsi="Arial" w:cs="Arial"/>
          <w:i/>
          <w:iCs/>
        </w:rPr>
      </w:pPr>
      <w:r w:rsidRPr="004168FE">
        <w:rPr>
          <w:rFonts w:ascii="Arial" w:hAnsi="Arial" w:cs="Arial"/>
          <w:i/>
          <w:iCs/>
        </w:rPr>
        <w:t>Please see section 14. Map o</w:t>
      </w:r>
      <w:r>
        <w:rPr>
          <w:rFonts w:ascii="Arial" w:hAnsi="Arial" w:cs="Arial"/>
          <w:i/>
          <w:iCs/>
        </w:rPr>
        <w:t>f</w:t>
      </w:r>
      <w:r w:rsidRPr="004168FE">
        <w:rPr>
          <w:rFonts w:ascii="Arial" w:hAnsi="Arial" w:cs="Arial"/>
          <w:i/>
          <w:iCs/>
        </w:rPr>
        <w:t xml:space="preserve"> Module Learning Outcomes for more information.</w:t>
      </w:r>
    </w:p>
    <w:p w:rsidR="00E74EF6" w:rsidRPr="00E74EF6" w:rsidRDefault="00E74EF6" w:rsidP="00E74EF6">
      <w:pPr>
        <w:tabs>
          <w:tab w:val="left" w:pos="426"/>
        </w:tabs>
        <w:jc w:val="both"/>
        <w:rPr>
          <w:rFonts w:ascii="Arial" w:hAnsi="Arial" w:cs="Arial"/>
          <w:b/>
        </w:rPr>
      </w:pPr>
      <w:r w:rsidRPr="004C1B83">
        <w:rPr>
          <w:rFonts w:ascii="Arial" w:hAnsi="Arial" w:cs="Arial"/>
          <w:b/>
        </w:rPr>
        <w:t>The pass mark for th</w:t>
      </w:r>
      <w:r>
        <w:rPr>
          <w:rFonts w:ascii="Arial" w:hAnsi="Arial" w:cs="Arial"/>
          <w:b/>
        </w:rPr>
        <w:t>is module is 40%</w:t>
      </w:r>
      <w:r w:rsidRPr="004C1B83">
        <w:rPr>
          <w:rFonts w:ascii="Arial" w:hAnsi="Arial" w:cs="Arial"/>
          <w:b/>
        </w:rPr>
        <w:t>.</w:t>
      </w:r>
      <w:r>
        <w:rPr>
          <w:rFonts w:ascii="Arial" w:hAnsi="Arial" w:cs="Arial"/>
          <w:b/>
        </w:rPr>
        <w:t xml:space="preserve"> </w:t>
      </w:r>
      <w:r w:rsidRPr="002B7959">
        <w:rPr>
          <w:rFonts w:ascii="Arial" w:hAnsi="Arial" w:cs="Arial"/>
          <w:b/>
        </w:rPr>
        <w:t>The aim o</w:t>
      </w:r>
      <w:r>
        <w:rPr>
          <w:rFonts w:ascii="Arial" w:hAnsi="Arial" w:cs="Arial"/>
          <w:b/>
        </w:rPr>
        <w:t>f the assessment</w:t>
      </w:r>
      <w:r w:rsidRPr="002B7959">
        <w:rPr>
          <w:rFonts w:ascii="Arial" w:hAnsi="Arial" w:cs="Arial"/>
          <w:b/>
        </w:rPr>
        <w:t xml:space="preserve"> is that there should be an equal balance between ‘application’ (ie. reflection related to practical</w:t>
      </w:r>
      <w:r>
        <w:rPr>
          <w:rFonts w:ascii="Arial" w:hAnsi="Arial" w:cs="Arial"/>
          <w:b/>
        </w:rPr>
        <w:t>/work</w:t>
      </w:r>
      <w:r w:rsidRPr="002B7959">
        <w:rPr>
          <w:rFonts w:ascii="Arial" w:hAnsi="Arial" w:cs="Arial"/>
          <w:b/>
        </w:rPr>
        <w:t xml:space="preserve"> experience) and ‘theory’ (ie. examination), but that neither should enable the student to obtain a pass grade inde</w:t>
      </w:r>
      <w:r>
        <w:rPr>
          <w:rFonts w:ascii="Arial" w:hAnsi="Arial" w:cs="Arial"/>
          <w:b/>
        </w:rPr>
        <w:t xml:space="preserve">pendently and in its entirety. </w:t>
      </w: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p w:rsidR="00727780" w:rsidRPr="00302082" w:rsidRDefault="00727780" w:rsidP="00727780">
      <w:pPr>
        <w:spacing w:after="120" w:line="240" w:lineRule="auto"/>
        <w:ind w:right="260"/>
        <w:rPr>
          <w:rFonts w:ascii="Arial" w:hAnsi="Arial" w:cs="Arial"/>
          <w:b/>
          <w:i/>
          <w:iCs/>
        </w:rPr>
      </w:pPr>
    </w:p>
    <w:tbl>
      <w:tblPr>
        <w:tblStyle w:val="TableGrid"/>
        <w:tblW w:w="8789"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709"/>
      </w:tblGrid>
      <w:tr w:rsidR="00482163" w:rsidRPr="00302082" w:rsidTr="00482163">
        <w:tc>
          <w:tcPr>
            <w:tcW w:w="1730" w:type="dxa"/>
            <w:shd w:val="clear" w:color="auto" w:fill="D9D9D9" w:themeFill="background1" w:themeFillShade="D9"/>
          </w:tcPr>
          <w:p w:rsidR="00482163" w:rsidRPr="00302082" w:rsidRDefault="00482163" w:rsidP="00302082">
            <w:pPr>
              <w:spacing w:after="120"/>
              <w:ind w:left="33"/>
              <w:rPr>
                <w:rFonts w:ascii="Arial" w:hAnsi="Arial" w:cs="Arial"/>
                <w:b/>
              </w:rPr>
            </w:pPr>
            <w:r w:rsidRPr="00302082">
              <w:rPr>
                <w:rFonts w:ascii="Arial" w:hAnsi="Arial" w:cs="Arial"/>
                <w:b/>
              </w:rPr>
              <w:t>Module learning outcome</w:t>
            </w:r>
          </w:p>
        </w:tc>
        <w:tc>
          <w:tcPr>
            <w:tcW w:w="1247" w:type="dxa"/>
          </w:tcPr>
          <w:p w:rsidR="00482163" w:rsidRPr="00302082" w:rsidRDefault="00482163" w:rsidP="00302082">
            <w:pPr>
              <w:spacing w:after="120"/>
              <w:rPr>
                <w:rFonts w:ascii="Arial" w:hAnsi="Arial" w:cs="Arial"/>
                <w:i/>
              </w:rPr>
            </w:pPr>
          </w:p>
        </w:tc>
        <w:tc>
          <w:tcPr>
            <w:tcW w:w="567" w:type="dxa"/>
          </w:tcPr>
          <w:p w:rsidR="00482163" w:rsidRPr="00302082" w:rsidRDefault="00482163" w:rsidP="00302082">
            <w:pPr>
              <w:spacing w:after="120"/>
              <w:rPr>
                <w:rFonts w:ascii="Arial" w:hAnsi="Arial" w:cs="Arial"/>
                <w:i/>
              </w:rPr>
            </w:pPr>
            <w:r w:rsidRPr="00302082">
              <w:rPr>
                <w:rFonts w:ascii="Arial" w:hAnsi="Arial" w:cs="Arial"/>
                <w:i/>
              </w:rPr>
              <w:t>8.1</w:t>
            </w:r>
          </w:p>
        </w:tc>
        <w:tc>
          <w:tcPr>
            <w:tcW w:w="567" w:type="dxa"/>
          </w:tcPr>
          <w:p w:rsidR="00482163" w:rsidRPr="00302082" w:rsidRDefault="00482163" w:rsidP="00302082">
            <w:pPr>
              <w:spacing w:after="120"/>
              <w:rPr>
                <w:rFonts w:ascii="Arial" w:hAnsi="Arial" w:cs="Arial"/>
                <w:i/>
              </w:rPr>
            </w:pPr>
            <w:r w:rsidRPr="00302082">
              <w:rPr>
                <w:rFonts w:ascii="Arial" w:hAnsi="Arial" w:cs="Arial"/>
                <w:i/>
              </w:rPr>
              <w:t>8.2</w:t>
            </w:r>
          </w:p>
        </w:tc>
        <w:tc>
          <w:tcPr>
            <w:tcW w:w="567" w:type="dxa"/>
          </w:tcPr>
          <w:p w:rsidR="00482163" w:rsidRPr="00302082" w:rsidRDefault="00482163" w:rsidP="00302082">
            <w:pPr>
              <w:spacing w:after="120"/>
              <w:rPr>
                <w:rFonts w:ascii="Arial" w:hAnsi="Arial" w:cs="Arial"/>
                <w:i/>
              </w:rPr>
            </w:pPr>
            <w:r w:rsidRPr="00302082">
              <w:rPr>
                <w:rFonts w:ascii="Arial" w:hAnsi="Arial" w:cs="Arial"/>
                <w:i/>
              </w:rPr>
              <w:t>8.3</w:t>
            </w:r>
          </w:p>
        </w:tc>
        <w:tc>
          <w:tcPr>
            <w:tcW w:w="567" w:type="dxa"/>
          </w:tcPr>
          <w:p w:rsidR="00482163" w:rsidRPr="00302082" w:rsidRDefault="00482163" w:rsidP="00302082">
            <w:pPr>
              <w:spacing w:after="120"/>
              <w:rPr>
                <w:rFonts w:ascii="Arial" w:hAnsi="Arial" w:cs="Arial"/>
                <w:i/>
              </w:rPr>
            </w:pPr>
            <w:r w:rsidRPr="00302082">
              <w:rPr>
                <w:rFonts w:ascii="Arial" w:hAnsi="Arial" w:cs="Arial"/>
                <w:i/>
              </w:rPr>
              <w:t>8.4</w:t>
            </w:r>
          </w:p>
        </w:tc>
        <w:tc>
          <w:tcPr>
            <w:tcW w:w="567" w:type="dxa"/>
          </w:tcPr>
          <w:p w:rsidR="00482163" w:rsidRPr="00302082" w:rsidRDefault="00482163" w:rsidP="00302082">
            <w:pPr>
              <w:spacing w:after="120"/>
              <w:rPr>
                <w:rFonts w:ascii="Arial" w:hAnsi="Arial" w:cs="Arial"/>
                <w:i/>
              </w:rPr>
            </w:pPr>
            <w:r w:rsidRPr="00302082">
              <w:rPr>
                <w:rFonts w:ascii="Arial" w:hAnsi="Arial" w:cs="Arial"/>
                <w:i/>
              </w:rPr>
              <w:t>9.1</w:t>
            </w:r>
          </w:p>
        </w:tc>
        <w:tc>
          <w:tcPr>
            <w:tcW w:w="567" w:type="dxa"/>
          </w:tcPr>
          <w:p w:rsidR="00482163" w:rsidRPr="00302082" w:rsidRDefault="00482163" w:rsidP="00302082">
            <w:pPr>
              <w:spacing w:after="120"/>
              <w:rPr>
                <w:rFonts w:ascii="Arial" w:hAnsi="Arial" w:cs="Arial"/>
                <w:i/>
              </w:rPr>
            </w:pPr>
            <w:r w:rsidRPr="00302082">
              <w:rPr>
                <w:rFonts w:ascii="Arial" w:hAnsi="Arial" w:cs="Arial"/>
                <w:i/>
              </w:rPr>
              <w:t>9.2</w:t>
            </w:r>
          </w:p>
        </w:tc>
        <w:tc>
          <w:tcPr>
            <w:tcW w:w="567" w:type="dxa"/>
          </w:tcPr>
          <w:p w:rsidR="00482163" w:rsidRPr="00302082" w:rsidRDefault="00482163" w:rsidP="00302082">
            <w:pPr>
              <w:spacing w:after="120"/>
              <w:rPr>
                <w:rFonts w:ascii="Arial" w:hAnsi="Arial" w:cs="Arial"/>
                <w:i/>
              </w:rPr>
            </w:pPr>
            <w:r w:rsidRPr="00302082">
              <w:rPr>
                <w:rFonts w:ascii="Arial" w:hAnsi="Arial" w:cs="Arial"/>
                <w:i/>
              </w:rPr>
              <w:t>9.3</w:t>
            </w:r>
          </w:p>
        </w:tc>
        <w:tc>
          <w:tcPr>
            <w:tcW w:w="567" w:type="dxa"/>
          </w:tcPr>
          <w:p w:rsidR="00482163" w:rsidRPr="00302082" w:rsidRDefault="00482163" w:rsidP="00302082">
            <w:pPr>
              <w:spacing w:after="120"/>
              <w:rPr>
                <w:rFonts w:ascii="Arial" w:hAnsi="Arial" w:cs="Arial"/>
                <w:i/>
              </w:rPr>
            </w:pPr>
            <w:r w:rsidRPr="00302082">
              <w:rPr>
                <w:rFonts w:ascii="Arial" w:hAnsi="Arial" w:cs="Arial"/>
                <w:i/>
              </w:rPr>
              <w:t>9.4</w:t>
            </w:r>
          </w:p>
        </w:tc>
        <w:tc>
          <w:tcPr>
            <w:tcW w:w="567" w:type="dxa"/>
          </w:tcPr>
          <w:p w:rsidR="00482163" w:rsidRPr="00302082" w:rsidRDefault="00482163" w:rsidP="00302082">
            <w:pPr>
              <w:spacing w:after="120"/>
              <w:rPr>
                <w:rFonts w:ascii="Arial" w:hAnsi="Arial" w:cs="Arial"/>
                <w:i/>
              </w:rPr>
            </w:pPr>
          </w:p>
        </w:tc>
        <w:tc>
          <w:tcPr>
            <w:tcW w:w="709" w:type="dxa"/>
          </w:tcPr>
          <w:p w:rsidR="00482163" w:rsidRPr="00302082" w:rsidRDefault="00482163" w:rsidP="00302082">
            <w:pPr>
              <w:spacing w:after="120"/>
              <w:rPr>
                <w:rFonts w:ascii="Arial" w:hAnsi="Arial" w:cs="Arial"/>
                <w:i/>
              </w:rPr>
            </w:pPr>
          </w:p>
        </w:tc>
      </w:tr>
      <w:tr w:rsidR="00482163" w:rsidRPr="00302082" w:rsidTr="00482163">
        <w:tc>
          <w:tcPr>
            <w:tcW w:w="1730" w:type="dxa"/>
            <w:shd w:val="clear" w:color="auto" w:fill="D9D9D9" w:themeFill="background1" w:themeFillShade="D9"/>
          </w:tcPr>
          <w:p w:rsidR="00482163" w:rsidRPr="00302082" w:rsidRDefault="00482163"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rsidR="00482163" w:rsidRPr="00302082" w:rsidRDefault="00482163"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709" w:type="dxa"/>
          </w:tcPr>
          <w:p w:rsidR="00482163" w:rsidRPr="00302082" w:rsidRDefault="00482163" w:rsidP="00302082">
            <w:pPr>
              <w:spacing w:after="120"/>
              <w:rPr>
                <w:rFonts w:ascii="Arial" w:hAnsi="Arial" w:cs="Arial"/>
                <w:b/>
              </w:rPr>
            </w:pPr>
          </w:p>
        </w:tc>
      </w:tr>
      <w:tr w:rsidR="00482163" w:rsidRPr="00302082" w:rsidTr="00482163">
        <w:tc>
          <w:tcPr>
            <w:tcW w:w="1730" w:type="dxa"/>
          </w:tcPr>
          <w:p w:rsidR="00482163" w:rsidRPr="00DD5915" w:rsidRDefault="00482163" w:rsidP="00E74EF6">
            <w:pPr>
              <w:spacing w:after="120"/>
              <w:jc w:val="both"/>
              <w:rPr>
                <w:rFonts w:ascii="Arial" w:hAnsi="Arial" w:cs="Arial"/>
              </w:rPr>
            </w:pPr>
            <w:r>
              <w:rPr>
                <w:rFonts w:ascii="Arial" w:hAnsi="Arial" w:cs="Arial"/>
              </w:rPr>
              <w:t>Teaching</w:t>
            </w:r>
          </w:p>
        </w:tc>
        <w:tc>
          <w:tcPr>
            <w:tcW w:w="1247" w:type="dxa"/>
          </w:tcPr>
          <w:p w:rsidR="00482163" w:rsidRPr="00302082" w:rsidRDefault="00482163" w:rsidP="00E74EF6">
            <w:pPr>
              <w:spacing w:after="120"/>
              <w:rPr>
                <w:rFonts w:ascii="Arial" w:hAnsi="Arial" w:cs="Arial"/>
                <w:i/>
              </w:rPr>
            </w:pPr>
            <w:r>
              <w:rPr>
                <w:rFonts w:ascii="Arial" w:hAnsi="Arial" w:cs="Arial"/>
                <w:i/>
              </w:rPr>
              <w:t>75</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p>
        </w:tc>
        <w:tc>
          <w:tcPr>
            <w:tcW w:w="567" w:type="dxa"/>
          </w:tcPr>
          <w:p w:rsidR="00482163" w:rsidRPr="00302082" w:rsidRDefault="00482163" w:rsidP="00E74EF6">
            <w:pPr>
              <w:spacing w:after="120"/>
              <w:rPr>
                <w:rFonts w:ascii="Arial" w:hAnsi="Arial" w:cs="Arial"/>
                <w:b/>
              </w:rPr>
            </w:pPr>
          </w:p>
        </w:tc>
        <w:tc>
          <w:tcPr>
            <w:tcW w:w="567" w:type="dxa"/>
          </w:tcPr>
          <w:p w:rsidR="00482163" w:rsidRPr="00302082" w:rsidRDefault="00482163" w:rsidP="00E74EF6">
            <w:pPr>
              <w:spacing w:after="120"/>
              <w:rPr>
                <w:rFonts w:ascii="Arial" w:hAnsi="Arial" w:cs="Arial"/>
                <w:b/>
              </w:rPr>
            </w:pPr>
          </w:p>
        </w:tc>
        <w:tc>
          <w:tcPr>
            <w:tcW w:w="567" w:type="dxa"/>
          </w:tcPr>
          <w:p w:rsidR="00482163" w:rsidRPr="00302082" w:rsidRDefault="00482163" w:rsidP="00E74EF6">
            <w:pPr>
              <w:spacing w:after="120"/>
              <w:rPr>
                <w:rFonts w:ascii="Arial" w:hAnsi="Arial" w:cs="Arial"/>
                <w:b/>
              </w:rPr>
            </w:pPr>
          </w:p>
        </w:tc>
        <w:tc>
          <w:tcPr>
            <w:tcW w:w="567" w:type="dxa"/>
          </w:tcPr>
          <w:p w:rsidR="00482163" w:rsidRPr="00302082" w:rsidRDefault="00482163" w:rsidP="00E74EF6">
            <w:pPr>
              <w:spacing w:after="120"/>
              <w:rPr>
                <w:rFonts w:ascii="Arial" w:hAnsi="Arial" w:cs="Arial"/>
                <w:b/>
              </w:rPr>
            </w:pPr>
          </w:p>
        </w:tc>
        <w:tc>
          <w:tcPr>
            <w:tcW w:w="709" w:type="dxa"/>
          </w:tcPr>
          <w:p w:rsidR="00482163" w:rsidRPr="00302082" w:rsidRDefault="00482163" w:rsidP="00E74EF6">
            <w:pPr>
              <w:spacing w:after="120"/>
              <w:rPr>
                <w:rFonts w:ascii="Arial" w:hAnsi="Arial" w:cs="Arial"/>
                <w:b/>
              </w:rPr>
            </w:pPr>
          </w:p>
        </w:tc>
      </w:tr>
      <w:tr w:rsidR="00482163" w:rsidRPr="00302082" w:rsidTr="00482163">
        <w:tc>
          <w:tcPr>
            <w:tcW w:w="1730" w:type="dxa"/>
          </w:tcPr>
          <w:p w:rsidR="00482163" w:rsidRPr="00DD5915" w:rsidRDefault="00482163" w:rsidP="00E74EF6">
            <w:pPr>
              <w:spacing w:after="120"/>
              <w:jc w:val="both"/>
              <w:rPr>
                <w:rFonts w:ascii="Arial" w:hAnsi="Arial" w:cs="Arial"/>
              </w:rPr>
            </w:pPr>
            <w:r w:rsidRPr="00DD5915">
              <w:rPr>
                <w:rFonts w:ascii="Arial" w:hAnsi="Arial" w:cs="Arial"/>
              </w:rPr>
              <w:t>Private study</w:t>
            </w:r>
          </w:p>
        </w:tc>
        <w:tc>
          <w:tcPr>
            <w:tcW w:w="1247" w:type="dxa"/>
          </w:tcPr>
          <w:p w:rsidR="00482163" w:rsidRPr="00302082" w:rsidRDefault="00482163" w:rsidP="00E74EF6">
            <w:pPr>
              <w:spacing w:after="120"/>
              <w:rPr>
                <w:rFonts w:ascii="Arial" w:hAnsi="Arial" w:cs="Arial"/>
                <w:i/>
              </w:rPr>
            </w:pPr>
            <w:r>
              <w:rPr>
                <w:rFonts w:ascii="Arial" w:hAnsi="Arial" w:cs="Arial"/>
                <w:i/>
              </w:rPr>
              <w:t>30</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p>
        </w:tc>
        <w:tc>
          <w:tcPr>
            <w:tcW w:w="709" w:type="dxa"/>
          </w:tcPr>
          <w:p w:rsidR="00482163" w:rsidRPr="00302082" w:rsidRDefault="00482163" w:rsidP="00E74EF6">
            <w:pPr>
              <w:spacing w:after="120"/>
              <w:rPr>
                <w:rFonts w:ascii="Arial" w:hAnsi="Arial" w:cs="Arial"/>
                <w:b/>
              </w:rPr>
            </w:pPr>
          </w:p>
        </w:tc>
      </w:tr>
      <w:tr w:rsidR="00482163" w:rsidRPr="00302082" w:rsidTr="00482163">
        <w:tc>
          <w:tcPr>
            <w:tcW w:w="1730" w:type="dxa"/>
          </w:tcPr>
          <w:p w:rsidR="00482163" w:rsidRPr="00DD5915" w:rsidRDefault="00482163" w:rsidP="00E74EF6">
            <w:pPr>
              <w:spacing w:after="120"/>
              <w:jc w:val="both"/>
              <w:rPr>
                <w:rFonts w:ascii="Arial" w:hAnsi="Arial" w:cs="Arial"/>
              </w:rPr>
            </w:pPr>
            <w:r>
              <w:rPr>
                <w:rFonts w:ascii="Arial" w:hAnsi="Arial" w:cs="Arial"/>
              </w:rPr>
              <w:t>Work-based experience</w:t>
            </w:r>
          </w:p>
        </w:tc>
        <w:tc>
          <w:tcPr>
            <w:tcW w:w="1247" w:type="dxa"/>
          </w:tcPr>
          <w:p w:rsidR="00482163" w:rsidRPr="00302082" w:rsidRDefault="00482163" w:rsidP="00E74EF6">
            <w:pPr>
              <w:spacing w:after="120"/>
              <w:rPr>
                <w:rFonts w:ascii="Arial" w:hAnsi="Arial" w:cs="Arial"/>
                <w:i/>
              </w:rPr>
            </w:pPr>
            <w:r>
              <w:rPr>
                <w:rFonts w:ascii="Arial" w:hAnsi="Arial" w:cs="Arial"/>
                <w:i/>
              </w:rPr>
              <w:t>40</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p>
        </w:tc>
        <w:tc>
          <w:tcPr>
            <w:tcW w:w="709" w:type="dxa"/>
          </w:tcPr>
          <w:p w:rsidR="00482163" w:rsidRPr="00302082" w:rsidRDefault="00482163" w:rsidP="00E74EF6">
            <w:pPr>
              <w:spacing w:after="120"/>
              <w:rPr>
                <w:rFonts w:ascii="Arial" w:hAnsi="Arial" w:cs="Arial"/>
                <w:b/>
              </w:rPr>
            </w:pPr>
          </w:p>
        </w:tc>
      </w:tr>
      <w:tr w:rsidR="00482163" w:rsidRPr="00302082" w:rsidTr="00482163">
        <w:tc>
          <w:tcPr>
            <w:tcW w:w="1730" w:type="dxa"/>
          </w:tcPr>
          <w:p w:rsidR="00482163" w:rsidRPr="00302082" w:rsidRDefault="00482163" w:rsidP="00302082">
            <w:pPr>
              <w:spacing w:after="120"/>
              <w:rPr>
                <w:rFonts w:ascii="Arial" w:hAnsi="Arial" w:cs="Arial"/>
                <w:i/>
              </w:rPr>
            </w:pPr>
          </w:p>
        </w:tc>
        <w:tc>
          <w:tcPr>
            <w:tcW w:w="1247" w:type="dxa"/>
          </w:tcPr>
          <w:p w:rsidR="00482163" w:rsidRPr="00302082" w:rsidRDefault="00482163" w:rsidP="00302082">
            <w:pPr>
              <w:spacing w:after="120"/>
              <w:rPr>
                <w:rFonts w:ascii="Arial" w:hAnsi="Arial" w:cs="Arial"/>
                <w:i/>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709" w:type="dxa"/>
          </w:tcPr>
          <w:p w:rsidR="00482163" w:rsidRPr="00302082" w:rsidRDefault="00482163" w:rsidP="00302082">
            <w:pPr>
              <w:spacing w:after="120"/>
              <w:rPr>
                <w:rFonts w:ascii="Arial" w:hAnsi="Arial" w:cs="Arial"/>
                <w:b/>
              </w:rPr>
            </w:pPr>
          </w:p>
        </w:tc>
      </w:tr>
      <w:tr w:rsidR="00482163" w:rsidRPr="00302082" w:rsidTr="00482163">
        <w:tc>
          <w:tcPr>
            <w:tcW w:w="1730" w:type="dxa"/>
            <w:shd w:val="clear" w:color="auto" w:fill="D9D9D9" w:themeFill="background1" w:themeFillShade="D9"/>
          </w:tcPr>
          <w:p w:rsidR="00482163" w:rsidRPr="00302082" w:rsidRDefault="00482163" w:rsidP="00302082">
            <w:pPr>
              <w:spacing w:after="120"/>
              <w:rPr>
                <w:rFonts w:ascii="Arial" w:hAnsi="Arial" w:cs="Arial"/>
                <w:b/>
              </w:rPr>
            </w:pPr>
            <w:r w:rsidRPr="00302082">
              <w:rPr>
                <w:rFonts w:ascii="Arial" w:hAnsi="Arial" w:cs="Arial"/>
                <w:b/>
              </w:rPr>
              <w:t>Assessment method</w:t>
            </w:r>
          </w:p>
        </w:tc>
        <w:tc>
          <w:tcPr>
            <w:tcW w:w="1247" w:type="dxa"/>
            <w:shd w:val="clear" w:color="auto" w:fill="D9D9D9" w:themeFill="background1" w:themeFillShade="D9"/>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567" w:type="dxa"/>
          </w:tcPr>
          <w:p w:rsidR="00482163" w:rsidRPr="00302082" w:rsidRDefault="00482163" w:rsidP="00302082">
            <w:pPr>
              <w:spacing w:after="120"/>
              <w:rPr>
                <w:rFonts w:ascii="Arial" w:hAnsi="Arial" w:cs="Arial"/>
                <w:b/>
              </w:rPr>
            </w:pPr>
          </w:p>
        </w:tc>
        <w:tc>
          <w:tcPr>
            <w:tcW w:w="709" w:type="dxa"/>
          </w:tcPr>
          <w:p w:rsidR="00482163" w:rsidRPr="00302082" w:rsidRDefault="00482163" w:rsidP="00302082">
            <w:pPr>
              <w:spacing w:after="120"/>
              <w:rPr>
                <w:rFonts w:ascii="Arial" w:hAnsi="Arial" w:cs="Arial"/>
                <w:b/>
              </w:rPr>
            </w:pPr>
          </w:p>
        </w:tc>
      </w:tr>
      <w:tr w:rsidR="00482163" w:rsidRPr="00302082" w:rsidTr="00482163">
        <w:tc>
          <w:tcPr>
            <w:tcW w:w="1730" w:type="dxa"/>
          </w:tcPr>
          <w:p w:rsidR="00482163" w:rsidRDefault="00482163" w:rsidP="00E74EF6">
            <w:r w:rsidRPr="00D37D68">
              <w:rPr>
                <w:rFonts w:ascii="Arial" w:hAnsi="Arial" w:cs="Arial"/>
              </w:rPr>
              <w:t>Formal assessment</w:t>
            </w:r>
          </w:p>
        </w:tc>
        <w:tc>
          <w:tcPr>
            <w:tcW w:w="1247" w:type="dxa"/>
          </w:tcPr>
          <w:p w:rsidR="00482163" w:rsidRPr="00302082" w:rsidRDefault="00482163" w:rsidP="00E74EF6">
            <w:pPr>
              <w:spacing w:after="120"/>
              <w:rPr>
                <w:rFonts w:ascii="Arial" w:hAnsi="Arial" w:cs="Arial"/>
                <w:i/>
              </w:rPr>
            </w:pPr>
            <w:r>
              <w:rPr>
                <w:rFonts w:ascii="Arial" w:hAnsi="Arial" w:cs="Arial"/>
                <w:i/>
              </w:rPr>
              <w:t>5</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r>
              <w:rPr>
                <w:rFonts w:ascii="Arial" w:hAnsi="Arial" w:cs="Arial"/>
                <w:b/>
              </w:rPr>
              <w:t>X</w:t>
            </w:r>
          </w:p>
        </w:tc>
        <w:tc>
          <w:tcPr>
            <w:tcW w:w="567" w:type="dxa"/>
          </w:tcPr>
          <w:p w:rsidR="00482163" w:rsidRPr="00302082" w:rsidRDefault="000623C8" w:rsidP="00E74EF6">
            <w:pPr>
              <w:spacing w:after="120"/>
              <w:rPr>
                <w:rFonts w:ascii="Arial" w:hAnsi="Arial" w:cs="Arial"/>
                <w:b/>
              </w:rPr>
            </w:pPr>
            <w:r>
              <w:rPr>
                <w:rFonts w:ascii="Arial" w:hAnsi="Arial" w:cs="Arial"/>
                <w:b/>
              </w:rPr>
              <w:t>X</w:t>
            </w:r>
          </w:p>
        </w:tc>
        <w:tc>
          <w:tcPr>
            <w:tcW w:w="567" w:type="dxa"/>
          </w:tcPr>
          <w:p w:rsidR="00482163" w:rsidRPr="00302082" w:rsidRDefault="000623C8" w:rsidP="00E74EF6">
            <w:pPr>
              <w:spacing w:after="120"/>
              <w:rPr>
                <w:rFonts w:ascii="Arial" w:hAnsi="Arial" w:cs="Arial"/>
                <w:b/>
              </w:rPr>
            </w:pPr>
            <w:r>
              <w:rPr>
                <w:rFonts w:ascii="Arial" w:hAnsi="Arial" w:cs="Arial"/>
                <w:b/>
              </w:rPr>
              <w:t>X</w:t>
            </w:r>
          </w:p>
        </w:tc>
        <w:tc>
          <w:tcPr>
            <w:tcW w:w="567" w:type="dxa"/>
          </w:tcPr>
          <w:p w:rsidR="00482163" w:rsidRPr="00302082" w:rsidRDefault="000623C8" w:rsidP="00E74EF6">
            <w:pPr>
              <w:spacing w:after="120"/>
              <w:rPr>
                <w:rFonts w:ascii="Arial" w:hAnsi="Arial" w:cs="Arial"/>
                <w:b/>
              </w:rPr>
            </w:pPr>
            <w:r>
              <w:rPr>
                <w:rFonts w:ascii="Arial" w:hAnsi="Arial" w:cs="Arial"/>
                <w:b/>
              </w:rPr>
              <w:t>X</w:t>
            </w:r>
          </w:p>
        </w:tc>
        <w:tc>
          <w:tcPr>
            <w:tcW w:w="567" w:type="dxa"/>
          </w:tcPr>
          <w:p w:rsidR="00482163" w:rsidRPr="00302082" w:rsidRDefault="000623C8" w:rsidP="00E74EF6">
            <w:pPr>
              <w:spacing w:after="120"/>
              <w:rPr>
                <w:rFonts w:ascii="Arial" w:hAnsi="Arial" w:cs="Arial"/>
                <w:b/>
              </w:rPr>
            </w:pPr>
            <w:r>
              <w:rPr>
                <w:rFonts w:ascii="Arial" w:hAnsi="Arial" w:cs="Arial"/>
                <w:b/>
              </w:rPr>
              <w:t>X</w:t>
            </w:r>
          </w:p>
        </w:tc>
        <w:tc>
          <w:tcPr>
            <w:tcW w:w="567" w:type="dxa"/>
          </w:tcPr>
          <w:p w:rsidR="00482163" w:rsidRPr="00302082" w:rsidRDefault="00482163" w:rsidP="00E74EF6">
            <w:pPr>
              <w:spacing w:after="120"/>
              <w:rPr>
                <w:rFonts w:ascii="Arial" w:hAnsi="Arial" w:cs="Arial"/>
                <w:b/>
              </w:rPr>
            </w:pPr>
          </w:p>
        </w:tc>
        <w:tc>
          <w:tcPr>
            <w:tcW w:w="709" w:type="dxa"/>
          </w:tcPr>
          <w:p w:rsidR="00482163" w:rsidRPr="00302082" w:rsidRDefault="00482163" w:rsidP="00E74EF6">
            <w:pPr>
              <w:spacing w:after="120"/>
              <w:rPr>
                <w:rFonts w:ascii="Arial" w:hAnsi="Arial" w:cs="Arial"/>
                <w:b/>
              </w:rPr>
            </w:pPr>
          </w:p>
        </w:tc>
      </w:tr>
    </w:tbl>
    <w:p w:rsidR="00D44068" w:rsidRDefault="00D44068" w:rsidP="00302082">
      <w:pPr>
        <w:spacing w:after="120" w:line="240" w:lineRule="auto"/>
        <w:ind w:left="426" w:right="260"/>
        <w:rPr>
          <w:rFonts w:ascii="Arial" w:hAnsi="Arial" w:cs="Arial"/>
          <w:b/>
          <w:iCs/>
        </w:rPr>
      </w:pPr>
    </w:p>
    <w:p w:rsidR="00D44068" w:rsidRDefault="00D44068" w:rsidP="00302082">
      <w:pPr>
        <w:spacing w:after="120" w:line="240" w:lineRule="auto"/>
        <w:ind w:left="426" w:right="260"/>
        <w:rPr>
          <w:rFonts w:ascii="Arial" w:hAnsi="Arial" w:cs="Arial"/>
          <w:b/>
          <w:iCs/>
        </w:rPr>
      </w:pPr>
    </w:p>
    <w:p w:rsidR="00D44068" w:rsidRPr="00302082" w:rsidRDefault="00D44068" w:rsidP="00302082">
      <w:pPr>
        <w:spacing w:after="120" w:line="240" w:lineRule="auto"/>
        <w:ind w:left="426" w:right="260"/>
        <w:rPr>
          <w:rFonts w:ascii="Arial" w:hAnsi="Arial" w:cs="Arial"/>
          <w:b/>
          <w:iCs/>
        </w:rPr>
      </w:pPr>
      <w:bookmarkStart w:id="0" w:name="_GoBack"/>
      <w:bookmarkEnd w:id="0"/>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EA6558" w:rsidRDefault="009A2D37" w:rsidP="00302082">
      <w:pPr>
        <w:spacing w:after="120" w:line="240" w:lineRule="auto"/>
        <w:ind w:left="426" w:right="260"/>
        <w:rPr>
          <w:rFonts w:ascii="Arial" w:hAnsi="Arial" w:cs="Arial"/>
          <w:iCs/>
        </w:rPr>
      </w:pPr>
    </w:p>
    <w:p w:rsidR="00E74EF6" w:rsidRDefault="009A2D37" w:rsidP="00E74EF6">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E74EF6" w:rsidRPr="00E74EF6" w:rsidRDefault="00E74EF6" w:rsidP="00E74EF6">
      <w:pPr>
        <w:spacing w:after="120" w:line="240" w:lineRule="auto"/>
        <w:ind w:right="260"/>
        <w:jc w:val="both"/>
        <w:rPr>
          <w:rFonts w:ascii="Arial" w:hAnsi="Arial" w:cs="Arial"/>
          <w:b/>
        </w:rPr>
      </w:pPr>
      <w:r w:rsidRPr="00E74EF6">
        <w:rPr>
          <w:rFonts w:ascii="Arial" w:hAnsi="Arial" w:cs="Arial"/>
          <w:b/>
        </w:rPr>
        <w:t xml:space="preserve"> </w:t>
      </w:r>
      <w:r>
        <w:rPr>
          <w:rFonts w:ascii="Arial" w:hAnsi="Arial" w:cs="Arial"/>
          <w:b/>
        </w:rPr>
        <w:t>This is a distance learning module, however academic staff will be based at the Medway Campus, University of Kent.</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D4406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D3" w:rsidRDefault="00C330D3" w:rsidP="009A2D37">
      <w:pPr>
        <w:spacing w:after="0" w:line="240" w:lineRule="auto"/>
      </w:pPr>
      <w:r>
        <w:separator/>
      </w:r>
    </w:p>
  </w:endnote>
  <w:endnote w:type="continuationSeparator" w:id="0">
    <w:p w:rsidR="00C330D3" w:rsidRDefault="00C330D3" w:rsidP="009A2D37">
      <w:pPr>
        <w:spacing w:after="0" w:line="240" w:lineRule="auto"/>
      </w:pPr>
      <w:r>
        <w:continuationSeparator/>
      </w:r>
    </w:p>
  </w:endnote>
  <w:endnote w:type="continuationNotice" w:id="1">
    <w:p w:rsidR="00C330D3" w:rsidRDefault="00C33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44068">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D3" w:rsidRDefault="00C330D3" w:rsidP="009A2D37">
      <w:pPr>
        <w:spacing w:after="0" w:line="240" w:lineRule="auto"/>
      </w:pPr>
      <w:r>
        <w:separator/>
      </w:r>
    </w:p>
  </w:footnote>
  <w:footnote w:type="continuationSeparator" w:id="0">
    <w:p w:rsidR="00C330D3" w:rsidRDefault="00C330D3" w:rsidP="009A2D37">
      <w:pPr>
        <w:spacing w:after="0" w:line="240" w:lineRule="auto"/>
      </w:pPr>
      <w:r>
        <w:continuationSeparator/>
      </w:r>
    </w:p>
  </w:footnote>
  <w:footnote w:type="continuationNotice" w:id="1">
    <w:p w:rsidR="00C330D3" w:rsidRDefault="00C330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F95FDD"/>
    <w:multiLevelType w:val="hybridMultilevel"/>
    <w:tmpl w:val="D65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D2963"/>
    <w:multiLevelType w:val="hybridMultilevel"/>
    <w:tmpl w:val="CE74B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E8516B4"/>
    <w:multiLevelType w:val="hybridMultilevel"/>
    <w:tmpl w:val="54AC9E8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B10EAE"/>
    <w:multiLevelType w:val="hybridMultilevel"/>
    <w:tmpl w:val="B5E23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565016"/>
    <w:multiLevelType w:val="hybridMultilevel"/>
    <w:tmpl w:val="F1142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39469824"/>
    <w:lvl w:ilvl="0" w:tplc="22265A20">
      <w:start w:val="1"/>
      <w:numFmt w:val="decimal"/>
      <w:lvlText w:val="%1."/>
      <w:lvlJc w:val="left"/>
      <w:pPr>
        <w:ind w:left="720" w:hanging="360"/>
      </w:pPr>
      <w:rPr>
        <w:b w:val="0"/>
        <w:i w:val="0"/>
      </w:rPr>
    </w:lvl>
    <w:lvl w:ilvl="1" w:tplc="0FB88B6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C731E7"/>
    <w:multiLevelType w:val="hybridMultilevel"/>
    <w:tmpl w:val="2F4265E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3C37330"/>
    <w:multiLevelType w:val="hybridMultilevel"/>
    <w:tmpl w:val="A456E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68C4B5E"/>
    <w:multiLevelType w:val="hybridMultilevel"/>
    <w:tmpl w:val="1CC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02F28"/>
    <w:multiLevelType w:val="hybridMultilevel"/>
    <w:tmpl w:val="9ED01C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947AD6"/>
    <w:multiLevelType w:val="hybridMultilevel"/>
    <w:tmpl w:val="5302E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AC08F1"/>
    <w:multiLevelType w:val="hybridMultilevel"/>
    <w:tmpl w:val="4A74C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8FB0CAA2"/>
    <w:lvl w:ilvl="0" w:tplc="0809000F">
      <w:start w:val="1"/>
      <w:numFmt w:val="decimal"/>
      <w:lvlText w:val="%1."/>
      <w:lvlJc w:val="left"/>
      <w:pPr>
        <w:ind w:left="360" w:hanging="360"/>
      </w:pPr>
      <w:rPr>
        <w:rFonts w:hint="default"/>
      </w:rPr>
    </w:lvl>
    <w:lvl w:ilvl="1" w:tplc="61103738">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2C4340"/>
    <w:multiLevelType w:val="hybridMultilevel"/>
    <w:tmpl w:val="DB9EC8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17"/>
  </w:num>
  <w:num w:numId="6">
    <w:abstractNumId w:val="15"/>
  </w:num>
  <w:num w:numId="7">
    <w:abstractNumId w:val="18"/>
  </w:num>
  <w:num w:numId="8">
    <w:abstractNumId w:val="16"/>
  </w:num>
  <w:num w:numId="9">
    <w:abstractNumId w:val="13"/>
  </w:num>
  <w:num w:numId="10">
    <w:abstractNumId w:val="3"/>
  </w:num>
  <w:num w:numId="11">
    <w:abstractNumId w:val="14"/>
  </w:num>
  <w:num w:numId="12">
    <w:abstractNumId w:val="11"/>
  </w:num>
  <w:num w:numId="13">
    <w:abstractNumId w:val="2"/>
  </w:num>
  <w:num w:numId="14">
    <w:abstractNumId w:val="9"/>
  </w:num>
  <w:num w:numId="15">
    <w:abstractNumId w:val="19"/>
  </w:num>
  <w:num w:numId="16">
    <w:abstractNumId w:val="12"/>
  </w:num>
  <w:num w:numId="17">
    <w:abstractNumId w:val="10"/>
  </w:num>
  <w:num w:numId="18">
    <w:abstractNumId w:val="4"/>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6EF"/>
    <w:rsid w:val="00027937"/>
    <w:rsid w:val="00030C9E"/>
    <w:rsid w:val="00031E67"/>
    <w:rsid w:val="000408CC"/>
    <w:rsid w:val="00045373"/>
    <w:rsid w:val="000623C8"/>
    <w:rsid w:val="00063A2F"/>
    <w:rsid w:val="000678D3"/>
    <w:rsid w:val="0007557C"/>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3FD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2163"/>
    <w:rsid w:val="00486993"/>
    <w:rsid w:val="00487DCC"/>
    <w:rsid w:val="00492DA4"/>
    <w:rsid w:val="00496AA3"/>
    <w:rsid w:val="00497C98"/>
    <w:rsid w:val="004A39D7"/>
    <w:rsid w:val="004A55FA"/>
    <w:rsid w:val="004C1EC4"/>
    <w:rsid w:val="004D035C"/>
    <w:rsid w:val="004F3C18"/>
    <w:rsid w:val="004F4328"/>
    <w:rsid w:val="005005E4"/>
    <w:rsid w:val="00513689"/>
    <w:rsid w:val="0051375A"/>
    <w:rsid w:val="00521097"/>
    <w:rsid w:val="0053059E"/>
    <w:rsid w:val="00532F6F"/>
    <w:rsid w:val="00533663"/>
    <w:rsid w:val="00541F36"/>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B5A98"/>
    <w:rsid w:val="005C1A4F"/>
    <w:rsid w:val="005C27D7"/>
    <w:rsid w:val="005E1A3A"/>
    <w:rsid w:val="005E6ADC"/>
    <w:rsid w:val="005E6D10"/>
    <w:rsid w:val="005E6D38"/>
    <w:rsid w:val="005E7B3F"/>
    <w:rsid w:val="005F040F"/>
    <w:rsid w:val="005F2C42"/>
    <w:rsid w:val="006050CF"/>
    <w:rsid w:val="00613C68"/>
    <w:rsid w:val="006253AA"/>
    <w:rsid w:val="00626023"/>
    <w:rsid w:val="00632E28"/>
    <w:rsid w:val="00633150"/>
    <w:rsid w:val="00635D8A"/>
    <w:rsid w:val="00637A50"/>
    <w:rsid w:val="00641D6D"/>
    <w:rsid w:val="006438F3"/>
    <w:rsid w:val="00647907"/>
    <w:rsid w:val="00651A82"/>
    <w:rsid w:val="006525E9"/>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CC4"/>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3DF6"/>
    <w:rsid w:val="00921CF6"/>
    <w:rsid w:val="009246F0"/>
    <w:rsid w:val="00924EF0"/>
    <w:rsid w:val="00934D7B"/>
    <w:rsid w:val="00935081"/>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E0EBB"/>
    <w:rsid w:val="009F3A2A"/>
    <w:rsid w:val="009F731F"/>
    <w:rsid w:val="00A021FE"/>
    <w:rsid w:val="00A1270E"/>
    <w:rsid w:val="00A15342"/>
    <w:rsid w:val="00A3007E"/>
    <w:rsid w:val="00A32048"/>
    <w:rsid w:val="00A41F06"/>
    <w:rsid w:val="00A479DA"/>
    <w:rsid w:val="00A50FD4"/>
    <w:rsid w:val="00A52DB4"/>
    <w:rsid w:val="00A618E1"/>
    <w:rsid w:val="00A629B9"/>
    <w:rsid w:val="00A70C20"/>
    <w:rsid w:val="00A74292"/>
    <w:rsid w:val="00A776DE"/>
    <w:rsid w:val="00A80640"/>
    <w:rsid w:val="00A87FFD"/>
    <w:rsid w:val="00A97038"/>
    <w:rsid w:val="00AA3C15"/>
    <w:rsid w:val="00AA6330"/>
    <w:rsid w:val="00AC5C4F"/>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478C8"/>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0D3"/>
    <w:rsid w:val="00C3744A"/>
    <w:rsid w:val="00C4002A"/>
    <w:rsid w:val="00C46912"/>
    <w:rsid w:val="00C612A8"/>
    <w:rsid w:val="00C67631"/>
    <w:rsid w:val="00C729D7"/>
    <w:rsid w:val="00C83354"/>
    <w:rsid w:val="00C84004"/>
    <w:rsid w:val="00C843F6"/>
    <w:rsid w:val="00C84507"/>
    <w:rsid w:val="00C862C7"/>
    <w:rsid w:val="00C9732A"/>
    <w:rsid w:val="00CA3254"/>
    <w:rsid w:val="00CB11CE"/>
    <w:rsid w:val="00CC25A2"/>
    <w:rsid w:val="00CD7F07"/>
    <w:rsid w:val="00CE04F3"/>
    <w:rsid w:val="00CE12D8"/>
    <w:rsid w:val="00CE4574"/>
    <w:rsid w:val="00CE70E6"/>
    <w:rsid w:val="00CF2E1E"/>
    <w:rsid w:val="00D02E99"/>
    <w:rsid w:val="00D13357"/>
    <w:rsid w:val="00D13A13"/>
    <w:rsid w:val="00D2689A"/>
    <w:rsid w:val="00D34A7C"/>
    <w:rsid w:val="00D44068"/>
    <w:rsid w:val="00D65506"/>
    <w:rsid w:val="00D773CF"/>
    <w:rsid w:val="00D83563"/>
    <w:rsid w:val="00D8448F"/>
    <w:rsid w:val="00DA64B6"/>
    <w:rsid w:val="00DB5C9D"/>
    <w:rsid w:val="00DD02E6"/>
    <w:rsid w:val="00DE3F1B"/>
    <w:rsid w:val="00DF665B"/>
    <w:rsid w:val="00E0152A"/>
    <w:rsid w:val="00E03394"/>
    <w:rsid w:val="00E066E5"/>
    <w:rsid w:val="00E22F03"/>
    <w:rsid w:val="00E233C1"/>
    <w:rsid w:val="00E51404"/>
    <w:rsid w:val="00E574C9"/>
    <w:rsid w:val="00E610DE"/>
    <w:rsid w:val="00E66167"/>
    <w:rsid w:val="00E71F2F"/>
    <w:rsid w:val="00E74EF6"/>
    <w:rsid w:val="00E77786"/>
    <w:rsid w:val="00E806FB"/>
    <w:rsid w:val="00EA09C1"/>
    <w:rsid w:val="00EA6558"/>
    <w:rsid w:val="00EB1C2D"/>
    <w:rsid w:val="00EC1810"/>
    <w:rsid w:val="00EC3FCC"/>
    <w:rsid w:val="00ED32FF"/>
    <w:rsid w:val="00EF039B"/>
    <w:rsid w:val="00EF4933"/>
    <w:rsid w:val="00EF5044"/>
    <w:rsid w:val="00EF6FE6"/>
    <w:rsid w:val="00F01956"/>
    <w:rsid w:val="00F116CE"/>
    <w:rsid w:val="00F176DE"/>
    <w:rsid w:val="00F21C47"/>
    <w:rsid w:val="00F244E2"/>
    <w:rsid w:val="00F340DE"/>
    <w:rsid w:val="00F43542"/>
    <w:rsid w:val="00F527CB"/>
    <w:rsid w:val="00F562AA"/>
    <w:rsid w:val="00F670B3"/>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F2D24E-0AC1-4360-A673-72B05522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uthor">
    <w:name w:val="author"/>
    <w:rsid w:val="0048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E832-310B-4454-BA1B-ED3A39A4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2</cp:revision>
  <cp:lastPrinted>2015-09-09T08:37:00Z</cp:lastPrinted>
  <dcterms:created xsi:type="dcterms:W3CDTF">2016-09-30T09:42:00Z</dcterms:created>
  <dcterms:modified xsi:type="dcterms:W3CDTF">2016-09-30T09:42:00Z</dcterms:modified>
</cp:coreProperties>
</file>