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78CCD3D4" w14:textId="2406DB5C"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361A25C0" w14:textId="2E4A67CD" w:rsidR="00CB05B8" w:rsidRPr="00313F18" w:rsidRDefault="002B6EE8" w:rsidP="00CB05B8">
      <w:pPr>
        <w:spacing w:after="120" w:line="240" w:lineRule="auto"/>
        <w:ind w:left="567" w:right="260"/>
        <w:jc w:val="both"/>
        <w:rPr>
          <w:rFonts w:ascii="Arial" w:hAnsi="Arial" w:cs="Arial"/>
          <w:color w:val="FF0000"/>
        </w:rPr>
      </w:pPr>
      <w:r w:rsidRPr="002B6EE8">
        <w:rPr>
          <w:rFonts w:ascii="Arial" w:hAnsi="Arial" w:cs="Arial"/>
        </w:rPr>
        <w:t>QUSU5006</w:t>
      </w:r>
      <w:r>
        <w:rPr>
          <w:rFonts w:ascii="Arial" w:hAnsi="Arial" w:cs="Arial"/>
        </w:rPr>
        <w:t xml:space="preserve"> </w:t>
      </w:r>
      <w:bookmarkStart w:id="0" w:name="_GoBack"/>
      <w:bookmarkEnd w:id="0"/>
      <w:r w:rsidR="00313F18">
        <w:rPr>
          <w:rFonts w:ascii="Arial" w:hAnsi="Arial" w:cs="Arial"/>
        </w:rPr>
        <w:t xml:space="preserve">Procurement </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1A4A642D" w:rsidR="009A2D37" w:rsidRPr="006828F1" w:rsidRDefault="00E74B8D" w:rsidP="006828F1">
      <w:pPr>
        <w:spacing w:after="120" w:line="240" w:lineRule="auto"/>
        <w:ind w:left="567" w:right="260"/>
        <w:rPr>
          <w:rFonts w:ascii="Arial" w:hAnsi="Arial" w:cs="Arial"/>
          <w:iCs/>
        </w:rPr>
      </w:pPr>
      <w:r>
        <w:rPr>
          <w:rFonts w:ascii="Arial" w:hAnsi="Arial" w:cs="Arial"/>
          <w:iCs/>
        </w:rPr>
        <w:t>Centre for Higher</w:t>
      </w:r>
      <w:r w:rsidR="00B56C16">
        <w:rPr>
          <w:rFonts w:ascii="Arial" w:hAnsi="Arial" w:cs="Arial"/>
          <w:iCs/>
        </w:rPr>
        <w:t xml:space="preserve"> and</w:t>
      </w:r>
      <w:r>
        <w:rPr>
          <w:rFonts w:ascii="Arial" w:hAnsi="Arial" w:cs="Arial"/>
          <w:iCs/>
        </w:rPr>
        <w:t xml:space="preserve">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486ECD8A" w:rsidR="009A2D37" w:rsidRPr="006828F1" w:rsidRDefault="006828F1" w:rsidP="00FB7EFE">
      <w:pPr>
        <w:tabs>
          <w:tab w:val="left" w:pos="6280"/>
        </w:tabs>
        <w:spacing w:after="120" w:line="240" w:lineRule="auto"/>
        <w:ind w:left="426" w:right="260"/>
        <w:rPr>
          <w:rFonts w:ascii="Arial" w:hAnsi="Arial" w:cs="Arial"/>
          <w:iCs/>
        </w:rPr>
      </w:pPr>
      <w:r>
        <w:rPr>
          <w:rFonts w:ascii="Arial" w:hAnsi="Arial" w:cs="Arial"/>
          <w:iCs/>
        </w:rPr>
        <w:t xml:space="preserve">   </w:t>
      </w:r>
      <w:r w:rsidR="00CC4365">
        <w:rPr>
          <w:rFonts w:ascii="Arial" w:hAnsi="Arial" w:cs="Arial"/>
          <w:iCs/>
        </w:rPr>
        <w:t>Level 5</w:t>
      </w:r>
      <w:r w:rsidR="00F201D7">
        <w:rPr>
          <w:rFonts w:ascii="Arial" w:hAnsi="Arial" w:cs="Arial"/>
          <w:iCs/>
        </w:rPr>
        <w:tab/>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00BAC9E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E14737" w14:textId="40A1610A" w:rsidR="002E6EB0" w:rsidRPr="002E6EB0" w:rsidRDefault="002E6EB0" w:rsidP="002E6EB0">
      <w:pPr>
        <w:spacing w:after="120" w:line="240" w:lineRule="auto"/>
        <w:ind w:left="567" w:right="260"/>
        <w:jc w:val="both"/>
        <w:rPr>
          <w:rFonts w:ascii="Arial" w:hAnsi="Arial" w:cs="Arial"/>
        </w:rPr>
      </w:pPr>
      <w:r w:rsidRPr="002E6EB0">
        <w:rPr>
          <w:rFonts w:ascii="Arial" w:hAnsi="Arial" w:cs="Arial"/>
        </w:rPr>
        <w:t>This module is being taught as part of the BSc (Hons) Quantity Surveying being delivered through a part</w:t>
      </w:r>
      <w:r w:rsidR="00E74B8D">
        <w:rPr>
          <w:rFonts w:ascii="Arial" w:hAnsi="Arial" w:cs="Arial"/>
        </w:rPr>
        <w:t>-</w:t>
      </w:r>
      <w:r w:rsidRPr="002E6EB0">
        <w:rPr>
          <w:rFonts w:ascii="Arial" w:hAnsi="Arial" w:cs="Arial"/>
        </w:rPr>
        <w:t xml:space="preserve">time </w:t>
      </w:r>
      <w:r w:rsidR="00416833">
        <w:rPr>
          <w:rFonts w:ascii="Arial" w:hAnsi="Arial" w:cs="Arial"/>
        </w:rPr>
        <w:t>distance</w:t>
      </w:r>
      <w:r w:rsidRPr="002E6EB0">
        <w:rPr>
          <w:rFonts w:ascii="Arial" w:hAnsi="Arial" w:cs="Arial"/>
        </w:rPr>
        <w:t xml:space="preserve"> learning approach</w:t>
      </w:r>
      <w:r w:rsidR="00416833">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53D3BA9E" w:rsidR="0095522D" w:rsidRPr="006828F1" w:rsidRDefault="00E92972"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4618C33D"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0400CAF7" w14:textId="77777777" w:rsidR="00FB7EFE" w:rsidRDefault="006C143D" w:rsidP="00FB7EFE">
      <w:pPr>
        <w:pStyle w:val="ListParagraph"/>
        <w:spacing w:after="120" w:line="240" w:lineRule="auto"/>
        <w:ind w:left="502" w:right="260"/>
        <w:rPr>
          <w:rFonts w:ascii="Arial" w:hAnsi="Arial" w:cs="Arial"/>
          <w:b/>
        </w:rPr>
      </w:pPr>
      <w:r>
        <w:rPr>
          <w:rFonts w:ascii="Arial" w:hAnsi="Arial" w:cs="Arial"/>
          <w:b/>
        </w:rPr>
        <w:t xml:space="preserve">    </w:t>
      </w:r>
    </w:p>
    <w:p w14:paraId="6FFDD407" w14:textId="583DA2AC" w:rsidR="00FB7EFE" w:rsidRDefault="00FB7EFE" w:rsidP="00FB7EFE">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77BC0B0C" w14:textId="09F943DE" w:rsidR="00FB7EFE" w:rsidRPr="00517B0D" w:rsidRDefault="00FB7EFE" w:rsidP="00FB7EFE">
      <w:pPr>
        <w:pStyle w:val="ListParagraph"/>
        <w:spacing w:after="120" w:line="240" w:lineRule="auto"/>
        <w:ind w:left="502" w:right="260"/>
        <w:rPr>
          <w:rFonts w:ascii="Arial" w:hAnsi="Arial" w:cs="Arial"/>
          <w:iCs/>
        </w:rPr>
      </w:pPr>
      <w:r w:rsidRPr="00517B0D">
        <w:rPr>
          <w:rFonts w:ascii="Arial" w:hAnsi="Arial" w:cs="Arial"/>
        </w:rPr>
        <w:t>On successfully completing the module students will be able to:</w:t>
      </w:r>
    </w:p>
    <w:p w14:paraId="3C81867A" w14:textId="3F06D5D3" w:rsidR="00EB08E2" w:rsidRPr="004D19E9" w:rsidRDefault="00EB08E2" w:rsidP="00FB7EFE">
      <w:pPr>
        <w:pStyle w:val="ListParagraph"/>
        <w:spacing w:after="120" w:line="240" w:lineRule="auto"/>
        <w:ind w:left="360" w:right="260"/>
        <w:rPr>
          <w:rFonts w:ascii="Arial" w:hAnsi="Arial" w:cs="Arial"/>
          <w:iCs/>
        </w:rPr>
      </w:pPr>
    </w:p>
    <w:p w14:paraId="50C3A1A7" w14:textId="7C1D600D" w:rsidR="004D19E9" w:rsidRPr="00313F18" w:rsidRDefault="004D19E9" w:rsidP="004D19E9">
      <w:pPr>
        <w:pStyle w:val="ListParagraph"/>
        <w:spacing w:after="120" w:line="240" w:lineRule="auto"/>
        <w:ind w:right="260"/>
        <w:rPr>
          <w:rFonts w:ascii="Arial" w:hAnsi="Arial" w:cs="Arial"/>
          <w:b/>
        </w:rPr>
      </w:pPr>
    </w:p>
    <w:p w14:paraId="1D51687B" w14:textId="77777777" w:rsidR="0053630B" w:rsidRPr="0053630B" w:rsidRDefault="00313F18" w:rsidP="00D434B3">
      <w:pPr>
        <w:pStyle w:val="ListParagraph"/>
        <w:numPr>
          <w:ilvl w:val="0"/>
          <w:numId w:val="11"/>
        </w:numPr>
        <w:spacing w:before="100" w:beforeAutospacing="1" w:after="100" w:afterAutospacing="1" w:line="240" w:lineRule="auto"/>
        <w:ind w:right="260"/>
        <w:rPr>
          <w:rFonts w:ascii="Arial" w:hAnsi="Arial" w:cs="Arial"/>
          <w:iCs/>
        </w:rPr>
      </w:pPr>
      <w:r w:rsidRPr="0053630B">
        <w:rPr>
          <w:rFonts w:ascii="Arial" w:hAnsi="Arial" w:cs="Arial"/>
          <w:iCs/>
        </w:rPr>
        <w:t xml:space="preserve">Understand and </w:t>
      </w:r>
      <w:r w:rsidR="000A19EA" w:rsidRPr="0053630B">
        <w:rPr>
          <w:rFonts w:ascii="Arial" w:hAnsi="Arial" w:cs="Arial"/>
          <w:iCs/>
        </w:rPr>
        <w:t xml:space="preserve">analyse </w:t>
      </w:r>
      <w:r w:rsidR="007B0C2A" w:rsidRPr="0053630B">
        <w:rPr>
          <w:rFonts w:ascii="Arial" w:hAnsi="Arial" w:cs="Arial"/>
          <w:iCs/>
        </w:rPr>
        <w:t xml:space="preserve">the roles, </w:t>
      </w:r>
      <w:r w:rsidR="009C2035" w:rsidRPr="0053630B">
        <w:rPr>
          <w:rFonts w:ascii="Arial" w:hAnsi="Arial" w:cs="Arial"/>
          <w:iCs/>
        </w:rPr>
        <w:t xml:space="preserve">responsibilities </w:t>
      </w:r>
      <w:r w:rsidR="007B0C2A" w:rsidRPr="0053630B">
        <w:rPr>
          <w:rFonts w:ascii="Arial" w:hAnsi="Arial" w:cs="Arial"/>
          <w:iCs/>
        </w:rPr>
        <w:t xml:space="preserve">and position of stakeholders within the </w:t>
      </w:r>
      <w:r w:rsidR="009C2035" w:rsidRPr="0053630B">
        <w:rPr>
          <w:rFonts w:ascii="Arial" w:hAnsi="Arial" w:cs="Arial"/>
          <w:iCs/>
        </w:rPr>
        <w:t xml:space="preserve">within the </w:t>
      </w:r>
      <w:r w:rsidR="00A620FC" w:rsidRPr="0053630B">
        <w:rPr>
          <w:rFonts w:ascii="Arial" w:hAnsi="Arial" w:cs="Arial"/>
          <w:iCs/>
        </w:rPr>
        <w:t>procurement</w:t>
      </w:r>
      <w:r w:rsidRPr="0053630B">
        <w:rPr>
          <w:rFonts w:ascii="Arial" w:hAnsi="Arial" w:cs="Arial"/>
          <w:iCs/>
        </w:rPr>
        <w:t xml:space="preserve"> </w:t>
      </w:r>
      <w:r w:rsidR="00D852A6" w:rsidRPr="0053630B">
        <w:rPr>
          <w:rFonts w:ascii="Arial" w:hAnsi="Arial" w:cs="Arial"/>
          <w:iCs/>
        </w:rPr>
        <w:t>process</w:t>
      </w:r>
      <w:r w:rsidR="000D7341" w:rsidRPr="0053630B">
        <w:rPr>
          <w:rFonts w:ascii="Arial" w:hAnsi="Arial" w:cs="Arial"/>
        </w:rPr>
        <w:t>.</w:t>
      </w:r>
    </w:p>
    <w:p w14:paraId="7FC3301C" w14:textId="0787645A" w:rsidR="00CB45FF" w:rsidRPr="0053630B" w:rsidRDefault="00D852A6" w:rsidP="00943F12">
      <w:pPr>
        <w:pStyle w:val="ListParagraph"/>
        <w:numPr>
          <w:ilvl w:val="0"/>
          <w:numId w:val="11"/>
        </w:numPr>
        <w:spacing w:before="100" w:beforeAutospacing="1" w:after="100" w:afterAutospacing="1" w:line="240" w:lineRule="auto"/>
        <w:ind w:right="260"/>
        <w:rPr>
          <w:rFonts w:ascii="Arial" w:hAnsi="Arial" w:cs="Arial"/>
          <w:iCs/>
        </w:rPr>
      </w:pPr>
      <w:r w:rsidRPr="0053630B">
        <w:rPr>
          <w:rFonts w:ascii="Arial" w:hAnsi="Arial" w:cs="Arial"/>
        </w:rPr>
        <w:t>Understand and critically assess the selection of procurement</w:t>
      </w:r>
      <w:r w:rsidR="00CB45FF" w:rsidRPr="0053630B">
        <w:rPr>
          <w:rFonts w:ascii="Arial" w:hAnsi="Arial" w:cs="Arial"/>
        </w:rPr>
        <w:t xml:space="preserve"> options, </w:t>
      </w:r>
      <w:r w:rsidRPr="0053630B">
        <w:rPr>
          <w:rFonts w:ascii="Arial" w:hAnsi="Arial" w:cs="Arial"/>
        </w:rPr>
        <w:t xml:space="preserve">and how </w:t>
      </w:r>
      <w:r w:rsidR="00CB45FF" w:rsidRPr="0053630B">
        <w:rPr>
          <w:rFonts w:ascii="Arial" w:hAnsi="Arial" w:cs="Arial"/>
        </w:rPr>
        <w:t xml:space="preserve">frameworks, </w:t>
      </w:r>
      <w:r w:rsidRPr="0053630B">
        <w:rPr>
          <w:rFonts w:ascii="Arial" w:hAnsi="Arial" w:cs="Arial"/>
        </w:rPr>
        <w:t>portals and</w:t>
      </w:r>
      <w:r w:rsidR="00CB45FF" w:rsidRPr="0053630B">
        <w:rPr>
          <w:rFonts w:ascii="Arial" w:hAnsi="Arial" w:cs="Arial"/>
        </w:rPr>
        <w:t xml:space="preserve"> </w:t>
      </w:r>
      <w:r w:rsidR="00E74B8D">
        <w:rPr>
          <w:rFonts w:ascii="Arial" w:hAnsi="Arial" w:cs="Arial"/>
        </w:rPr>
        <w:t>the Official Journal of the European Union</w:t>
      </w:r>
      <w:r w:rsidR="00CB45FF" w:rsidRPr="0053630B">
        <w:rPr>
          <w:rFonts w:ascii="Arial" w:hAnsi="Arial" w:cs="Arial"/>
        </w:rPr>
        <w:t xml:space="preserve"> </w:t>
      </w:r>
      <w:r w:rsidR="00F201D7">
        <w:rPr>
          <w:rFonts w:ascii="Arial" w:hAnsi="Arial" w:cs="Arial"/>
        </w:rPr>
        <w:t xml:space="preserve">(OJEU) </w:t>
      </w:r>
      <w:r w:rsidR="00CB45FF" w:rsidRPr="0053630B">
        <w:rPr>
          <w:rFonts w:ascii="Arial" w:hAnsi="Arial" w:cs="Arial"/>
        </w:rPr>
        <w:t>process</w:t>
      </w:r>
      <w:r w:rsidR="007B0C2A" w:rsidRPr="0053630B">
        <w:rPr>
          <w:rFonts w:ascii="Arial" w:hAnsi="Arial" w:cs="Arial"/>
        </w:rPr>
        <w:t>es</w:t>
      </w:r>
      <w:r w:rsidR="00CB45FF" w:rsidRPr="0053630B">
        <w:rPr>
          <w:rFonts w:ascii="Arial" w:hAnsi="Arial" w:cs="Arial"/>
        </w:rPr>
        <w:t xml:space="preserve"> </w:t>
      </w:r>
      <w:r w:rsidRPr="0053630B">
        <w:rPr>
          <w:rFonts w:ascii="Arial" w:hAnsi="Arial" w:cs="Arial"/>
        </w:rPr>
        <w:t>operate</w:t>
      </w:r>
      <w:r w:rsidR="0053630B" w:rsidRPr="0053630B">
        <w:rPr>
          <w:rFonts w:ascii="Arial" w:hAnsi="Arial" w:cs="Arial"/>
        </w:rPr>
        <w:t>.</w:t>
      </w:r>
    </w:p>
    <w:p w14:paraId="79D7A497" w14:textId="3FFB148B" w:rsidR="00A620FC" w:rsidRDefault="0053630B" w:rsidP="0053630B">
      <w:pPr>
        <w:pStyle w:val="ListParagraph"/>
        <w:numPr>
          <w:ilvl w:val="0"/>
          <w:numId w:val="11"/>
        </w:numPr>
        <w:spacing w:before="100" w:beforeAutospacing="1" w:after="100" w:afterAutospacing="1" w:line="240" w:lineRule="auto"/>
        <w:ind w:right="260"/>
        <w:rPr>
          <w:rFonts w:ascii="Arial" w:hAnsi="Arial" w:cs="Arial"/>
          <w:iCs/>
        </w:rPr>
      </w:pPr>
      <w:r>
        <w:rPr>
          <w:rFonts w:ascii="Arial" w:hAnsi="Arial" w:cs="Arial"/>
          <w:iCs/>
        </w:rPr>
        <w:t>I</w:t>
      </w:r>
      <w:r w:rsidR="00CB45FF">
        <w:rPr>
          <w:rFonts w:ascii="Arial" w:hAnsi="Arial" w:cs="Arial"/>
          <w:iCs/>
        </w:rPr>
        <w:t>nterpret and analyse drawings and specifications in order to a</w:t>
      </w:r>
      <w:r w:rsidR="00CB45FF" w:rsidRPr="00A620FC">
        <w:rPr>
          <w:rFonts w:ascii="Arial" w:hAnsi="Arial" w:cs="Arial"/>
          <w:iCs/>
        </w:rPr>
        <w:t xml:space="preserve">pply </w:t>
      </w:r>
      <w:r w:rsidR="00CB45FF">
        <w:rPr>
          <w:rFonts w:ascii="Arial" w:hAnsi="Arial" w:cs="Arial"/>
          <w:iCs/>
        </w:rPr>
        <w:t xml:space="preserve">professional </w:t>
      </w:r>
      <w:r w:rsidR="00CB45FF" w:rsidRPr="00A620FC">
        <w:rPr>
          <w:rFonts w:ascii="Arial" w:hAnsi="Arial" w:cs="Arial"/>
          <w:iCs/>
        </w:rPr>
        <w:t xml:space="preserve">estimating methodologies to the measurement and quantification </w:t>
      </w:r>
      <w:r w:rsidR="00CB45FF">
        <w:rPr>
          <w:rFonts w:ascii="Arial" w:hAnsi="Arial" w:cs="Arial"/>
          <w:iCs/>
        </w:rPr>
        <w:t xml:space="preserve">and pricing </w:t>
      </w:r>
      <w:r w:rsidR="00CB45FF" w:rsidRPr="00A620FC">
        <w:rPr>
          <w:rFonts w:ascii="Arial" w:hAnsi="Arial" w:cs="Arial"/>
          <w:iCs/>
        </w:rPr>
        <w:t>of construction projects</w:t>
      </w:r>
      <w:r>
        <w:rPr>
          <w:rFonts w:ascii="Arial" w:hAnsi="Arial" w:cs="Arial"/>
          <w:iCs/>
        </w:rPr>
        <w:t>.</w:t>
      </w:r>
    </w:p>
    <w:p w14:paraId="355572F0" w14:textId="0E7FB683" w:rsidR="00CF4532" w:rsidRPr="0053630B" w:rsidRDefault="00CB45FF" w:rsidP="00BF0E87">
      <w:pPr>
        <w:pStyle w:val="ListParagraph"/>
        <w:numPr>
          <w:ilvl w:val="0"/>
          <w:numId w:val="11"/>
        </w:numPr>
        <w:spacing w:before="100" w:beforeAutospacing="1" w:after="100" w:afterAutospacing="1" w:line="240" w:lineRule="auto"/>
        <w:ind w:right="260"/>
        <w:rPr>
          <w:rFonts w:ascii="Arial" w:hAnsi="Arial" w:cs="Arial"/>
          <w:iCs/>
        </w:rPr>
      </w:pPr>
      <w:r w:rsidRPr="0053630B">
        <w:rPr>
          <w:rFonts w:ascii="Arial" w:hAnsi="Arial" w:cs="Arial"/>
          <w:iCs/>
        </w:rPr>
        <w:t xml:space="preserve">Understand and critically engage with the legislative and professional procedures for </w:t>
      </w:r>
      <w:r w:rsidR="00800785" w:rsidRPr="0053630B">
        <w:rPr>
          <w:rFonts w:ascii="Arial" w:hAnsi="Arial" w:cs="Arial"/>
          <w:iCs/>
        </w:rPr>
        <w:t>procurement and the requirements of single and two stage tender</w:t>
      </w:r>
      <w:r w:rsidR="0053630B" w:rsidRPr="0053630B">
        <w:rPr>
          <w:rFonts w:ascii="Arial" w:hAnsi="Arial" w:cs="Arial"/>
          <w:iCs/>
        </w:rPr>
        <w:t>.</w:t>
      </w:r>
    </w:p>
    <w:p w14:paraId="6E9EFC36" w14:textId="3EDBA5C8" w:rsidR="007B0C2A" w:rsidRPr="0053630B" w:rsidRDefault="00CF4532" w:rsidP="00B42BB2">
      <w:pPr>
        <w:pStyle w:val="ListParagraph"/>
        <w:numPr>
          <w:ilvl w:val="0"/>
          <w:numId w:val="11"/>
        </w:numPr>
        <w:spacing w:before="100" w:beforeAutospacing="1" w:after="100" w:afterAutospacing="1" w:line="240" w:lineRule="auto"/>
        <w:ind w:right="260"/>
        <w:rPr>
          <w:rFonts w:ascii="Arial" w:hAnsi="Arial" w:cs="Arial"/>
          <w:iCs/>
        </w:rPr>
      </w:pPr>
      <w:r w:rsidRPr="0053630B">
        <w:rPr>
          <w:rFonts w:ascii="Arial" w:hAnsi="Arial" w:cs="Arial"/>
          <w:iCs/>
        </w:rPr>
        <w:t>Initiate processes and procedures to identify potential contractors and evaluate their ability to fulfil the requirements of the project</w:t>
      </w:r>
      <w:r w:rsidR="0053630B" w:rsidRPr="0053630B">
        <w:rPr>
          <w:rFonts w:ascii="Arial" w:hAnsi="Arial" w:cs="Arial"/>
          <w:iCs/>
        </w:rPr>
        <w:t>.</w:t>
      </w:r>
    </w:p>
    <w:p w14:paraId="5A13F0DF" w14:textId="21A0C158" w:rsidR="00CF4532" w:rsidRPr="0053630B" w:rsidRDefault="007B0C2A" w:rsidP="00353D8E">
      <w:pPr>
        <w:pStyle w:val="ListParagraph"/>
        <w:numPr>
          <w:ilvl w:val="0"/>
          <w:numId w:val="11"/>
        </w:numPr>
        <w:spacing w:before="100" w:beforeAutospacing="1" w:after="100" w:afterAutospacing="1" w:line="240" w:lineRule="auto"/>
        <w:ind w:right="260"/>
        <w:rPr>
          <w:rFonts w:ascii="Arial" w:hAnsi="Arial" w:cs="Arial"/>
          <w:iCs/>
        </w:rPr>
      </w:pPr>
      <w:r w:rsidRPr="0053630B">
        <w:rPr>
          <w:rFonts w:ascii="Arial" w:hAnsi="Arial" w:cs="Arial"/>
          <w:iCs/>
        </w:rPr>
        <w:t xml:space="preserve">Review, appraise, evaluate, and advise clients on tender documentation and </w:t>
      </w:r>
      <w:r w:rsidR="00CB45FF" w:rsidRPr="0053630B">
        <w:rPr>
          <w:rFonts w:ascii="Arial" w:hAnsi="Arial" w:cs="Arial"/>
          <w:iCs/>
        </w:rPr>
        <w:t>the selection of contractors</w:t>
      </w:r>
      <w:r w:rsidR="0053630B" w:rsidRPr="0053630B">
        <w:rPr>
          <w:rFonts w:ascii="Arial" w:hAnsi="Arial" w:cs="Arial"/>
          <w:iCs/>
        </w:rPr>
        <w:t>.</w:t>
      </w:r>
    </w:p>
    <w:p w14:paraId="47B53072" w14:textId="73A9E048" w:rsidR="00CF4532" w:rsidRPr="0053630B" w:rsidRDefault="00A620FC" w:rsidP="004C14E3">
      <w:pPr>
        <w:pStyle w:val="ListParagraph"/>
        <w:numPr>
          <w:ilvl w:val="0"/>
          <w:numId w:val="11"/>
        </w:numPr>
        <w:spacing w:before="100" w:beforeAutospacing="1" w:after="100" w:afterAutospacing="1" w:line="240" w:lineRule="auto"/>
        <w:ind w:right="260"/>
        <w:rPr>
          <w:rFonts w:ascii="Arial" w:hAnsi="Arial" w:cs="Arial"/>
        </w:rPr>
      </w:pPr>
      <w:r w:rsidRPr="0053630B">
        <w:rPr>
          <w:rFonts w:ascii="Arial" w:hAnsi="Arial" w:cs="Arial"/>
          <w:iCs/>
        </w:rPr>
        <w:t xml:space="preserve">Initiate and manage the preparation of procurement documentation and </w:t>
      </w:r>
      <w:r w:rsidR="00CF4532" w:rsidRPr="0053630B">
        <w:rPr>
          <w:rFonts w:ascii="Arial" w:hAnsi="Arial" w:cs="Arial"/>
          <w:iCs/>
        </w:rPr>
        <w:t xml:space="preserve">evaluate </w:t>
      </w:r>
      <w:r w:rsidRPr="0053630B">
        <w:rPr>
          <w:rFonts w:ascii="Arial" w:hAnsi="Arial" w:cs="Arial"/>
          <w:iCs/>
        </w:rPr>
        <w:t>responses</w:t>
      </w:r>
      <w:r w:rsidR="0053630B" w:rsidRPr="0053630B">
        <w:rPr>
          <w:rFonts w:ascii="Arial" w:hAnsi="Arial" w:cs="Arial"/>
          <w:iCs/>
        </w:rPr>
        <w:t>.</w:t>
      </w:r>
    </w:p>
    <w:p w14:paraId="66FF5964" w14:textId="3A13EB67" w:rsidR="000A19EA" w:rsidRPr="00CF4532" w:rsidRDefault="007B0C2A" w:rsidP="0053630B">
      <w:pPr>
        <w:pStyle w:val="ListParagraph"/>
        <w:numPr>
          <w:ilvl w:val="0"/>
          <w:numId w:val="11"/>
        </w:numPr>
        <w:spacing w:before="100" w:beforeAutospacing="1" w:after="100" w:afterAutospacing="1" w:line="240" w:lineRule="auto"/>
        <w:ind w:right="260"/>
        <w:rPr>
          <w:rFonts w:ascii="Arial" w:hAnsi="Arial" w:cs="Arial"/>
          <w:iCs/>
        </w:rPr>
      </w:pPr>
      <w:r w:rsidRPr="00CF4532">
        <w:rPr>
          <w:rFonts w:ascii="Arial" w:hAnsi="Arial" w:cs="Arial"/>
        </w:rPr>
        <w:t>Understand risks, and s</w:t>
      </w:r>
      <w:r w:rsidR="00C34405" w:rsidRPr="00CF4532">
        <w:rPr>
          <w:rFonts w:ascii="Arial" w:hAnsi="Arial" w:cs="Arial"/>
        </w:rPr>
        <w:t xml:space="preserve">trategically plan to </w:t>
      </w:r>
      <w:r w:rsidR="000250CC" w:rsidRPr="00CF4532">
        <w:rPr>
          <w:rFonts w:ascii="Arial" w:hAnsi="Arial" w:cs="Arial"/>
        </w:rPr>
        <w:t>mitigate t</w:t>
      </w:r>
      <w:r w:rsidR="00577BEE" w:rsidRPr="00CF4532">
        <w:rPr>
          <w:rFonts w:ascii="Arial" w:hAnsi="Arial" w:cs="Arial"/>
        </w:rPr>
        <w:t xml:space="preserve">he risks associated with </w:t>
      </w:r>
      <w:r w:rsidR="00A620FC" w:rsidRPr="00CF4532">
        <w:rPr>
          <w:rFonts w:ascii="Arial" w:hAnsi="Arial" w:cs="Arial"/>
        </w:rPr>
        <w:t>procurement</w:t>
      </w:r>
      <w:r w:rsidR="0053630B">
        <w:rPr>
          <w:rFonts w:ascii="Arial" w:hAnsi="Arial" w:cs="Arial"/>
        </w:rPr>
        <w:t>.</w:t>
      </w:r>
      <w:r w:rsidR="00A620FC" w:rsidRPr="00CF4532">
        <w:rPr>
          <w:rFonts w:ascii="Arial" w:hAnsi="Arial" w:cs="Arial"/>
        </w:rPr>
        <w:t xml:space="preserve"> </w:t>
      </w:r>
    </w:p>
    <w:p w14:paraId="5011751F" w14:textId="77777777" w:rsidR="000A19EA" w:rsidRPr="00313F18" w:rsidRDefault="000A19EA" w:rsidP="000A19EA">
      <w:pPr>
        <w:pStyle w:val="ListParagraph"/>
        <w:spacing w:after="120" w:line="240" w:lineRule="auto"/>
        <w:ind w:left="1440" w:right="260"/>
        <w:rPr>
          <w:rFonts w:ascii="Arial" w:hAnsi="Arial" w:cs="Arial"/>
          <w:iCs/>
        </w:rPr>
      </w:pPr>
    </w:p>
    <w:p w14:paraId="06E95812" w14:textId="49767A03" w:rsidR="001451ED" w:rsidRPr="00517B0D" w:rsidRDefault="001451ED" w:rsidP="00577BEE">
      <w:pPr>
        <w:numPr>
          <w:ilvl w:val="0"/>
          <w:numId w:val="1"/>
        </w:numPr>
        <w:spacing w:after="120" w:line="240" w:lineRule="auto"/>
        <w:ind w:left="567" w:right="260" w:hanging="567"/>
        <w:rPr>
          <w:rFonts w:ascii="Arial" w:hAnsi="Arial" w:cs="Arial"/>
        </w:rPr>
      </w:pPr>
      <w:r w:rsidRPr="00577BEE">
        <w:rPr>
          <w:rFonts w:ascii="Arial" w:hAnsi="Arial" w:cs="Arial"/>
          <w:b/>
        </w:rPr>
        <w:t>The intended generic learning outcomes.</w:t>
      </w:r>
      <w:r w:rsidRPr="00577BEE">
        <w:rPr>
          <w:rFonts w:ascii="Arial" w:hAnsi="Arial" w:cs="Arial"/>
          <w:b/>
        </w:rPr>
        <w:br/>
      </w:r>
      <w:r w:rsidRPr="00517B0D">
        <w:rPr>
          <w:rFonts w:ascii="Arial" w:hAnsi="Arial" w:cs="Arial"/>
        </w:rPr>
        <w:t>On successf</w:t>
      </w:r>
      <w:r w:rsidR="007D6361" w:rsidRPr="00517B0D">
        <w:rPr>
          <w:rFonts w:ascii="Arial" w:hAnsi="Arial" w:cs="Arial"/>
        </w:rPr>
        <w:t>ully</w:t>
      </w:r>
      <w:r w:rsidRPr="00517B0D">
        <w:rPr>
          <w:rFonts w:ascii="Arial" w:hAnsi="Arial" w:cs="Arial"/>
        </w:rPr>
        <w:t xml:space="preserve"> completing the module students will be able to:</w:t>
      </w:r>
    </w:p>
    <w:p w14:paraId="47C8F7F3" w14:textId="246AF9D2" w:rsidR="000A19EA" w:rsidRDefault="000A19EA" w:rsidP="000A19EA">
      <w:pPr>
        <w:pStyle w:val="ListParagraph"/>
        <w:numPr>
          <w:ilvl w:val="0"/>
          <w:numId w:val="12"/>
        </w:numPr>
        <w:spacing w:after="120" w:line="240" w:lineRule="auto"/>
        <w:ind w:right="260"/>
        <w:rPr>
          <w:rFonts w:ascii="Arial" w:hAnsi="Arial" w:cs="Arial"/>
        </w:rPr>
      </w:pPr>
      <w:r>
        <w:rPr>
          <w:rFonts w:ascii="Arial" w:hAnsi="Arial" w:cs="Arial"/>
        </w:rPr>
        <w:t xml:space="preserve">Formulate </w:t>
      </w:r>
      <w:r w:rsidR="00313F18">
        <w:rPr>
          <w:rFonts w:ascii="Arial" w:hAnsi="Arial" w:cs="Arial"/>
        </w:rPr>
        <w:t>strategies, objectives and enablers</w:t>
      </w:r>
      <w:r w:rsidR="00FB7EFE">
        <w:rPr>
          <w:rFonts w:ascii="Arial" w:hAnsi="Arial" w:cs="Arial"/>
        </w:rPr>
        <w:t>.</w:t>
      </w:r>
    </w:p>
    <w:p w14:paraId="35E79F7D" w14:textId="2C875961" w:rsidR="007D6361" w:rsidRPr="000A19EA" w:rsidRDefault="000A19EA" w:rsidP="000A19EA">
      <w:pPr>
        <w:pStyle w:val="ListParagraph"/>
        <w:numPr>
          <w:ilvl w:val="0"/>
          <w:numId w:val="12"/>
        </w:numPr>
        <w:spacing w:after="120" w:line="240" w:lineRule="auto"/>
        <w:ind w:right="260"/>
        <w:rPr>
          <w:rFonts w:ascii="Arial" w:hAnsi="Arial" w:cs="Arial"/>
        </w:rPr>
      </w:pPr>
      <w:r w:rsidRPr="000A19EA">
        <w:rPr>
          <w:rFonts w:ascii="Arial" w:hAnsi="Arial" w:cs="Arial"/>
        </w:rPr>
        <w:t xml:space="preserve">Develop </w:t>
      </w:r>
      <w:r w:rsidR="00313F18" w:rsidRPr="000A19EA">
        <w:rPr>
          <w:rFonts w:ascii="Arial" w:hAnsi="Arial" w:cs="Arial"/>
        </w:rPr>
        <w:t>risk management strategies</w:t>
      </w:r>
      <w:r w:rsidR="00FB7EFE">
        <w:rPr>
          <w:rFonts w:ascii="Arial" w:hAnsi="Arial" w:cs="Arial"/>
        </w:rPr>
        <w:t>.</w:t>
      </w:r>
    </w:p>
    <w:p w14:paraId="365D1C57" w14:textId="2F41E1C3" w:rsidR="009A52EA" w:rsidRDefault="00313F18" w:rsidP="002049BE">
      <w:pPr>
        <w:pStyle w:val="ListParagraph"/>
        <w:numPr>
          <w:ilvl w:val="0"/>
          <w:numId w:val="12"/>
        </w:numPr>
        <w:spacing w:after="120" w:line="240" w:lineRule="auto"/>
        <w:ind w:right="260"/>
        <w:rPr>
          <w:rFonts w:ascii="Arial" w:hAnsi="Arial" w:cs="Arial"/>
        </w:rPr>
      </w:pPr>
      <w:r>
        <w:rPr>
          <w:rFonts w:ascii="Arial" w:hAnsi="Arial" w:cs="Arial"/>
        </w:rPr>
        <w:t xml:space="preserve">Compare </w:t>
      </w:r>
      <w:r w:rsidR="00D50A3B">
        <w:rPr>
          <w:rFonts w:ascii="Arial" w:hAnsi="Arial" w:cs="Arial"/>
        </w:rPr>
        <w:t>and evaluate strategi</w:t>
      </w:r>
      <w:r>
        <w:rPr>
          <w:rFonts w:ascii="Arial" w:hAnsi="Arial" w:cs="Arial"/>
        </w:rPr>
        <w:t xml:space="preserve">es and </w:t>
      </w:r>
      <w:r w:rsidR="009A52EA">
        <w:rPr>
          <w:rFonts w:ascii="Arial" w:hAnsi="Arial" w:cs="Arial"/>
        </w:rPr>
        <w:t>models of practice</w:t>
      </w:r>
      <w:r w:rsidR="00FB7EFE">
        <w:rPr>
          <w:rFonts w:ascii="Arial" w:hAnsi="Arial" w:cs="Arial"/>
        </w:rPr>
        <w:t>.</w:t>
      </w:r>
    </w:p>
    <w:p w14:paraId="254F9693" w14:textId="6F635C37" w:rsidR="00D50A3B" w:rsidRDefault="00003905" w:rsidP="002049BE">
      <w:pPr>
        <w:pStyle w:val="ListParagraph"/>
        <w:numPr>
          <w:ilvl w:val="0"/>
          <w:numId w:val="12"/>
        </w:numPr>
        <w:spacing w:after="120" w:line="240" w:lineRule="auto"/>
        <w:ind w:right="260"/>
        <w:rPr>
          <w:rFonts w:ascii="Arial" w:hAnsi="Arial" w:cs="Arial"/>
        </w:rPr>
      </w:pPr>
      <w:r>
        <w:rPr>
          <w:rFonts w:ascii="Arial" w:hAnsi="Arial" w:cs="Arial"/>
        </w:rPr>
        <w:t>Generate and a</w:t>
      </w:r>
      <w:r w:rsidR="00D50A3B">
        <w:rPr>
          <w:rFonts w:ascii="Arial" w:hAnsi="Arial" w:cs="Arial"/>
        </w:rPr>
        <w:t xml:space="preserve">nalyse </w:t>
      </w:r>
      <w:r>
        <w:rPr>
          <w:rFonts w:ascii="Arial" w:hAnsi="Arial" w:cs="Arial"/>
        </w:rPr>
        <w:t>numerical and f</w:t>
      </w:r>
      <w:r w:rsidR="00D50A3B">
        <w:rPr>
          <w:rFonts w:ascii="Arial" w:hAnsi="Arial" w:cs="Arial"/>
        </w:rPr>
        <w:t>inancial data and information</w:t>
      </w:r>
      <w:r w:rsidR="00FB7EFE">
        <w:rPr>
          <w:rFonts w:ascii="Arial" w:hAnsi="Arial" w:cs="Arial"/>
        </w:rPr>
        <w:t>.</w:t>
      </w:r>
    </w:p>
    <w:p w14:paraId="5C826A46" w14:textId="65CA0FAA" w:rsidR="0053630B" w:rsidRDefault="0053630B" w:rsidP="0053630B">
      <w:pPr>
        <w:spacing w:after="120" w:line="240" w:lineRule="auto"/>
        <w:ind w:right="260"/>
        <w:rPr>
          <w:rFonts w:ascii="Arial" w:hAnsi="Arial" w:cs="Arial"/>
        </w:rPr>
      </w:pPr>
    </w:p>
    <w:p w14:paraId="13C7E1A6" w14:textId="0B514D85" w:rsidR="0053630B" w:rsidRDefault="0053630B" w:rsidP="0053630B">
      <w:pPr>
        <w:spacing w:after="120" w:line="240" w:lineRule="auto"/>
        <w:ind w:right="260"/>
        <w:rPr>
          <w:rFonts w:ascii="Arial" w:hAnsi="Arial" w:cs="Arial"/>
        </w:rPr>
      </w:pPr>
    </w:p>
    <w:p w14:paraId="4917AF06" w14:textId="7A1F53B5" w:rsidR="0053630B" w:rsidRDefault="0053630B" w:rsidP="0053630B">
      <w:pPr>
        <w:spacing w:after="120" w:line="240" w:lineRule="auto"/>
        <w:ind w:right="260"/>
        <w:rPr>
          <w:rFonts w:ascii="Arial" w:hAnsi="Arial" w:cs="Arial"/>
        </w:rPr>
      </w:pPr>
    </w:p>
    <w:p w14:paraId="1EDB4B74" w14:textId="5BB0CEC7" w:rsidR="0053630B" w:rsidRDefault="0053630B" w:rsidP="0053630B">
      <w:pPr>
        <w:spacing w:after="120" w:line="240" w:lineRule="auto"/>
        <w:ind w:right="260"/>
        <w:rPr>
          <w:rFonts w:ascii="Arial" w:hAnsi="Arial" w:cs="Arial"/>
        </w:rPr>
      </w:pPr>
    </w:p>
    <w:p w14:paraId="28F98F05" w14:textId="36731174" w:rsidR="0053630B" w:rsidRDefault="0053630B" w:rsidP="0053630B">
      <w:pPr>
        <w:spacing w:after="120" w:line="240" w:lineRule="auto"/>
        <w:ind w:right="260"/>
        <w:rPr>
          <w:rFonts w:ascii="Arial" w:hAnsi="Arial" w:cs="Arial"/>
        </w:rPr>
      </w:pPr>
    </w:p>
    <w:p w14:paraId="77716C93" w14:textId="77777777" w:rsidR="0053630B" w:rsidRPr="0053630B" w:rsidRDefault="0053630B" w:rsidP="0053630B">
      <w:pPr>
        <w:spacing w:after="120" w:line="240" w:lineRule="auto"/>
        <w:ind w:right="260"/>
        <w:rPr>
          <w:rFonts w:ascii="Arial" w:hAnsi="Arial" w:cs="Arial"/>
        </w:rPr>
      </w:pPr>
    </w:p>
    <w:p w14:paraId="29704186" w14:textId="2A0CA870" w:rsidR="001451ED" w:rsidRDefault="001451ED" w:rsidP="00A90A38">
      <w:pPr>
        <w:autoSpaceDE w:val="0"/>
        <w:autoSpaceDN w:val="0"/>
        <w:adjustRightInd w:val="0"/>
        <w:spacing w:before="60" w:after="60" w:line="240" w:lineRule="auto"/>
        <w:jc w:val="both"/>
        <w:rPr>
          <w:rFonts w:ascii="Arial" w:hAnsi="Arial" w:cs="Arial"/>
        </w:rPr>
      </w:pPr>
    </w:p>
    <w:p w14:paraId="0CBBC96E" w14:textId="2BB532EB" w:rsidR="009A2D37" w:rsidRPr="006C143D" w:rsidRDefault="008918DF" w:rsidP="006C143D">
      <w:pPr>
        <w:autoSpaceDE w:val="0"/>
        <w:autoSpaceDN w:val="0"/>
        <w:adjustRightInd w:val="0"/>
        <w:spacing w:before="60" w:after="60" w:line="240" w:lineRule="auto"/>
        <w:jc w:val="both"/>
        <w:rPr>
          <w:rFonts w:ascii="Arial" w:hAnsi="Arial" w:cs="Arial"/>
        </w:rPr>
      </w:pPr>
      <w:r w:rsidRPr="008918DF">
        <w:rPr>
          <w:rFonts w:ascii="Arial" w:hAnsi="Arial" w:cs="Arial"/>
        </w:rPr>
        <w:t>10</w:t>
      </w:r>
      <w:r w:rsidR="006C143D" w:rsidRPr="008918DF">
        <w:rPr>
          <w:rFonts w:ascii="Arial" w:hAnsi="Arial" w:cs="Arial"/>
        </w:rPr>
        <w:t>.</w:t>
      </w:r>
      <w:r w:rsidR="001451ED" w:rsidRPr="006C143D">
        <w:rPr>
          <w:rFonts w:ascii="Arial" w:hAnsi="Arial" w:cs="Arial"/>
          <w:b/>
        </w:rPr>
        <w:t xml:space="preserve"> </w:t>
      </w:r>
      <w:r w:rsidR="006C143D">
        <w:rPr>
          <w:rFonts w:ascii="Arial" w:hAnsi="Arial" w:cs="Arial"/>
          <w:b/>
        </w:rPr>
        <w:t xml:space="preserve">      </w:t>
      </w:r>
      <w:r w:rsidR="009A2D37" w:rsidRPr="006C143D">
        <w:rPr>
          <w:rFonts w:ascii="Arial" w:hAnsi="Arial" w:cs="Arial"/>
          <w:b/>
        </w:rPr>
        <w:t>A synopsis of the curriculum</w:t>
      </w:r>
    </w:p>
    <w:p w14:paraId="32C47E22" w14:textId="77777777" w:rsidR="00AC0903" w:rsidRDefault="00AC0903" w:rsidP="00AC0903">
      <w:pPr>
        <w:pStyle w:val="ListParagraph"/>
        <w:tabs>
          <w:tab w:val="left" w:pos="426"/>
          <w:tab w:val="left" w:pos="1701"/>
        </w:tabs>
        <w:rPr>
          <w:rFonts w:ascii="Arial" w:hAnsi="Arial" w:cs="Arial"/>
        </w:rPr>
      </w:pPr>
    </w:p>
    <w:p w14:paraId="671A4B37" w14:textId="51724FCE" w:rsidR="001451ED" w:rsidRPr="00AC0903" w:rsidRDefault="00AC0903" w:rsidP="00AC0903">
      <w:pPr>
        <w:pStyle w:val="ListParagraph"/>
        <w:tabs>
          <w:tab w:val="left" w:pos="426"/>
          <w:tab w:val="left" w:pos="1701"/>
        </w:tabs>
        <w:rPr>
          <w:rFonts w:ascii="Arial" w:hAnsi="Arial" w:cs="Arial"/>
        </w:rPr>
      </w:pPr>
      <w:r w:rsidRPr="00AC0903">
        <w:rPr>
          <w:rFonts w:ascii="Arial" w:hAnsi="Arial" w:cs="Arial"/>
        </w:rPr>
        <w:t xml:space="preserve">The procurement process is critical to the success of the construction industry. It is vitally important to clearly identify the requirements of a project and work within the legislative framework to achieve them. Each construction project will have its own characteristics and challenges and the ability to frame these within the procurement and tender process and decide upon the right contractual approach will be critical to its success. The module explores the procurement stage of construction and the rules that govern it, exploring the complexities of this process </w:t>
      </w:r>
      <w:r w:rsidR="00800785">
        <w:rPr>
          <w:rFonts w:ascii="Arial" w:hAnsi="Arial" w:cs="Arial"/>
        </w:rPr>
        <w:t xml:space="preserve">and </w:t>
      </w:r>
      <w:r w:rsidRPr="00AC0903">
        <w:rPr>
          <w:rFonts w:ascii="Arial" w:hAnsi="Arial" w:cs="Arial"/>
        </w:rPr>
        <w:t>its operation.  The management of risk during the procurement phase is also considered alongside the procedures and protocols that aim to mitigate it.</w:t>
      </w:r>
    </w:p>
    <w:p w14:paraId="6546C29C" w14:textId="77777777" w:rsidR="001451ED" w:rsidRDefault="001451ED" w:rsidP="001451ED">
      <w:pPr>
        <w:pStyle w:val="ListParagraph"/>
        <w:spacing w:after="120" w:line="240" w:lineRule="auto"/>
        <w:ind w:right="260"/>
        <w:jc w:val="both"/>
        <w:rPr>
          <w:rFonts w:ascii="Arial" w:hAnsi="Arial" w:cs="Arial"/>
          <w:b/>
        </w:rPr>
      </w:pPr>
    </w:p>
    <w:p w14:paraId="25BFD867" w14:textId="67471FBC" w:rsidR="006C143D" w:rsidRPr="008918DF" w:rsidRDefault="008918DF" w:rsidP="008918DF">
      <w:pPr>
        <w:spacing w:after="120" w:line="240" w:lineRule="auto"/>
        <w:ind w:right="260"/>
        <w:jc w:val="both"/>
        <w:rPr>
          <w:rFonts w:ascii="Arial" w:hAnsi="Arial" w:cs="Arial"/>
          <w:b/>
        </w:rPr>
      </w:pPr>
      <w:r w:rsidRPr="008918DF">
        <w:rPr>
          <w:rFonts w:ascii="Arial" w:hAnsi="Arial" w:cs="Arial"/>
        </w:rPr>
        <w:t>11</w:t>
      </w:r>
      <w:r>
        <w:rPr>
          <w:rFonts w:ascii="Arial" w:hAnsi="Arial" w:cs="Arial"/>
          <w:b/>
        </w:rPr>
        <w:t>.</w:t>
      </w:r>
      <w:r w:rsidR="006C143D" w:rsidRPr="008918DF">
        <w:rPr>
          <w:rFonts w:ascii="Arial" w:hAnsi="Arial" w:cs="Arial"/>
          <w:b/>
        </w:rPr>
        <w:t xml:space="preserve">      </w:t>
      </w:r>
      <w:r w:rsidR="00883204" w:rsidRPr="008918DF">
        <w:rPr>
          <w:rFonts w:ascii="Arial" w:hAnsi="Arial" w:cs="Arial"/>
          <w:b/>
        </w:rPr>
        <w:t>Reading l</w:t>
      </w:r>
      <w:r w:rsidR="009A2D37" w:rsidRPr="008918DF">
        <w:rPr>
          <w:rFonts w:ascii="Arial" w:hAnsi="Arial" w:cs="Arial"/>
          <w:b/>
        </w:rPr>
        <w:t xml:space="preserve">ist </w:t>
      </w:r>
      <w:r w:rsidR="00274ED7" w:rsidRPr="008918DF">
        <w:rPr>
          <w:rFonts w:ascii="Arial" w:hAnsi="Arial" w:cs="Arial"/>
          <w:b/>
        </w:rPr>
        <w:t xml:space="preserve">(Indicative list, current at time of publication. Reading lists will be </w:t>
      </w:r>
      <w:r w:rsidR="006C143D" w:rsidRPr="008918DF">
        <w:rPr>
          <w:rFonts w:ascii="Arial" w:hAnsi="Arial" w:cs="Arial"/>
          <w:b/>
        </w:rPr>
        <w:t>published</w:t>
      </w:r>
    </w:p>
    <w:p w14:paraId="1ED5BC91" w14:textId="048E295A" w:rsidR="009A2D37" w:rsidRDefault="006C143D" w:rsidP="006C143D">
      <w:pPr>
        <w:pStyle w:val="ListParagraph"/>
        <w:spacing w:after="120" w:line="240" w:lineRule="auto"/>
        <w:ind w:left="360" w:right="260"/>
        <w:jc w:val="both"/>
        <w:rPr>
          <w:rFonts w:ascii="Arial" w:hAnsi="Arial" w:cs="Arial"/>
          <w:b/>
        </w:rPr>
      </w:pPr>
      <w:r>
        <w:rPr>
          <w:rFonts w:ascii="Arial" w:hAnsi="Arial" w:cs="Arial"/>
          <w:b/>
        </w:rPr>
        <w:t xml:space="preserve">      </w:t>
      </w:r>
      <w:r w:rsidR="00274ED7" w:rsidRPr="001451ED">
        <w:rPr>
          <w:rFonts w:ascii="Arial" w:hAnsi="Arial" w:cs="Arial"/>
          <w:b/>
        </w:rPr>
        <w:t>annually)</w:t>
      </w:r>
    </w:p>
    <w:p w14:paraId="1435724B" w14:textId="02465C6C" w:rsidR="005E4EE1" w:rsidRDefault="005E4EE1" w:rsidP="005E4EE1">
      <w:pPr>
        <w:spacing w:after="120" w:line="240" w:lineRule="auto"/>
        <w:ind w:left="720" w:right="260"/>
        <w:jc w:val="both"/>
        <w:rPr>
          <w:rFonts w:ascii="Arial" w:hAnsi="Arial" w:cs="Arial"/>
        </w:rPr>
      </w:pPr>
      <w:r w:rsidRPr="005E4EE1">
        <w:rPr>
          <w:rFonts w:ascii="Arial" w:hAnsi="Arial" w:cs="Arial"/>
        </w:rPr>
        <w:t xml:space="preserve">Hackett, M. (2016). </w:t>
      </w:r>
      <w:r w:rsidRPr="005E4EE1">
        <w:rPr>
          <w:rFonts w:ascii="Arial" w:hAnsi="Arial" w:cs="Arial"/>
          <w:i/>
        </w:rPr>
        <w:t>The Aqua Group guide to Procurement, Tendering and Contract Administration</w:t>
      </w:r>
      <w:r w:rsidRPr="005E4EE1">
        <w:rPr>
          <w:rFonts w:ascii="Arial" w:hAnsi="Arial" w:cs="Arial"/>
        </w:rPr>
        <w:t>. Wiley Blackwell</w:t>
      </w:r>
    </w:p>
    <w:p w14:paraId="0D2E65F9" w14:textId="0F786429" w:rsidR="005E4EE1" w:rsidRDefault="005E4EE1" w:rsidP="005E4EE1">
      <w:pPr>
        <w:spacing w:after="120" w:line="240" w:lineRule="auto"/>
        <w:ind w:right="260" w:firstLine="720"/>
        <w:jc w:val="both"/>
        <w:rPr>
          <w:rFonts w:ascii="Arial" w:hAnsi="Arial" w:cs="Arial"/>
        </w:rPr>
      </w:pPr>
      <w:r w:rsidRPr="005E4EE1">
        <w:rPr>
          <w:rFonts w:ascii="Arial" w:hAnsi="Arial" w:cs="Arial"/>
        </w:rPr>
        <w:t xml:space="preserve">Brook, M. (2016). </w:t>
      </w:r>
      <w:r w:rsidRPr="005E4EE1">
        <w:rPr>
          <w:rFonts w:ascii="Arial" w:hAnsi="Arial" w:cs="Arial"/>
          <w:i/>
        </w:rPr>
        <w:t>Estimating and Tendering for Construction Work</w:t>
      </w:r>
      <w:r w:rsidRPr="005E4EE1">
        <w:rPr>
          <w:rFonts w:ascii="Arial" w:hAnsi="Arial" w:cs="Arial"/>
        </w:rPr>
        <w:t>. Routledge</w:t>
      </w:r>
    </w:p>
    <w:p w14:paraId="18A73A03" w14:textId="77777777" w:rsidR="005E4EE1" w:rsidRPr="005E4EE1" w:rsidRDefault="005E4EE1" w:rsidP="005E4EE1">
      <w:pPr>
        <w:spacing w:after="120" w:line="240" w:lineRule="auto"/>
        <w:ind w:right="260" w:firstLine="720"/>
        <w:jc w:val="both"/>
        <w:rPr>
          <w:rFonts w:ascii="Arial" w:hAnsi="Arial" w:cs="Arial"/>
        </w:rPr>
      </w:pPr>
    </w:p>
    <w:p w14:paraId="6885B20E" w14:textId="197D6E5C" w:rsidR="00883204" w:rsidRPr="006C143D" w:rsidRDefault="006C143D" w:rsidP="006C143D">
      <w:pPr>
        <w:pStyle w:val="ListParagraph"/>
        <w:numPr>
          <w:ilvl w:val="0"/>
          <w:numId w:val="13"/>
        </w:numPr>
        <w:spacing w:after="120" w:line="240" w:lineRule="auto"/>
        <w:ind w:right="260"/>
        <w:rPr>
          <w:rFonts w:ascii="Arial" w:hAnsi="Arial" w:cs="Arial"/>
          <w:i/>
          <w:iCs/>
        </w:rPr>
      </w:pPr>
      <w:r>
        <w:rPr>
          <w:rFonts w:ascii="Arial" w:hAnsi="Arial" w:cs="Arial"/>
          <w:b/>
        </w:rPr>
        <w:t xml:space="preserve">      </w:t>
      </w:r>
      <w:r w:rsidR="009A2D37" w:rsidRPr="006C143D">
        <w:rPr>
          <w:rFonts w:ascii="Arial" w:hAnsi="Arial" w:cs="Arial"/>
          <w:b/>
        </w:rPr>
        <w:t>Learning</w:t>
      </w:r>
      <w:r w:rsidR="00883204" w:rsidRPr="006C143D">
        <w:rPr>
          <w:rFonts w:ascii="Arial" w:hAnsi="Arial" w:cs="Arial"/>
          <w:b/>
        </w:rPr>
        <w:t xml:space="preserve"> and t</w:t>
      </w:r>
      <w:r w:rsidR="006F3F8B" w:rsidRPr="006C143D">
        <w:rPr>
          <w:rFonts w:ascii="Arial" w:hAnsi="Arial" w:cs="Arial"/>
          <w:b/>
        </w:rPr>
        <w:t>eaching m</w:t>
      </w:r>
      <w:r w:rsidR="009A2D37" w:rsidRPr="006C143D">
        <w:rPr>
          <w:rFonts w:ascii="Arial" w:hAnsi="Arial" w:cs="Arial"/>
          <w:b/>
        </w:rPr>
        <w:t>ethods</w:t>
      </w:r>
    </w:p>
    <w:p w14:paraId="092C1CA2" w14:textId="77777777" w:rsidR="002E6EB0" w:rsidRDefault="002E6EB0" w:rsidP="002E6EB0">
      <w:pPr>
        <w:pStyle w:val="ListParagraph"/>
        <w:spacing w:after="120" w:line="240" w:lineRule="auto"/>
        <w:ind w:right="260"/>
        <w:rPr>
          <w:rFonts w:ascii="Arial" w:eastAsia="Times New Roman" w:hAnsi="Arial" w:cs="Arial"/>
          <w:color w:val="000000"/>
          <w:lang w:eastAsia="en-US"/>
        </w:rPr>
      </w:pPr>
      <w:r w:rsidRPr="00A12D1A">
        <w:rPr>
          <w:rFonts w:ascii="Arial" w:eastAsia="Times New Roman" w:hAnsi="Arial" w:cs="Arial"/>
          <w:color w:val="000000"/>
          <w:lang w:eastAsia="en-US"/>
        </w:rPr>
        <w:t>The total study time for this module is 150 hours incorporating online e-learning, work-based experience and private study.</w:t>
      </w:r>
    </w:p>
    <w:p w14:paraId="7C532DAB" w14:textId="77777777" w:rsidR="002E6EB0" w:rsidRPr="00A12D1A" w:rsidRDefault="002E6EB0" w:rsidP="002E6EB0">
      <w:pPr>
        <w:pStyle w:val="ListParagraph"/>
        <w:spacing w:after="120" w:line="240" w:lineRule="auto"/>
        <w:ind w:right="260"/>
        <w:rPr>
          <w:rFonts w:ascii="Calibri" w:eastAsia="Times New Roman" w:hAnsi="Calibri" w:cs="Calibri"/>
          <w:color w:val="000000"/>
          <w:lang w:eastAsia="en-US"/>
        </w:rPr>
      </w:pPr>
    </w:p>
    <w:p w14:paraId="1E0BF504" w14:textId="76B56C4B" w:rsidR="002E6EB0" w:rsidRDefault="002E6EB0" w:rsidP="002E6EB0">
      <w:pPr>
        <w:pStyle w:val="ListParagraph"/>
        <w:spacing w:after="120" w:line="240" w:lineRule="auto"/>
        <w:ind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FB7EFE">
        <w:rPr>
          <w:rFonts w:ascii="Arial" w:eastAsia="Times New Roman" w:hAnsi="Arial" w:cs="Arial"/>
          <w:color w:val="000000"/>
          <w:lang w:eastAsia="en-US"/>
        </w:rPr>
        <w:t>distance</w:t>
      </w:r>
      <w:r w:rsidR="00FB7EFE"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 xml:space="preserve">learning approach. </w:t>
      </w:r>
      <w:r w:rsidR="00517B0D">
        <w:rPr>
          <w:rFonts w:ascii="Arial" w:eastAsia="Times New Roman" w:hAnsi="Arial" w:cs="Arial"/>
          <w:color w:val="000000"/>
          <w:lang w:eastAsia="en-US"/>
        </w:rPr>
        <w:t>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4BC36E4C" w14:textId="77777777" w:rsidR="002E6EB0" w:rsidRPr="00A12D1A" w:rsidRDefault="002E6EB0" w:rsidP="002E6EB0">
      <w:pPr>
        <w:pStyle w:val="ListParagraph"/>
        <w:spacing w:after="120" w:line="240" w:lineRule="auto"/>
        <w:ind w:right="260"/>
        <w:rPr>
          <w:rFonts w:ascii="Calibri" w:eastAsia="Times New Roman" w:hAnsi="Calibri" w:cs="Calibri"/>
          <w:color w:val="000000"/>
          <w:lang w:eastAsia="en-US"/>
        </w:rPr>
      </w:pPr>
    </w:p>
    <w:p w14:paraId="236B3D44" w14:textId="77777777" w:rsidR="002E6EB0" w:rsidRDefault="002E6EB0" w:rsidP="002E6EB0">
      <w:pPr>
        <w:pStyle w:val="ListParagraph"/>
        <w:spacing w:after="120" w:line="240" w:lineRule="auto"/>
        <w:ind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641A2381" w14:textId="77777777" w:rsidR="002E6EB0" w:rsidRPr="00A12D1A" w:rsidRDefault="002E6EB0" w:rsidP="002E6EB0">
      <w:pPr>
        <w:pStyle w:val="ListParagraph"/>
        <w:spacing w:after="120" w:line="240" w:lineRule="auto"/>
        <w:ind w:right="260"/>
        <w:rPr>
          <w:rFonts w:ascii="Calibri" w:eastAsia="Times New Roman" w:hAnsi="Calibri" w:cs="Calibri"/>
          <w:color w:val="000000"/>
          <w:lang w:eastAsia="en-US"/>
        </w:rPr>
      </w:pPr>
    </w:p>
    <w:p w14:paraId="59D108D8" w14:textId="77777777" w:rsidR="002E6EB0" w:rsidRPr="00A12D1A" w:rsidRDefault="002E6EB0" w:rsidP="002E6EB0">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3B7C1C22" w14:textId="77777777" w:rsidR="002E6EB0" w:rsidRPr="00883204" w:rsidRDefault="002E6EB0" w:rsidP="002E6EB0">
      <w:pPr>
        <w:spacing w:after="120" w:line="240" w:lineRule="auto"/>
        <w:ind w:left="720" w:right="260"/>
        <w:rPr>
          <w:rFonts w:ascii="Arial" w:hAnsi="Arial" w:cs="Arial"/>
          <w:i/>
          <w:iCs/>
        </w:rPr>
      </w:pPr>
    </w:p>
    <w:p w14:paraId="47A011D3" w14:textId="3017ADCD" w:rsidR="008D71E5" w:rsidRPr="00396415" w:rsidRDefault="006C143D" w:rsidP="006C143D">
      <w:pPr>
        <w:numPr>
          <w:ilvl w:val="0"/>
          <w:numId w:val="13"/>
        </w:numPr>
        <w:spacing w:after="120" w:line="240" w:lineRule="auto"/>
        <w:ind w:right="260"/>
        <w:rPr>
          <w:rFonts w:ascii="Arial" w:hAnsi="Arial" w:cs="Arial"/>
          <w:i/>
          <w:iCs/>
        </w:rPr>
      </w:pPr>
      <w:r>
        <w:rPr>
          <w:rFonts w:ascii="Arial" w:hAnsi="Arial" w:cs="Arial"/>
          <w:b/>
        </w:rPr>
        <w:t xml:space="preserve">     </w:t>
      </w:r>
      <w:r w:rsidR="00EF4933" w:rsidRPr="00302082">
        <w:rPr>
          <w:rFonts w:ascii="Arial" w:hAnsi="Arial" w:cs="Arial"/>
          <w:b/>
        </w:rPr>
        <w:t>Assessment methods</w:t>
      </w:r>
    </w:p>
    <w:p w14:paraId="42BDFE41" w14:textId="4A0DC567" w:rsidR="00517B0D" w:rsidRPr="00517B0D" w:rsidRDefault="00517B0D" w:rsidP="00517B0D">
      <w:pPr>
        <w:pStyle w:val="ListParagraph"/>
        <w:numPr>
          <w:ilvl w:val="0"/>
          <w:numId w:val="15"/>
        </w:numPr>
        <w:spacing w:after="120"/>
        <w:rPr>
          <w:rFonts w:ascii="Arial" w:hAnsi="Arial" w:cs="Arial"/>
        </w:rPr>
      </w:pPr>
      <w:r>
        <w:rPr>
          <w:rFonts w:ascii="Arial" w:hAnsi="Arial" w:cs="Arial"/>
        </w:rPr>
        <w:t>Main assessment:</w:t>
      </w:r>
      <w:r w:rsidR="006C143D" w:rsidRPr="00517B0D">
        <w:rPr>
          <w:rFonts w:ascii="Arial" w:hAnsi="Arial" w:cs="Arial"/>
        </w:rPr>
        <w:t xml:space="preserve">     </w:t>
      </w:r>
    </w:p>
    <w:p w14:paraId="31B832EE" w14:textId="2CCCC630" w:rsidR="00AC7F3A" w:rsidRDefault="007B7A8F" w:rsidP="00517B0D">
      <w:pPr>
        <w:spacing w:after="120"/>
        <w:ind w:left="567" w:firstLine="153"/>
        <w:rPr>
          <w:rFonts w:ascii="Arial" w:hAnsi="Arial" w:cs="Arial"/>
        </w:rPr>
      </w:pPr>
      <w:r>
        <w:rPr>
          <w:rFonts w:ascii="Arial" w:hAnsi="Arial" w:cs="Arial"/>
        </w:rPr>
        <w:t xml:space="preserve">Written Report </w:t>
      </w:r>
      <w:r w:rsidR="00517B0D">
        <w:rPr>
          <w:rFonts w:ascii="Arial" w:hAnsi="Arial" w:cs="Arial"/>
        </w:rPr>
        <w:t xml:space="preserve">- </w:t>
      </w:r>
      <w:r>
        <w:rPr>
          <w:rFonts w:ascii="Arial" w:hAnsi="Arial" w:cs="Arial"/>
        </w:rPr>
        <w:t>3,0</w:t>
      </w:r>
      <w:r w:rsidR="00396415">
        <w:rPr>
          <w:rFonts w:ascii="Arial" w:hAnsi="Arial" w:cs="Arial"/>
        </w:rPr>
        <w:t>00</w:t>
      </w:r>
      <w:r w:rsidR="00517B0D">
        <w:rPr>
          <w:rFonts w:ascii="Arial" w:hAnsi="Arial" w:cs="Arial"/>
        </w:rPr>
        <w:t xml:space="preserve"> words</w:t>
      </w:r>
      <w:r w:rsidR="00E74B8D">
        <w:rPr>
          <w:rFonts w:ascii="Arial" w:hAnsi="Arial" w:cs="Arial"/>
        </w:rPr>
        <w:t xml:space="preserve"> (70%)</w:t>
      </w:r>
    </w:p>
    <w:p w14:paraId="5F5828D6" w14:textId="3674BFC9" w:rsidR="00396415" w:rsidRDefault="006C143D" w:rsidP="00396415">
      <w:pPr>
        <w:spacing w:after="120"/>
        <w:ind w:left="567" w:hanging="207"/>
        <w:rPr>
          <w:rFonts w:ascii="Arial" w:hAnsi="Arial" w:cs="Arial"/>
        </w:rPr>
      </w:pPr>
      <w:r>
        <w:rPr>
          <w:rFonts w:ascii="Arial" w:hAnsi="Arial" w:cs="Arial"/>
        </w:rPr>
        <w:t xml:space="preserve">     </w:t>
      </w:r>
      <w:r w:rsidR="00517B0D">
        <w:rPr>
          <w:rFonts w:ascii="Arial" w:hAnsi="Arial" w:cs="Arial"/>
        </w:rPr>
        <w:tab/>
        <w:t>P</w:t>
      </w:r>
      <w:r w:rsidR="00396415">
        <w:rPr>
          <w:rFonts w:ascii="Arial" w:hAnsi="Arial" w:cs="Arial"/>
        </w:rPr>
        <w:t xml:space="preserve">resentation </w:t>
      </w:r>
      <w:r w:rsidR="00CB42AE">
        <w:rPr>
          <w:rFonts w:ascii="Arial" w:hAnsi="Arial" w:cs="Arial"/>
        </w:rPr>
        <w:t xml:space="preserve">– 20 minutes </w:t>
      </w:r>
      <w:r w:rsidR="00E74B8D">
        <w:rPr>
          <w:rFonts w:ascii="Arial" w:hAnsi="Arial" w:cs="Arial"/>
        </w:rPr>
        <w:t>(30%)</w:t>
      </w:r>
    </w:p>
    <w:p w14:paraId="4CDEE16C" w14:textId="77777777" w:rsidR="00517B0D" w:rsidRPr="00396415" w:rsidRDefault="00517B0D" w:rsidP="00396415">
      <w:pPr>
        <w:spacing w:after="120"/>
        <w:ind w:left="567" w:hanging="207"/>
        <w:rPr>
          <w:rFonts w:ascii="Arial" w:hAnsi="Arial" w:cs="Arial"/>
        </w:rPr>
      </w:pPr>
    </w:p>
    <w:p w14:paraId="70ECED81" w14:textId="1D7AC507" w:rsidR="00696FF5" w:rsidRPr="00517B0D" w:rsidRDefault="00696FF5" w:rsidP="00517B0D">
      <w:pPr>
        <w:pStyle w:val="ListParagraph"/>
        <w:numPr>
          <w:ilvl w:val="0"/>
          <w:numId w:val="15"/>
        </w:numPr>
        <w:spacing w:after="120"/>
        <w:rPr>
          <w:rFonts w:ascii="Arial" w:hAnsi="Arial" w:cs="Arial"/>
          <w:iCs/>
        </w:rPr>
      </w:pPr>
      <w:r w:rsidRPr="00517B0D">
        <w:rPr>
          <w:rFonts w:ascii="Arial" w:hAnsi="Arial" w:cs="Arial"/>
          <w:iCs/>
        </w:rPr>
        <w:t>Reassessment methods</w:t>
      </w:r>
      <w:r w:rsidR="00517B0D">
        <w:rPr>
          <w:rFonts w:ascii="Arial" w:hAnsi="Arial" w:cs="Arial"/>
          <w:iCs/>
        </w:rPr>
        <w:t>:</w:t>
      </w:r>
      <w:r w:rsidRPr="00517B0D">
        <w:rPr>
          <w:rFonts w:ascii="Arial" w:hAnsi="Arial" w:cs="Arial"/>
          <w:iCs/>
        </w:rPr>
        <w:t xml:space="preserve"> </w:t>
      </w:r>
    </w:p>
    <w:p w14:paraId="4C605C3B" w14:textId="22DFF04C" w:rsidR="00C57028" w:rsidRDefault="006C143D" w:rsidP="00C57028">
      <w:pPr>
        <w:spacing w:after="120" w:line="240" w:lineRule="auto"/>
        <w:ind w:left="567" w:right="260"/>
        <w:jc w:val="both"/>
        <w:rPr>
          <w:rFonts w:ascii="Arial" w:hAnsi="Arial" w:cs="Arial"/>
          <w:iCs/>
        </w:rPr>
      </w:pPr>
      <w:r>
        <w:rPr>
          <w:rFonts w:ascii="Arial" w:hAnsi="Arial" w:cs="Arial"/>
          <w:iCs/>
        </w:rPr>
        <w:t xml:space="preserve"> </w:t>
      </w:r>
      <w:r w:rsidR="00517B0D">
        <w:rPr>
          <w:rFonts w:ascii="Arial" w:hAnsi="Arial" w:cs="Arial"/>
          <w:iCs/>
        </w:rPr>
        <w:t xml:space="preserve">  </w:t>
      </w:r>
      <w:r w:rsidR="00951173" w:rsidRPr="00951173">
        <w:rPr>
          <w:rFonts w:ascii="Arial" w:hAnsi="Arial" w:cs="Arial"/>
          <w:iCs/>
        </w:rPr>
        <w:t>Like for like</w:t>
      </w:r>
    </w:p>
    <w:p w14:paraId="1FABB938" w14:textId="0B783750" w:rsidR="006C143D" w:rsidRDefault="006C143D" w:rsidP="00C57028">
      <w:pPr>
        <w:spacing w:after="120" w:line="240" w:lineRule="auto"/>
        <w:ind w:left="567" w:right="260"/>
        <w:jc w:val="both"/>
        <w:rPr>
          <w:rFonts w:ascii="Arial" w:hAnsi="Arial" w:cs="Arial"/>
          <w:iCs/>
        </w:rPr>
      </w:pPr>
    </w:p>
    <w:p w14:paraId="1DEEAB51" w14:textId="663B4D32" w:rsidR="006C143D" w:rsidRDefault="006C143D" w:rsidP="00C57028">
      <w:pPr>
        <w:spacing w:after="120" w:line="240" w:lineRule="auto"/>
        <w:ind w:left="567" w:right="260"/>
        <w:jc w:val="both"/>
        <w:rPr>
          <w:rFonts w:ascii="Arial" w:hAnsi="Arial" w:cs="Arial"/>
          <w:iCs/>
        </w:rPr>
      </w:pPr>
    </w:p>
    <w:p w14:paraId="0C0D6AB5" w14:textId="57289E87" w:rsidR="006C143D" w:rsidRDefault="006C143D" w:rsidP="00C57028">
      <w:pPr>
        <w:spacing w:after="120" w:line="240" w:lineRule="auto"/>
        <w:ind w:left="567" w:right="260"/>
        <w:jc w:val="both"/>
        <w:rPr>
          <w:rFonts w:ascii="Arial" w:hAnsi="Arial" w:cs="Arial"/>
          <w:iCs/>
        </w:rPr>
      </w:pPr>
    </w:p>
    <w:p w14:paraId="4C568C0A" w14:textId="7CDE2357" w:rsidR="006C143D" w:rsidRDefault="006C143D" w:rsidP="00C57028">
      <w:pPr>
        <w:spacing w:after="120" w:line="240" w:lineRule="auto"/>
        <w:ind w:left="567" w:right="260"/>
        <w:jc w:val="both"/>
        <w:rPr>
          <w:rFonts w:ascii="Arial" w:hAnsi="Arial" w:cs="Arial"/>
          <w:iCs/>
        </w:rPr>
      </w:pPr>
    </w:p>
    <w:p w14:paraId="70FEB1D2" w14:textId="77777777" w:rsidR="006C143D" w:rsidRPr="00951173" w:rsidRDefault="006C143D" w:rsidP="00C57028">
      <w:pPr>
        <w:spacing w:after="120" w:line="240" w:lineRule="auto"/>
        <w:ind w:left="567" w:right="260"/>
        <w:jc w:val="both"/>
        <w:rPr>
          <w:rFonts w:ascii="Arial" w:hAnsi="Arial" w:cs="Arial"/>
          <w:b/>
          <w:iCs/>
        </w:rPr>
      </w:pPr>
    </w:p>
    <w:p w14:paraId="27BF32B4" w14:textId="5B875465" w:rsidR="00696FF5" w:rsidRDefault="00696FF5" w:rsidP="00302082">
      <w:pPr>
        <w:spacing w:after="120" w:line="240" w:lineRule="auto"/>
        <w:ind w:left="426" w:right="260"/>
        <w:rPr>
          <w:rFonts w:ascii="Arial" w:hAnsi="Arial" w:cs="Arial"/>
          <w:b/>
          <w:i/>
          <w:iCs/>
        </w:rPr>
      </w:pPr>
    </w:p>
    <w:tbl>
      <w:tblPr>
        <w:tblStyle w:val="TableGrid"/>
        <w:tblpPr w:leftFromText="180" w:rightFromText="180" w:vertAnchor="text" w:horzAnchor="margin" w:tblpY="685"/>
        <w:tblW w:w="10690" w:type="dxa"/>
        <w:tblLayout w:type="fixed"/>
        <w:tblLook w:val="04A0" w:firstRow="1" w:lastRow="0" w:firstColumn="1" w:lastColumn="0" w:noHBand="0" w:noVBand="1"/>
      </w:tblPr>
      <w:tblGrid>
        <w:gridCol w:w="2170"/>
        <w:gridCol w:w="710"/>
        <w:gridCol w:w="710"/>
        <w:gridCol w:w="710"/>
        <w:gridCol w:w="710"/>
        <w:gridCol w:w="710"/>
        <w:gridCol w:w="710"/>
        <w:gridCol w:w="710"/>
        <w:gridCol w:w="710"/>
        <w:gridCol w:w="710"/>
        <w:gridCol w:w="710"/>
        <w:gridCol w:w="710"/>
        <w:gridCol w:w="710"/>
      </w:tblGrid>
      <w:tr w:rsidR="00E74B8D" w:rsidRPr="00302082" w14:paraId="386EC344" w14:textId="77777777" w:rsidTr="00E74B8D">
        <w:trPr>
          <w:trHeight w:val="685"/>
        </w:trPr>
        <w:tc>
          <w:tcPr>
            <w:tcW w:w="2170" w:type="dxa"/>
            <w:shd w:val="clear" w:color="auto" w:fill="D9D9D9" w:themeFill="background1" w:themeFillShade="D9"/>
          </w:tcPr>
          <w:p w14:paraId="50BC1E44" w14:textId="77777777" w:rsidR="00E74B8D" w:rsidRPr="006F3C3B" w:rsidRDefault="00E74B8D" w:rsidP="00E74B8D">
            <w:pPr>
              <w:spacing w:after="120"/>
              <w:ind w:left="33"/>
              <w:rPr>
                <w:rFonts w:ascii="Arial" w:hAnsi="Arial" w:cs="Arial"/>
                <w:b/>
                <w:sz w:val="20"/>
                <w:szCs w:val="20"/>
              </w:rPr>
            </w:pPr>
            <w:r w:rsidRPr="006F3C3B">
              <w:rPr>
                <w:rFonts w:ascii="Arial" w:hAnsi="Arial" w:cs="Arial"/>
                <w:b/>
                <w:sz w:val="20"/>
                <w:szCs w:val="20"/>
              </w:rPr>
              <w:t>Module learning outcome</w:t>
            </w:r>
          </w:p>
        </w:tc>
        <w:tc>
          <w:tcPr>
            <w:tcW w:w="710" w:type="dxa"/>
          </w:tcPr>
          <w:p w14:paraId="5BE1F3C3" w14:textId="77777777" w:rsidR="00E74B8D" w:rsidRPr="006F3C3B" w:rsidRDefault="00E74B8D" w:rsidP="00E74B8D">
            <w:pPr>
              <w:spacing w:after="120"/>
              <w:rPr>
                <w:rFonts w:ascii="Arial" w:hAnsi="Arial" w:cs="Arial"/>
                <w:i/>
                <w:sz w:val="20"/>
                <w:szCs w:val="20"/>
              </w:rPr>
            </w:pPr>
            <w:r w:rsidRPr="006F3C3B">
              <w:rPr>
                <w:rFonts w:ascii="Arial" w:hAnsi="Arial" w:cs="Arial"/>
                <w:i/>
                <w:sz w:val="20"/>
                <w:szCs w:val="20"/>
              </w:rPr>
              <w:t>8.1</w:t>
            </w:r>
          </w:p>
        </w:tc>
        <w:tc>
          <w:tcPr>
            <w:tcW w:w="710" w:type="dxa"/>
          </w:tcPr>
          <w:p w14:paraId="0651709C" w14:textId="77777777" w:rsidR="00E74B8D" w:rsidRPr="006F3C3B" w:rsidRDefault="00E74B8D" w:rsidP="00E74B8D">
            <w:pPr>
              <w:spacing w:after="120"/>
              <w:rPr>
                <w:rFonts w:ascii="Arial" w:hAnsi="Arial" w:cs="Arial"/>
                <w:i/>
                <w:sz w:val="20"/>
                <w:szCs w:val="20"/>
              </w:rPr>
            </w:pPr>
            <w:r w:rsidRPr="006F3C3B">
              <w:rPr>
                <w:rFonts w:ascii="Arial" w:hAnsi="Arial" w:cs="Arial"/>
                <w:i/>
                <w:sz w:val="20"/>
                <w:szCs w:val="20"/>
              </w:rPr>
              <w:t>8.2</w:t>
            </w:r>
          </w:p>
        </w:tc>
        <w:tc>
          <w:tcPr>
            <w:tcW w:w="710" w:type="dxa"/>
          </w:tcPr>
          <w:p w14:paraId="7D59D24E" w14:textId="77777777" w:rsidR="00E74B8D" w:rsidRPr="006F3C3B" w:rsidRDefault="00E74B8D" w:rsidP="00E74B8D">
            <w:pPr>
              <w:spacing w:after="120"/>
              <w:rPr>
                <w:rFonts w:ascii="Arial" w:hAnsi="Arial" w:cs="Arial"/>
                <w:i/>
                <w:sz w:val="20"/>
                <w:szCs w:val="20"/>
              </w:rPr>
            </w:pPr>
            <w:r w:rsidRPr="006F3C3B">
              <w:rPr>
                <w:rFonts w:ascii="Arial" w:hAnsi="Arial" w:cs="Arial"/>
                <w:i/>
                <w:sz w:val="20"/>
                <w:szCs w:val="20"/>
              </w:rPr>
              <w:t>8.3</w:t>
            </w:r>
          </w:p>
        </w:tc>
        <w:tc>
          <w:tcPr>
            <w:tcW w:w="710" w:type="dxa"/>
          </w:tcPr>
          <w:p w14:paraId="79E5FF08" w14:textId="77777777" w:rsidR="00E74B8D" w:rsidRPr="006F3C3B" w:rsidRDefault="00E74B8D" w:rsidP="00E74B8D">
            <w:pPr>
              <w:spacing w:after="120"/>
              <w:rPr>
                <w:rFonts w:ascii="Arial" w:hAnsi="Arial" w:cs="Arial"/>
                <w:i/>
                <w:sz w:val="20"/>
                <w:szCs w:val="20"/>
              </w:rPr>
            </w:pPr>
            <w:r>
              <w:rPr>
                <w:rFonts w:ascii="Arial" w:hAnsi="Arial" w:cs="Arial"/>
                <w:i/>
                <w:sz w:val="20"/>
                <w:szCs w:val="20"/>
              </w:rPr>
              <w:t>8.4</w:t>
            </w:r>
          </w:p>
        </w:tc>
        <w:tc>
          <w:tcPr>
            <w:tcW w:w="710" w:type="dxa"/>
          </w:tcPr>
          <w:p w14:paraId="0775CA20" w14:textId="6F75D211" w:rsidR="00E74B8D" w:rsidRPr="006F3C3B" w:rsidRDefault="00E74B8D" w:rsidP="00E74B8D">
            <w:pPr>
              <w:spacing w:after="120"/>
              <w:rPr>
                <w:rFonts w:ascii="Arial" w:hAnsi="Arial" w:cs="Arial"/>
                <w:i/>
                <w:sz w:val="20"/>
                <w:szCs w:val="20"/>
              </w:rPr>
            </w:pPr>
            <w:r>
              <w:rPr>
                <w:rFonts w:ascii="Arial" w:hAnsi="Arial" w:cs="Arial"/>
                <w:i/>
                <w:sz w:val="20"/>
                <w:szCs w:val="20"/>
              </w:rPr>
              <w:t>8.5</w:t>
            </w:r>
          </w:p>
        </w:tc>
        <w:tc>
          <w:tcPr>
            <w:tcW w:w="710" w:type="dxa"/>
          </w:tcPr>
          <w:p w14:paraId="2577D38C" w14:textId="0C7E75BB" w:rsidR="00E74B8D" w:rsidRPr="006F3C3B" w:rsidRDefault="00E74B8D" w:rsidP="00E74B8D">
            <w:pPr>
              <w:spacing w:after="120"/>
              <w:rPr>
                <w:rFonts w:ascii="Arial" w:hAnsi="Arial" w:cs="Arial"/>
                <w:i/>
                <w:sz w:val="20"/>
                <w:szCs w:val="20"/>
              </w:rPr>
            </w:pPr>
            <w:r>
              <w:rPr>
                <w:rFonts w:ascii="Arial" w:hAnsi="Arial" w:cs="Arial"/>
                <w:i/>
                <w:sz w:val="20"/>
                <w:szCs w:val="20"/>
              </w:rPr>
              <w:t>8.6</w:t>
            </w:r>
          </w:p>
        </w:tc>
        <w:tc>
          <w:tcPr>
            <w:tcW w:w="710" w:type="dxa"/>
          </w:tcPr>
          <w:p w14:paraId="038D412B" w14:textId="3FA7971B" w:rsidR="00E74B8D" w:rsidRPr="006F3C3B" w:rsidRDefault="00E74B8D" w:rsidP="00E74B8D">
            <w:pPr>
              <w:spacing w:after="120"/>
              <w:rPr>
                <w:rFonts w:ascii="Arial" w:hAnsi="Arial" w:cs="Arial"/>
                <w:i/>
                <w:sz w:val="20"/>
                <w:szCs w:val="20"/>
              </w:rPr>
            </w:pPr>
            <w:r>
              <w:rPr>
                <w:rFonts w:ascii="Arial" w:hAnsi="Arial" w:cs="Arial"/>
                <w:i/>
                <w:sz w:val="20"/>
                <w:szCs w:val="20"/>
              </w:rPr>
              <w:t>8.7</w:t>
            </w:r>
          </w:p>
        </w:tc>
        <w:tc>
          <w:tcPr>
            <w:tcW w:w="710" w:type="dxa"/>
          </w:tcPr>
          <w:p w14:paraId="3FFCF31C" w14:textId="23816C39" w:rsidR="00E74B8D" w:rsidRPr="006F3C3B" w:rsidRDefault="00E74B8D" w:rsidP="00E74B8D">
            <w:pPr>
              <w:spacing w:after="120"/>
              <w:rPr>
                <w:rFonts w:ascii="Arial" w:hAnsi="Arial" w:cs="Arial"/>
                <w:i/>
                <w:sz w:val="20"/>
                <w:szCs w:val="20"/>
              </w:rPr>
            </w:pPr>
            <w:r>
              <w:rPr>
                <w:rFonts w:ascii="Arial" w:hAnsi="Arial" w:cs="Arial"/>
                <w:i/>
                <w:sz w:val="20"/>
                <w:szCs w:val="20"/>
              </w:rPr>
              <w:t>8.8</w:t>
            </w:r>
          </w:p>
        </w:tc>
        <w:tc>
          <w:tcPr>
            <w:tcW w:w="710" w:type="dxa"/>
          </w:tcPr>
          <w:p w14:paraId="4CD7D69C" w14:textId="519E4654" w:rsidR="00E74B8D" w:rsidRPr="006F3C3B" w:rsidRDefault="00E74B8D" w:rsidP="00E74B8D">
            <w:pPr>
              <w:spacing w:after="120"/>
              <w:rPr>
                <w:rFonts w:ascii="Arial" w:hAnsi="Arial" w:cs="Arial"/>
                <w:i/>
                <w:sz w:val="20"/>
                <w:szCs w:val="20"/>
              </w:rPr>
            </w:pPr>
            <w:r w:rsidRPr="006F3C3B">
              <w:rPr>
                <w:rFonts w:ascii="Arial" w:hAnsi="Arial" w:cs="Arial"/>
                <w:i/>
                <w:sz w:val="20"/>
                <w:szCs w:val="20"/>
              </w:rPr>
              <w:t>9.1</w:t>
            </w:r>
          </w:p>
        </w:tc>
        <w:tc>
          <w:tcPr>
            <w:tcW w:w="710" w:type="dxa"/>
          </w:tcPr>
          <w:p w14:paraId="0F51063A" w14:textId="77777777" w:rsidR="00E74B8D" w:rsidRPr="006F3C3B" w:rsidRDefault="00E74B8D" w:rsidP="00E74B8D">
            <w:pPr>
              <w:spacing w:after="120"/>
              <w:rPr>
                <w:rFonts w:ascii="Arial" w:hAnsi="Arial" w:cs="Arial"/>
                <w:i/>
                <w:sz w:val="20"/>
                <w:szCs w:val="20"/>
              </w:rPr>
            </w:pPr>
            <w:r w:rsidRPr="006F3C3B">
              <w:rPr>
                <w:rFonts w:ascii="Arial" w:hAnsi="Arial" w:cs="Arial"/>
                <w:i/>
                <w:sz w:val="20"/>
                <w:szCs w:val="20"/>
              </w:rPr>
              <w:t>9.2</w:t>
            </w:r>
          </w:p>
        </w:tc>
        <w:tc>
          <w:tcPr>
            <w:tcW w:w="710" w:type="dxa"/>
          </w:tcPr>
          <w:p w14:paraId="32689399" w14:textId="77777777" w:rsidR="00E74B8D" w:rsidRPr="006F3C3B" w:rsidRDefault="00E74B8D" w:rsidP="00E74B8D">
            <w:pPr>
              <w:spacing w:after="120"/>
              <w:rPr>
                <w:rFonts w:ascii="Arial" w:hAnsi="Arial" w:cs="Arial"/>
                <w:i/>
                <w:sz w:val="20"/>
                <w:szCs w:val="20"/>
              </w:rPr>
            </w:pPr>
            <w:r w:rsidRPr="006F3C3B">
              <w:rPr>
                <w:rFonts w:ascii="Arial" w:hAnsi="Arial" w:cs="Arial"/>
                <w:i/>
                <w:sz w:val="20"/>
                <w:szCs w:val="20"/>
              </w:rPr>
              <w:t>9.3</w:t>
            </w:r>
          </w:p>
        </w:tc>
        <w:tc>
          <w:tcPr>
            <w:tcW w:w="710" w:type="dxa"/>
          </w:tcPr>
          <w:p w14:paraId="70F314B8" w14:textId="77777777" w:rsidR="00E74B8D" w:rsidRPr="006F3C3B" w:rsidRDefault="00E74B8D" w:rsidP="00E74B8D">
            <w:pPr>
              <w:spacing w:after="120"/>
              <w:rPr>
                <w:rFonts w:ascii="Arial" w:hAnsi="Arial" w:cs="Arial"/>
                <w:i/>
                <w:sz w:val="20"/>
                <w:szCs w:val="20"/>
              </w:rPr>
            </w:pPr>
            <w:r>
              <w:rPr>
                <w:rFonts w:ascii="Arial" w:hAnsi="Arial" w:cs="Arial"/>
                <w:i/>
                <w:sz w:val="20"/>
                <w:szCs w:val="20"/>
              </w:rPr>
              <w:t>9.4</w:t>
            </w:r>
          </w:p>
        </w:tc>
      </w:tr>
      <w:tr w:rsidR="00E74B8D" w:rsidRPr="00302082" w14:paraId="47EE9B50" w14:textId="77777777" w:rsidTr="00E74B8D">
        <w:trPr>
          <w:trHeight w:val="672"/>
        </w:trPr>
        <w:tc>
          <w:tcPr>
            <w:tcW w:w="2170" w:type="dxa"/>
            <w:shd w:val="clear" w:color="auto" w:fill="D9D9D9" w:themeFill="background1" w:themeFillShade="D9"/>
          </w:tcPr>
          <w:p w14:paraId="0C45DB40" w14:textId="77777777" w:rsidR="00E74B8D" w:rsidRPr="006F3C3B" w:rsidRDefault="00E74B8D" w:rsidP="00E74B8D">
            <w:pPr>
              <w:spacing w:after="120"/>
              <w:rPr>
                <w:rFonts w:ascii="Arial" w:hAnsi="Arial" w:cs="Arial"/>
                <w:b/>
                <w:sz w:val="20"/>
                <w:szCs w:val="20"/>
              </w:rPr>
            </w:pPr>
            <w:r w:rsidRPr="006F3C3B">
              <w:rPr>
                <w:rFonts w:ascii="Arial" w:hAnsi="Arial" w:cs="Arial"/>
                <w:b/>
                <w:sz w:val="20"/>
                <w:szCs w:val="20"/>
              </w:rPr>
              <w:t>Learning/ teaching method</w:t>
            </w:r>
          </w:p>
        </w:tc>
        <w:tc>
          <w:tcPr>
            <w:tcW w:w="710" w:type="dxa"/>
          </w:tcPr>
          <w:p w14:paraId="6EF8EE07" w14:textId="77777777" w:rsidR="00E74B8D" w:rsidRPr="006F3C3B" w:rsidRDefault="00E74B8D" w:rsidP="00E74B8D">
            <w:pPr>
              <w:spacing w:after="120"/>
              <w:rPr>
                <w:rFonts w:ascii="Arial" w:hAnsi="Arial" w:cs="Arial"/>
                <w:b/>
                <w:sz w:val="20"/>
                <w:szCs w:val="20"/>
              </w:rPr>
            </w:pPr>
          </w:p>
        </w:tc>
        <w:tc>
          <w:tcPr>
            <w:tcW w:w="710" w:type="dxa"/>
          </w:tcPr>
          <w:p w14:paraId="5ED08331" w14:textId="77777777" w:rsidR="00E74B8D" w:rsidRPr="006F3C3B" w:rsidRDefault="00E74B8D" w:rsidP="00E74B8D">
            <w:pPr>
              <w:spacing w:after="120"/>
              <w:rPr>
                <w:rFonts w:ascii="Arial" w:hAnsi="Arial" w:cs="Arial"/>
                <w:b/>
                <w:sz w:val="20"/>
                <w:szCs w:val="20"/>
              </w:rPr>
            </w:pPr>
          </w:p>
        </w:tc>
        <w:tc>
          <w:tcPr>
            <w:tcW w:w="710" w:type="dxa"/>
          </w:tcPr>
          <w:p w14:paraId="0045EA5D" w14:textId="77777777" w:rsidR="00E74B8D" w:rsidRPr="006F3C3B" w:rsidRDefault="00E74B8D" w:rsidP="00E74B8D">
            <w:pPr>
              <w:spacing w:after="120"/>
              <w:rPr>
                <w:rFonts w:ascii="Arial" w:hAnsi="Arial" w:cs="Arial"/>
                <w:b/>
                <w:sz w:val="20"/>
                <w:szCs w:val="20"/>
              </w:rPr>
            </w:pPr>
          </w:p>
        </w:tc>
        <w:tc>
          <w:tcPr>
            <w:tcW w:w="710" w:type="dxa"/>
          </w:tcPr>
          <w:p w14:paraId="153C930E" w14:textId="77777777" w:rsidR="00E74B8D" w:rsidRPr="006F3C3B" w:rsidRDefault="00E74B8D" w:rsidP="00E74B8D">
            <w:pPr>
              <w:spacing w:after="120"/>
              <w:rPr>
                <w:rFonts w:ascii="Arial" w:hAnsi="Arial" w:cs="Arial"/>
                <w:b/>
                <w:sz w:val="20"/>
                <w:szCs w:val="20"/>
              </w:rPr>
            </w:pPr>
          </w:p>
        </w:tc>
        <w:tc>
          <w:tcPr>
            <w:tcW w:w="710" w:type="dxa"/>
          </w:tcPr>
          <w:p w14:paraId="4FE24C70" w14:textId="77777777" w:rsidR="00E74B8D" w:rsidRPr="006F3C3B" w:rsidRDefault="00E74B8D" w:rsidP="00E74B8D">
            <w:pPr>
              <w:spacing w:after="120"/>
              <w:rPr>
                <w:rFonts w:ascii="Arial" w:hAnsi="Arial" w:cs="Arial"/>
                <w:b/>
                <w:sz w:val="20"/>
                <w:szCs w:val="20"/>
              </w:rPr>
            </w:pPr>
          </w:p>
        </w:tc>
        <w:tc>
          <w:tcPr>
            <w:tcW w:w="710" w:type="dxa"/>
          </w:tcPr>
          <w:p w14:paraId="4A88F66A" w14:textId="77777777" w:rsidR="00E74B8D" w:rsidRPr="006F3C3B" w:rsidRDefault="00E74B8D" w:rsidP="00E74B8D">
            <w:pPr>
              <w:spacing w:after="120"/>
              <w:rPr>
                <w:rFonts w:ascii="Arial" w:hAnsi="Arial" w:cs="Arial"/>
                <w:b/>
                <w:sz w:val="20"/>
                <w:szCs w:val="20"/>
              </w:rPr>
            </w:pPr>
          </w:p>
        </w:tc>
        <w:tc>
          <w:tcPr>
            <w:tcW w:w="710" w:type="dxa"/>
          </w:tcPr>
          <w:p w14:paraId="57D8A83D" w14:textId="77777777" w:rsidR="00E74B8D" w:rsidRPr="006F3C3B" w:rsidRDefault="00E74B8D" w:rsidP="00E74B8D">
            <w:pPr>
              <w:spacing w:after="120"/>
              <w:rPr>
                <w:rFonts w:ascii="Arial" w:hAnsi="Arial" w:cs="Arial"/>
                <w:b/>
                <w:sz w:val="20"/>
                <w:szCs w:val="20"/>
              </w:rPr>
            </w:pPr>
          </w:p>
        </w:tc>
        <w:tc>
          <w:tcPr>
            <w:tcW w:w="710" w:type="dxa"/>
          </w:tcPr>
          <w:p w14:paraId="429DE509" w14:textId="77777777" w:rsidR="00E74B8D" w:rsidRPr="006F3C3B" w:rsidRDefault="00E74B8D" w:rsidP="00E74B8D">
            <w:pPr>
              <w:spacing w:after="120"/>
              <w:rPr>
                <w:rFonts w:ascii="Arial" w:hAnsi="Arial" w:cs="Arial"/>
                <w:b/>
                <w:sz w:val="20"/>
                <w:szCs w:val="20"/>
              </w:rPr>
            </w:pPr>
          </w:p>
        </w:tc>
        <w:tc>
          <w:tcPr>
            <w:tcW w:w="710" w:type="dxa"/>
          </w:tcPr>
          <w:p w14:paraId="379B506B" w14:textId="660756E8" w:rsidR="00E74B8D" w:rsidRPr="006F3C3B" w:rsidRDefault="00E74B8D" w:rsidP="00E74B8D">
            <w:pPr>
              <w:spacing w:after="120"/>
              <w:rPr>
                <w:rFonts w:ascii="Arial" w:hAnsi="Arial" w:cs="Arial"/>
                <w:b/>
                <w:sz w:val="20"/>
                <w:szCs w:val="20"/>
              </w:rPr>
            </w:pPr>
          </w:p>
        </w:tc>
        <w:tc>
          <w:tcPr>
            <w:tcW w:w="710" w:type="dxa"/>
          </w:tcPr>
          <w:p w14:paraId="5C68DBDB" w14:textId="77777777" w:rsidR="00E74B8D" w:rsidRPr="006F3C3B" w:rsidRDefault="00E74B8D" w:rsidP="00E74B8D">
            <w:pPr>
              <w:spacing w:after="120"/>
              <w:rPr>
                <w:rFonts w:ascii="Arial" w:hAnsi="Arial" w:cs="Arial"/>
                <w:b/>
                <w:sz w:val="20"/>
                <w:szCs w:val="20"/>
              </w:rPr>
            </w:pPr>
          </w:p>
        </w:tc>
        <w:tc>
          <w:tcPr>
            <w:tcW w:w="710" w:type="dxa"/>
          </w:tcPr>
          <w:p w14:paraId="3DC7493C" w14:textId="77777777" w:rsidR="00E74B8D" w:rsidRPr="006F3C3B" w:rsidRDefault="00E74B8D" w:rsidP="00E74B8D">
            <w:pPr>
              <w:spacing w:after="120"/>
              <w:rPr>
                <w:rFonts w:ascii="Arial" w:hAnsi="Arial" w:cs="Arial"/>
                <w:b/>
                <w:sz w:val="20"/>
                <w:szCs w:val="20"/>
              </w:rPr>
            </w:pPr>
          </w:p>
        </w:tc>
        <w:tc>
          <w:tcPr>
            <w:tcW w:w="710" w:type="dxa"/>
          </w:tcPr>
          <w:p w14:paraId="2151531F" w14:textId="77777777" w:rsidR="00E74B8D" w:rsidRPr="006F3C3B" w:rsidRDefault="00E74B8D" w:rsidP="00E74B8D">
            <w:pPr>
              <w:spacing w:after="120"/>
              <w:rPr>
                <w:rFonts w:ascii="Arial" w:hAnsi="Arial" w:cs="Arial"/>
                <w:b/>
                <w:sz w:val="20"/>
                <w:szCs w:val="20"/>
              </w:rPr>
            </w:pPr>
          </w:p>
        </w:tc>
      </w:tr>
      <w:tr w:rsidR="00E74B8D" w:rsidRPr="00302082" w14:paraId="56B3D450" w14:textId="77777777" w:rsidTr="00E74B8D">
        <w:trPr>
          <w:trHeight w:val="291"/>
        </w:trPr>
        <w:tc>
          <w:tcPr>
            <w:tcW w:w="2170" w:type="dxa"/>
          </w:tcPr>
          <w:p w14:paraId="27C917BE" w14:textId="77777777" w:rsidR="00E74B8D" w:rsidRPr="006F3C3B" w:rsidRDefault="00E74B8D" w:rsidP="00E74B8D">
            <w:pPr>
              <w:spacing w:after="120"/>
              <w:rPr>
                <w:rFonts w:ascii="Arial" w:hAnsi="Arial" w:cs="Arial"/>
                <w:b/>
                <w:sz w:val="20"/>
                <w:szCs w:val="20"/>
              </w:rPr>
            </w:pPr>
            <w:r w:rsidRPr="006F3C3B">
              <w:rPr>
                <w:rFonts w:ascii="Arial" w:hAnsi="Arial" w:cs="Arial"/>
                <w:b/>
                <w:sz w:val="20"/>
                <w:szCs w:val="20"/>
              </w:rPr>
              <w:t>Private Study</w:t>
            </w:r>
          </w:p>
        </w:tc>
        <w:tc>
          <w:tcPr>
            <w:tcW w:w="710" w:type="dxa"/>
          </w:tcPr>
          <w:p w14:paraId="68A09908"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741BACE8"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4C53AC9"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7D6D309E"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0EF2A69" w14:textId="4C12A875" w:rsidR="00E74B8D" w:rsidRDefault="00E74B8D" w:rsidP="00E74B8D">
            <w:pPr>
              <w:spacing w:after="120"/>
              <w:rPr>
                <w:rFonts w:ascii="Arial" w:hAnsi="Arial" w:cs="Arial"/>
                <w:b/>
                <w:sz w:val="20"/>
                <w:szCs w:val="20"/>
              </w:rPr>
            </w:pPr>
            <w:r w:rsidRPr="000536E1">
              <w:rPr>
                <w:rFonts w:ascii="Arial" w:hAnsi="Arial" w:cs="Arial"/>
                <w:b/>
                <w:sz w:val="20"/>
                <w:szCs w:val="20"/>
              </w:rPr>
              <w:t>x</w:t>
            </w:r>
          </w:p>
        </w:tc>
        <w:tc>
          <w:tcPr>
            <w:tcW w:w="710" w:type="dxa"/>
          </w:tcPr>
          <w:p w14:paraId="6700F54D" w14:textId="02D561A8" w:rsidR="00E74B8D" w:rsidRDefault="00E74B8D" w:rsidP="00E74B8D">
            <w:pPr>
              <w:spacing w:after="120"/>
              <w:rPr>
                <w:rFonts w:ascii="Arial" w:hAnsi="Arial" w:cs="Arial"/>
                <w:b/>
                <w:sz w:val="20"/>
                <w:szCs w:val="20"/>
              </w:rPr>
            </w:pPr>
            <w:r w:rsidRPr="000536E1">
              <w:rPr>
                <w:rFonts w:ascii="Arial" w:hAnsi="Arial" w:cs="Arial"/>
                <w:b/>
                <w:sz w:val="20"/>
                <w:szCs w:val="20"/>
              </w:rPr>
              <w:t>x</w:t>
            </w:r>
          </w:p>
        </w:tc>
        <w:tc>
          <w:tcPr>
            <w:tcW w:w="710" w:type="dxa"/>
          </w:tcPr>
          <w:p w14:paraId="7DA51FDB" w14:textId="4F1012A4" w:rsidR="00E74B8D" w:rsidRDefault="00E74B8D" w:rsidP="00E74B8D">
            <w:pPr>
              <w:spacing w:after="120"/>
              <w:rPr>
                <w:rFonts w:ascii="Arial" w:hAnsi="Arial" w:cs="Arial"/>
                <w:b/>
                <w:sz w:val="20"/>
                <w:szCs w:val="20"/>
              </w:rPr>
            </w:pPr>
            <w:r w:rsidRPr="000536E1">
              <w:rPr>
                <w:rFonts w:ascii="Arial" w:hAnsi="Arial" w:cs="Arial"/>
                <w:b/>
                <w:sz w:val="20"/>
                <w:szCs w:val="20"/>
              </w:rPr>
              <w:t>x</w:t>
            </w:r>
          </w:p>
        </w:tc>
        <w:tc>
          <w:tcPr>
            <w:tcW w:w="710" w:type="dxa"/>
          </w:tcPr>
          <w:p w14:paraId="48257D34" w14:textId="36A808A7" w:rsidR="00E74B8D" w:rsidRDefault="00E74B8D" w:rsidP="00E74B8D">
            <w:pPr>
              <w:spacing w:after="120"/>
              <w:rPr>
                <w:rFonts w:ascii="Arial" w:hAnsi="Arial" w:cs="Arial"/>
                <w:b/>
                <w:sz w:val="20"/>
                <w:szCs w:val="20"/>
              </w:rPr>
            </w:pPr>
            <w:r w:rsidRPr="000536E1">
              <w:rPr>
                <w:rFonts w:ascii="Arial" w:hAnsi="Arial" w:cs="Arial"/>
                <w:b/>
                <w:sz w:val="20"/>
                <w:szCs w:val="20"/>
              </w:rPr>
              <w:t>x</w:t>
            </w:r>
          </w:p>
        </w:tc>
        <w:tc>
          <w:tcPr>
            <w:tcW w:w="710" w:type="dxa"/>
          </w:tcPr>
          <w:p w14:paraId="523AF8A7" w14:textId="3E68738B"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B61F7D5"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86D8610"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5CBCEBED" w14:textId="77777777" w:rsidR="00E74B8D" w:rsidRDefault="00E74B8D" w:rsidP="00E74B8D">
            <w:pPr>
              <w:spacing w:after="120"/>
              <w:rPr>
                <w:rFonts w:ascii="Arial" w:hAnsi="Arial" w:cs="Arial"/>
                <w:b/>
                <w:sz w:val="20"/>
                <w:szCs w:val="20"/>
              </w:rPr>
            </w:pPr>
            <w:r>
              <w:rPr>
                <w:rFonts w:ascii="Arial" w:hAnsi="Arial" w:cs="Arial"/>
                <w:b/>
                <w:sz w:val="20"/>
                <w:szCs w:val="20"/>
              </w:rPr>
              <w:t>x</w:t>
            </w:r>
          </w:p>
        </w:tc>
      </w:tr>
      <w:tr w:rsidR="00E74B8D" w:rsidRPr="00302082" w14:paraId="4AA9CD2E" w14:textId="77777777" w:rsidTr="00E74B8D">
        <w:trPr>
          <w:trHeight w:val="291"/>
        </w:trPr>
        <w:tc>
          <w:tcPr>
            <w:tcW w:w="2170" w:type="dxa"/>
          </w:tcPr>
          <w:p w14:paraId="4BE4EC82" w14:textId="77777777" w:rsidR="00E74B8D" w:rsidRPr="002049BE" w:rsidRDefault="00E74B8D" w:rsidP="00E74B8D">
            <w:pPr>
              <w:spacing w:after="120"/>
              <w:rPr>
                <w:rFonts w:ascii="Arial" w:hAnsi="Arial" w:cs="Arial"/>
                <w:sz w:val="20"/>
                <w:szCs w:val="20"/>
              </w:rPr>
            </w:pPr>
            <w:r w:rsidRPr="002049BE">
              <w:rPr>
                <w:rFonts w:ascii="Arial" w:hAnsi="Arial" w:cs="Arial"/>
                <w:sz w:val="20"/>
                <w:szCs w:val="20"/>
              </w:rPr>
              <w:t>Teaching</w:t>
            </w:r>
          </w:p>
        </w:tc>
        <w:tc>
          <w:tcPr>
            <w:tcW w:w="710" w:type="dxa"/>
          </w:tcPr>
          <w:p w14:paraId="28522333"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721D2B8C"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41C99C3"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843AA14"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16E08BBF" w14:textId="77777777" w:rsidR="00E74B8D" w:rsidRPr="006F3C3B" w:rsidRDefault="00E74B8D" w:rsidP="00E74B8D">
            <w:pPr>
              <w:spacing w:after="120"/>
              <w:rPr>
                <w:rFonts w:ascii="Arial" w:hAnsi="Arial" w:cs="Arial"/>
                <w:b/>
                <w:sz w:val="20"/>
                <w:szCs w:val="20"/>
              </w:rPr>
            </w:pPr>
          </w:p>
        </w:tc>
        <w:tc>
          <w:tcPr>
            <w:tcW w:w="710" w:type="dxa"/>
          </w:tcPr>
          <w:p w14:paraId="7360B9F4" w14:textId="77777777" w:rsidR="00E74B8D" w:rsidRPr="006F3C3B" w:rsidRDefault="00E74B8D" w:rsidP="00E74B8D">
            <w:pPr>
              <w:spacing w:after="120"/>
              <w:rPr>
                <w:rFonts w:ascii="Arial" w:hAnsi="Arial" w:cs="Arial"/>
                <w:b/>
                <w:sz w:val="20"/>
                <w:szCs w:val="20"/>
              </w:rPr>
            </w:pPr>
          </w:p>
        </w:tc>
        <w:tc>
          <w:tcPr>
            <w:tcW w:w="710" w:type="dxa"/>
          </w:tcPr>
          <w:p w14:paraId="74D96B8D" w14:textId="77777777" w:rsidR="00E74B8D" w:rsidRPr="006F3C3B" w:rsidRDefault="00E74B8D" w:rsidP="00E74B8D">
            <w:pPr>
              <w:spacing w:after="120"/>
              <w:rPr>
                <w:rFonts w:ascii="Arial" w:hAnsi="Arial" w:cs="Arial"/>
                <w:b/>
                <w:sz w:val="20"/>
                <w:szCs w:val="20"/>
              </w:rPr>
            </w:pPr>
          </w:p>
        </w:tc>
        <w:tc>
          <w:tcPr>
            <w:tcW w:w="710" w:type="dxa"/>
          </w:tcPr>
          <w:p w14:paraId="16E999EB" w14:textId="4845A438"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F5DE6FE" w14:textId="61410855" w:rsidR="00E74B8D" w:rsidRPr="006F3C3B" w:rsidRDefault="00E74B8D" w:rsidP="00E74B8D">
            <w:pPr>
              <w:spacing w:after="120"/>
              <w:rPr>
                <w:rFonts w:ascii="Arial" w:hAnsi="Arial" w:cs="Arial"/>
                <w:b/>
                <w:sz w:val="20"/>
                <w:szCs w:val="20"/>
              </w:rPr>
            </w:pPr>
          </w:p>
        </w:tc>
        <w:tc>
          <w:tcPr>
            <w:tcW w:w="710" w:type="dxa"/>
          </w:tcPr>
          <w:p w14:paraId="1073787E" w14:textId="77777777" w:rsidR="00E74B8D" w:rsidRPr="006F3C3B" w:rsidRDefault="00E74B8D" w:rsidP="00E74B8D">
            <w:pPr>
              <w:spacing w:after="120"/>
              <w:rPr>
                <w:rFonts w:ascii="Arial" w:hAnsi="Arial" w:cs="Arial"/>
                <w:b/>
                <w:sz w:val="20"/>
                <w:szCs w:val="20"/>
              </w:rPr>
            </w:pPr>
          </w:p>
        </w:tc>
        <w:tc>
          <w:tcPr>
            <w:tcW w:w="710" w:type="dxa"/>
          </w:tcPr>
          <w:p w14:paraId="38E22190"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562E5618"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r>
      <w:tr w:rsidR="00E74B8D" w:rsidRPr="00302082" w14:paraId="2219B24B" w14:textId="77777777" w:rsidTr="00E74B8D">
        <w:trPr>
          <w:trHeight w:val="494"/>
        </w:trPr>
        <w:tc>
          <w:tcPr>
            <w:tcW w:w="2170" w:type="dxa"/>
          </w:tcPr>
          <w:p w14:paraId="6F313E37" w14:textId="77777777" w:rsidR="00E74B8D" w:rsidRPr="002049BE" w:rsidRDefault="00E74B8D" w:rsidP="00E74B8D">
            <w:pPr>
              <w:spacing w:after="120"/>
              <w:rPr>
                <w:rFonts w:ascii="Arial" w:hAnsi="Arial" w:cs="Arial"/>
                <w:sz w:val="20"/>
                <w:szCs w:val="20"/>
              </w:rPr>
            </w:pPr>
            <w:r w:rsidRPr="002049BE">
              <w:rPr>
                <w:rFonts w:ascii="Arial" w:hAnsi="Arial" w:cs="Arial"/>
                <w:sz w:val="20"/>
                <w:szCs w:val="20"/>
              </w:rPr>
              <w:t>Work based experience</w:t>
            </w:r>
          </w:p>
        </w:tc>
        <w:tc>
          <w:tcPr>
            <w:tcW w:w="710" w:type="dxa"/>
          </w:tcPr>
          <w:p w14:paraId="4F2CC262" w14:textId="77777777" w:rsidR="00E74B8D" w:rsidRPr="006F3C3B" w:rsidRDefault="00E74B8D" w:rsidP="00E74B8D">
            <w:pPr>
              <w:spacing w:after="120"/>
              <w:rPr>
                <w:rFonts w:ascii="Arial" w:hAnsi="Arial" w:cs="Arial"/>
                <w:b/>
                <w:sz w:val="20"/>
                <w:szCs w:val="20"/>
              </w:rPr>
            </w:pPr>
          </w:p>
        </w:tc>
        <w:tc>
          <w:tcPr>
            <w:tcW w:w="710" w:type="dxa"/>
          </w:tcPr>
          <w:p w14:paraId="032A13EE" w14:textId="77777777" w:rsidR="00E74B8D" w:rsidRPr="006F3C3B" w:rsidRDefault="00E74B8D" w:rsidP="00E74B8D">
            <w:pPr>
              <w:spacing w:after="120"/>
              <w:rPr>
                <w:rFonts w:ascii="Arial" w:hAnsi="Arial" w:cs="Arial"/>
                <w:b/>
                <w:sz w:val="20"/>
                <w:szCs w:val="20"/>
              </w:rPr>
            </w:pPr>
          </w:p>
        </w:tc>
        <w:tc>
          <w:tcPr>
            <w:tcW w:w="710" w:type="dxa"/>
          </w:tcPr>
          <w:p w14:paraId="004B3B46" w14:textId="77777777" w:rsidR="00E74B8D" w:rsidRPr="006F3C3B" w:rsidRDefault="00E74B8D" w:rsidP="00E74B8D">
            <w:pPr>
              <w:spacing w:after="120"/>
              <w:rPr>
                <w:rFonts w:ascii="Arial" w:hAnsi="Arial" w:cs="Arial"/>
                <w:b/>
                <w:sz w:val="20"/>
                <w:szCs w:val="20"/>
              </w:rPr>
            </w:pPr>
          </w:p>
        </w:tc>
        <w:tc>
          <w:tcPr>
            <w:tcW w:w="710" w:type="dxa"/>
          </w:tcPr>
          <w:p w14:paraId="612DAD8B" w14:textId="77777777" w:rsidR="00E74B8D" w:rsidRPr="006F3C3B" w:rsidRDefault="00E74B8D" w:rsidP="00E74B8D">
            <w:pPr>
              <w:spacing w:after="120"/>
              <w:rPr>
                <w:rFonts w:ascii="Arial" w:hAnsi="Arial" w:cs="Arial"/>
                <w:b/>
                <w:sz w:val="20"/>
                <w:szCs w:val="20"/>
              </w:rPr>
            </w:pPr>
          </w:p>
        </w:tc>
        <w:tc>
          <w:tcPr>
            <w:tcW w:w="710" w:type="dxa"/>
          </w:tcPr>
          <w:p w14:paraId="3067986A" w14:textId="3844A1E8"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5C15183C" w14:textId="279DAA6D"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20733808" w14:textId="3468C4AB"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6D709A7" w14:textId="77777777" w:rsidR="00E74B8D" w:rsidRPr="006F3C3B" w:rsidRDefault="00E74B8D" w:rsidP="00E74B8D">
            <w:pPr>
              <w:spacing w:after="120"/>
              <w:rPr>
                <w:rFonts w:ascii="Arial" w:hAnsi="Arial" w:cs="Arial"/>
                <w:b/>
                <w:sz w:val="20"/>
                <w:szCs w:val="20"/>
              </w:rPr>
            </w:pPr>
          </w:p>
        </w:tc>
        <w:tc>
          <w:tcPr>
            <w:tcW w:w="710" w:type="dxa"/>
          </w:tcPr>
          <w:p w14:paraId="114EEBCF" w14:textId="1AC29B93" w:rsidR="00E74B8D" w:rsidRPr="006F3C3B" w:rsidRDefault="00E74B8D" w:rsidP="00E74B8D">
            <w:pPr>
              <w:spacing w:after="120"/>
              <w:rPr>
                <w:rFonts w:ascii="Arial" w:hAnsi="Arial" w:cs="Arial"/>
                <w:b/>
                <w:sz w:val="20"/>
                <w:szCs w:val="20"/>
              </w:rPr>
            </w:pPr>
          </w:p>
        </w:tc>
        <w:tc>
          <w:tcPr>
            <w:tcW w:w="710" w:type="dxa"/>
          </w:tcPr>
          <w:p w14:paraId="1BB91AC0" w14:textId="77777777" w:rsidR="00E74B8D" w:rsidRPr="006F3C3B" w:rsidRDefault="00E74B8D" w:rsidP="00E74B8D">
            <w:pPr>
              <w:spacing w:after="120"/>
              <w:rPr>
                <w:rFonts w:ascii="Arial" w:hAnsi="Arial" w:cs="Arial"/>
                <w:b/>
                <w:sz w:val="20"/>
                <w:szCs w:val="20"/>
              </w:rPr>
            </w:pPr>
          </w:p>
        </w:tc>
        <w:tc>
          <w:tcPr>
            <w:tcW w:w="710" w:type="dxa"/>
          </w:tcPr>
          <w:p w14:paraId="2743F438" w14:textId="77777777" w:rsidR="00E74B8D" w:rsidRPr="006F3C3B" w:rsidRDefault="00E74B8D" w:rsidP="00E74B8D">
            <w:pPr>
              <w:spacing w:after="120"/>
              <w:rPr>
                <w:rFonts w:ascii="Arial" w:hAnsi="Arial" w:cs="Arial"/>
                <w:b/>
                <w:sz w:val="20"/>
                <w:szCs w:val="20"/>
              </w:rPr>
            </w:pPr>
          </w:p>
        </w:tc>
        <w:tc>
          <w:tcPr>
            <w:tcW w:w="710" w:type="dxa"/>
          </w:tcPr>
          <w:p w14:paraId="74FCD238" w14:textId="77777777" w:rsidR="00E74B8D" w:rsidRPr="006F3C3B" w:rsidRDefault="00E74B8D" w:rsidP="00E74B8D">
            <w:pPr>
              <w:spacing w:after="120"/>
              <w:rPr>
                <w:rFonts w:ascii="Arial" w:hAnsi="Arial" w:cs="Arial"/>
                <w:b/>
                <w:sz w:val="20"/>
                <w:szCs w:val="20"/>
              </w:rPr>
            </w:pPr>
          </w:p>
        </w:tc>
      </w:tr>
      <w:tr w:rsidR="00E74B8D" w:rsidRPr="00302082" w14:paraId="2D5ABCA9" w14:textId="77777777" w:rsidTr="00E74B8D">
        <w:trPr>
          <w:trHeight w:val="482"/>
        </w:trPr>
        <w:tc>
          <w:tcPr>
            <w:tcW w:w="2170" w:type="dxa"/>
            <w:shd w:val="clear" w:color="auto" w:fill="D9D9D9" w:themeFill="background1" w:themeFillShade="D9"/>
          </w:tcPr>
          <w:p w14:paraId="4ED9BC24" w14:textId="77777777" w:rsidR="00E74B8D" w:rsidRPr="006F3C3B" w:rsidRDefault="00E74B8D" w:rsidP="00E74B8D">
            <w:pPr>
              <w:spacing w:after="120"/>
              <w:rPr>
                <w:rFonts w:ascii="Arial" w:hAnsi="Arial" w:cs="Arial"/>
                <w:b/>
                <w:sz w:val="20"/>
                <w:szCs w:val="20"/>
              </w:rPr>
            </w:pPr>
            <w:r w:rsidRPr="006F3C3B">
              <w:rPr>
                <w:rFonts w:ascii="Arial" w:hAnsi="Arial" w:cs="Arial"/>
                <w:b/>
                <w:sz w:val="20"/>
                <w:szCs w:val="20"/>
              </w:rPr>
              <w:t>Assessment method</w:t>
            </w:r>
          </w:p>
        </w:tc>
        <w:tc>
          <w:tcPr>
            <w:tcW w:w="710" w:type="dxa"/>
          </w:tcPr>
          <w:p w14:paraId="12138334" w14:textId="77777777" w:rsidR="00E74B8D" w:rsidRPr="006F3C3B" w:rsidRDefault="00E74B8D" w:rsidP="00E74B8D">
            <w:pPr>
              <w:spacing w:after="120"/>
              <w:rPr>
                <w:rFonts w:ascii="Arial" w:hAnsi="Arial" w:cs="Arial"/>
                <w:b/>
                <w:sz w:val="20"/>
                <w:szCs w:val="20"/>
              </w:rPr>
            </w:pPr>
          </w:p>
        </w:tc>
        <w:tc>
          <w:tcPr>
            <w:tcW w:w="710" w:type="dxa"/>
          </w:tcPr>
          <w:p w14:paraId="119D185E" w14:textId="77777777" w:rsidR="00E74B8D" w:rsidRPr="006F3C3B" w:rsidRDefault="00E74B8D" w:rsidP="00E74B8D">
            <w:pPr>
              <w:spacing w:after="120"/>
              <w:rPr>
                <w:rFonts w:ascii="Arial" w:hAnsi="Arial" w:cs="Arial"/>
                <w:b/>
                <w:sz w:val="20"/>
                <w:szCs w:val="20"/>
              </w:rPr>
            </w:pPr>
          </w:p>
        </w:tc>
        <w:tc>
          <w:tcPr>
            <w:tcW w:w="710" w:type="dxa"/>
          </w:tcPr>
          <w:p w14:paraId="52BC83A5" w14:textId="77777777" w:rsidR="00E74B8D" w:rsidRPr="006F3C3B" w:rsidRDefault="00E74B8D" w:rsidP="00E74B8D">
            <w:pPr>
              <w:spacing w:after="120"/>
              <w:rPr>
                <w:rFonts w:ascii="Arial" w:hAnsi="Arial" w:cs="Arial"/>
                <w:b/>
                <w:sz w:val="20"/>
                <w:szCs w:val="20"/>
              </w:rPr>
            </w:pPr>
          </w:p>
        </w:tc>
        <w:tc>
          <w:tcPr>
            <w:tcW w:w="710" w:type="dxa"/>
          </w:tcPr>
          <w:p w14:paraId="2513454F" w14:textId="77777777" w:rsidR="00E74B8D" w:rsidRPr="006F3C3B" w:rsidRDefault="00E74B8D" w:rsidP="00E74B8D">
            <w:pPr>
              <w:spacing w:after="120"/>
              <w:rPr>
                <w:rFonts w:ascii="Arial" w:hAnsi="Arial" w:cs="Arial"/>
                <w:b/>
                <w:sz w:val="20"/>
                <w:szCs w:val="20"/>
              </w:rPr>
            </w:pPr>
          </w:p>
        </w:tc>
        <w:tc>
          <w:tcPr>
            <w:tcW w:w="710" w:type="dxa"/>
          </w:tcPr>
          <w:p w14:paraId="6F569E8B" w14:textId="77777777" w:rsidR="00E74B8D" w:rsidRPr="006F3C3B" w:rsidRDefault="00E74B8D" w:rsidP="00E74B8D">
            <w:pPr>
              <w:spacing w:after="120"/>
              <w:rPr>
                <w:rFonts w:ascii="Arial" w:hAnsi="Arial" w:cs="Arial"/>
                <w:b/>
                <w:sz w:val="20"/>
                <w:szCs w:val="20"/>
              </w:rPr>
            </w:pPr>
          </w:p>
        </w:tc>
        <w:tc>
          <w:tcPr>
            <w:tcW w:w="710" w:type="dxa"/>
          </w:tcPr>
          <w:p w14:paraId="78F27E9D" w14:textId="77777777" w:rsidR="00E74B8D" w:rsidRPr="006F3C3B" w:rsidRDefault="00E74B8D" w:rsidP="00E74B8D">
            <w:pPr>
              <w:spacing w:after="120"/>
              <w:rPr>
                <w:rFonts w:ascii="Arial" w:hAnsi="Arial" w:cs="Arial"/>
                <w:b/>
                <w:sz w:val="20"/>
                <w:szCs w:val="20"/>
              </w:rPr>
            </w:pPr>
          </w:p>
        </w:tc>
        <w:tc>
          <w:tcPr>
            <w:tcW w:w="710" w:type="dxa"/>
          </w:tcPr>
          <w:p w14:paraId="555F81A3" w14:textId="77777777" w:rsidR="00E74B8D" w:rsidRPr="006F3C3B" w:rsidRDefault="00E74B8D" w:rsidP="00E74B8D">
            <w:pPr>
              <w:spacing w:after="120"/>
              <w:rPr>
                <w:rFonts w:ascii="Arial" w:hAnsi="Arial" w:cs="Arial"/>
                <w:b/>
                <w:sz w:val="20"/>
                <w:szCs w:val="20"/>
              </w:rPr>
            </w:pPr>
          </w:p>
        </w:tc>
        <w:tc>
          <w:tcPr>
            <w:tcW w:w="710" w:type="dxa"/>
          </w:tcPr>
          <w:p w14:paraId="20022DDD" w14:textId="77777777" w:rsidR="00E74B8D" w:rsidRPr="006F3C3B" w:rsidRDefault="00E74B8D" w:rsidP="00E74B8D">
            <w:pPr>
              <w:spacing w:after="120"/>
              <w:rPr>
                <w:rFonts w:ascii="Arial" w:hAnsi="Arial" w:cs="Arial"/>
                <w:b/>
                <w:sz w:val="20"/>
                <w:szCs w:val="20"/>
              </w:rPr>
            </w:pPr>
          </w:p>
        </w:tc>
        <w:tc>
          <w:tcPr>
            <w:tcW w:w="710" w:type="dxa"/>
          </w:tcPr>
          <w:p w14:paraId="690D3933" w14:textId="729A2ECC" w:rsidR="00E74B8D" w:rsidRPr="006F3C3B" w:rsidRDefault="00E74B8D" w:rsidP="00E74B8D">
            <w:pPr>
              <w:spacing w:after="120"/>
              <w:rPr>
                <w:rFonts w:ascii="Arial" w:hAnsi="Arial" w:cs="Arial"/>
                <w:b/>
                <w:sz w:val="20"/>
                <w:szCs w:val="20"/>
              </w:rPr>
            </w:pPr>
          </w:p>
        </w:tc>
        <w:tc>
          <w:tcPr>
            <w:tcW w:w="710" w:type="dxa"/>
          </w:tcPr>
          <w:p w14:paraId="3B58395C" w14:textId="77777777" w:rsidR="00E74B8D" w:rsidRPr="006F3C3B" w:rsidRDefault="00E74B8D" w:rsidP="00E74B8D">
            <w:pPr>
              <w:spacing w:after="120"/>
              <w:rPr>
                <w:rFonts w:ascii="Arial" w:hAnsi="Arial" w:cs="Arial"/>
                <w:b/>
                <w:sz w:val="20"/>
                <w:szCs w:val="20"/>
              </w:rPr>
            </w:pPr>
          </w:p>
        </w:tc>
        <w:tc>
          <w:tcPr>
            <w:tcW w:w="710" w:type="dxa"/>
          </w:tcPr>
          <w:p w14:paraId="429D6479" w14:textId="77777777" w:rsidR="00E74B8D" w:rsidRPr="006F3C3B" w:rsidRDefault="00E74B8D" w:rsidP="00E74B8D">
            <w:pPr>
              <w:spacing w:after="120"/>
              <w:rPr>
                <w:rFonts w:ascii="Arial" w:hAnsi="Arial" w:cs="Arial"/>
                <w:b/>
                <w:sz w:val="20"/>
                <w:szCs w:val="20"/>
              </w:rPr>
            </w:pPr>
          </w:p>
        </w:tc>
        <w:tc>
          <w:tcPr>
            <w:tcW w:w="710" w:type="dxa"/>
          </w:tcPr>
          <w:p w14:paraId="2B245EEF" w14:textId="77777777" w:rsidR="00E74B8D" w:rsidRPr="006F3C3B" w:rsidRDefault="00E74B8D" w:rsidP="00E74B8D">
            <w:pPr>
              <w:spacing w:after="120"/>
              <w:rPr>
                <w:rFonts w:ascii="Arial" w:hAnsi="Arial" w:cs="Arial"/>
                <w:b/>
                <w:sz w:val="20"/>
                <w:szCs w:val="20"/>
              </w:rPr>
            </w:pPr>
          </w:p>
        </w:tc>
      </w:tr>
      <w:tr w:rsidR="00E74B8D" w:rsidRPr="00302082" w14:paraId="2F993335" w14:textId="77777777" w:rsidTr="00E74B8D">
        <w:trPr>
          <w:trHeight w:val="787"/>
        </w:trPr>
        <w:tc>
          <w:tcPr>
            <w:tcW w:w="2170" w:type="dxa"/>
          </w:tcPr>
          <w:p w14:paraId="0D045DF7" w14:textId="77777777" w:rsidR="00E74B8D" w:rsidRDefault="00E74B8D" w:rsidP="00E74B8D">
            <w:pPr>
              <w:spacing w:after="120"/>
              <w:rPr>
                <w:rFonts w:ascii="Arial" w:hAnsi="Arial" w:cs="Arial"/>
                <w:i/>
                <w:sz w:val="20"/>
                <w:szCs w:val="20"/>
              </w:rPr>
            </w:pPr>
            <w:r>
              <w:rPr>
                <w:rFonts w:ascii="Arial" w:hAnsi="Arial" w:cs="Arial"/>
                <w:i/>
                <w:sz w:val="20"/>
                <w:szCs w:val="20"/>
              </w:rPr>
              <w:t xml:space="preserve">Written Assignment </w:t>
            </w:r>
          </w:p>
          <w:p w14:paraId="7B95738A" w14:textId="3EC94E53" w:rsidR="00E74B8D" w:rsidRPr="006F3C3B" w:rsidRDefault="00E74B8D" w:rsidP="00E74B8D">
            <w:pPr>
              <w:spacing w:after="120"/>
              <w:rPr>
                <w:rFonts w:ascii="Arial" w:hAnsi="Arial" w:cs="Arial"/>
                <w:i/>
                <w:sz w:val="20"/>
                <w:szCs w:val="20"/>
              </w:rPr>
            </w:pPr>
          </w:p>
        </w:tc>
        <w:tc>
          <w:tcPr>
            <w:tcW w:w="710" w:type="dxa"/>
          </w:tcPr>
          <w:p w14:paraId="2F7E78C8"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21EC700B"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0693123E"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532F897F" w14:textId="77777777" w:rsidR="00E74B8D" w:rsidRPr="006F3C3B" w:rsidRDefault="00E74B8D" w:rsidP="00E74B8D">
            <w:pPr>
              <w:spacing w:after="120"/>
              <w:rPr>
                <w:rFonts w:ascii="Arial" w:hAnsi="Arial" w:cs="Arial"/>
                <w:b/>
                <w:sz w:val="20"/>
                <w:szCs w:val="20"/>
              </w:rPr>
            </w:pPr>
          </w:p>
        </w:tc>
        <w:tc>
          <w:tcPr>
            <w:tcW w:w="710" w:type="dxa"/>
          </w:tcPr>
          <w:p w14:paraId="61BAB715" w14:textId="458D47CE" w:rsidR="00E74B8D"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2B61025" w14:textId="77777777" w:rsidR="00E74B8D" w:rsidRDefault="00E74B8D" w:rsidP="00E74B8D">
            <w:pPr>
              <w:spacing w:after="120"/>
              <w:rPr>
                <w:rFonts w:ascii="Arial" w:hAnsi="Arial" w:cs="Arial"/>
                <w:b/>
                <w:sz w:val="20"/>
                <w:szCs w:val="20"/>
              </w:rPr>
            </w:pPr>
          </w:p>
        </w:tc>
        <w:tc>
          <w:tcPr>
            <w:tcW w:w="710" w:type="dxa"/>
          </w:tcPr>
          <w:p w14:paraId="4D900E64" w14:textId="77777777" w:rsidR="00E74B8D" w:rsidRDefault="00E74B8D" w:rsidP="00E74B8D">
            <w:pPr>
              <w:spacing w:after="120"/>
              <w:rPr>
                <w:rFonts w:ascii="Arial" w:hAnsi="Arial" w:cs="Arial"/>
                <w:b/>
                <w:sz w:val="20"/>
                <w:szCs w:val="20"/>
              </w:rPr>
            </w:pPr>
          </w:p>
        </w:tc>
        <w:tc>
          <w:tcPr>
            <w:tcW w:w="710" w:type="dxa"/>
          </w:tcPr>
          <w:p w14:paraId="1BA02007" w14:textId="77777777" w:rsidR="00E74B8D" w:rsidRDefault="00E74B8D" w:rsidP="00E74B8D">
            <w:pPr>
              <w:spacing w:after="120"/>
              <w:rPr>
                <w:rFonts w:ascii="Arial" w:hAnsi="Arial" w:cs="Arial"/>
                <w:b/>
                <w:sz w:val="20"/>
                <w:szCs w:val="20"/>
              </w:rPr>
            </w:pPr>
          </w:p>
        </w:tc>
        <w:tc>
          <w:tcPr>
            <w:tcW w:w="710" w:type="dxa"/>
          </w:tcPr>
          <w:p w14:paraId="530E9AB0" w14:textId="0EA6448A"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725127A7"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2E6B2A14" w14:textId="77777777" w:rsidR="00E74B8D" w:rsidRPr="006F3C3B"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03A1735" w14:textId="77777777" w:rsidR="00E74B8D" w:rsidRDefault="00E74B8D" w:rsidP="00E74B8D">
            <w:pPr>
              <w:spacing w:after="120"/>
              <w:rPr>
                <w:rFonts w:ascii="Arial" w:hAnsi="Arial" w:cs="Arial"/>
                <w:b/>
                <w:sz w:val="20"/>
                <w:szCs w:val="20"/>
              </w:rPr>
            </w:pPr>
            <w:r>
              <w:rPr>
                <w:rFonts w:ascii="Arial" w:hAnsi="Arial" w:cs="Arial"/>
                <w:b/>
                <w:sz w:val="20"/>
                <w:szCs w:val="20"/>
              </w:rPr>
              <w:t>x</w:t>
            </w:r>
          </w:p>
        </w:tc>
      </w:tr>
      <w:tr w:rsidR="00E74B8D" w:rsidRPr="00302082" w14:paraId="14C539A8" w14:textId="77777777" w:rsidTr="00E74B8D">
        <w:trPr>
          <w:trHeight w:val="673"/>
        </w:trPr>
        <w:tc>
          <w:tcPr>
            <w:tcW w:w="2170" w:type="dxa"/>
          </w:tcPr>
          <w:p w14:paraId="234E41C3" w14:textId="6094E8AF" w:rsidR="00E74B8D" w:rsidRDefault="00517B0D" w:rsidP="00E74B8D">
            <w:pPr>
              <w:spacing w:after="120"/>
              <w:rPr>
                <w:rFonts w:ascii="Arial" w:hAnsi="Arial" w:cs="Arial"/>
                <w:i/>
                <w:sz w:val="20"/>
                <w:szCs w:val="20"/>
              </w:rPr>
            </w:pPr>
            <w:r>
              <w:rPr>
                <w:rFonts w:ascii="Arial" w:hAnsi="Arial" w:cs="Arial"/>
                <w:i/>
                <w:sz w:val="20"/>
                <w:szCs w:val="20"/>
              </w:rPr>
              <w:t>P</w:t>
            </w:r>
            <w:r w:rsidR="00E74B8D">
              <w:rPr>
                <w:rFonts w:ascii="Arial" w:hAnsi="Arial" w:cs="Arial"/>
                <w:i/>
                <w:sz w:val="20"/>
                <w:szCs w:val="20"/>
              </w:rPr>
              <w:t xml:space="preserve">resentation </w:t>
            </w:r>
          </w:p>
          <w:p w14:paraId="0C3D9096" w14:textId="09E55A63" w:rsidR="00E74B8D" w:rsidRDefault="00E74B8D" w:rsidP="00E74B8D">
            <w:pPr>
              <w:spacing w:after="120"/>
              <w:rPr>
                <w:rFonts w:ascii="Arial" w:hAnsi="Arial" w:cs="Arial"/>
                <w:i/>
                <w:sz w:val="20"/>
                <w:szCs w:val="20"/>
              </w:rPr>
            </w:pPr>
          </w:p>
        </w:tc>
        <w:tc>
          <w:tcPr>
            <w:tcW w:w="710" w:type="dxa"/>
          </w:tcPr>
          <w:p w14:paraId="30E08D8E" w14:textId="77777777" w:rsidR="00E74B8D" w:rsidRDefault="00E74B8D" w:rsidP="00E74B8D">
            <w:pPr>
              <w:spacing w:after="120"/>
              <w:rPr>
                <w:rFonts w:ascii="Arial" w:hAnsi="Arial" w:cs="Arial"/>
                <w:b/>
                <w:sz w:val="20"/>
                <w:szCs w:val="20"/>
              </w:rPr>
            </w:pPr>
          </w:p>
        </w:tc>
        <w:tc>
          <w:tcPr>
            <w:tcW w:w="710" w:type="dxa"/>
          </w:tcPr>
          <w:p w14:paraId="31A349DE" w14:textId="77777777" w:rsidR="00E74B8D" w:rsidRDefault="00E74B8D" w:rsidP="00E74B8D">
            <w:pPr>
              <w:spacing w:after="120"/>
              <w:rPr>
                <w:rFonts w:ascii="Arial" w:hAnsi="Arial" w:cs="Arial"/>
                <w:b/>
                <w:sz w:val="20"/>
                <w:szCs w:val="20"/>
              </w:rPr>
            </w:pPr>
          </w:p>
        </w:tc>
        <w:tc>
          <w:tcPr>
            <w:tcW w:w="710" w:type="dxa"/>
          </w:tcPr>
          <w:p w14:paraId="605595D9" w14:textId="77777777" w:rsidR="00E74B8D" w:rsidRDefault="00E74B8D" w:rsidP="00E74B8D">
            <w:pPr>
              <w:spacing w:after="120"/>
              <w:rPr>
                <w:rFonts w:ascii="Arial" w:hAnsi="Arial" w:cs="Arial"/>
                <w:b/>
                <w:sz w:val="20"/>
                <w:szCs w:val="20"/>
              </w:rPr>
            </w:pPr>
          </w:p>
        </w:tc>
        <w:tc>
          <w:tcPr>
            <w:tcW w:w="710" w:type="dxa"/>
          </w:tcPr>
          <w:p w14:paraId="4E629B9E" w14:textId="77777777" w:rsidR="00E74B8D"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37F8EAEB" w14:textId="77777777" w:rsidR="00E74B8D" w:rsidRDefault="00E74B8D" w:rsidP="00E74B8D">
            <w:pPr>
              <w:spacing w:after="120"/>
              <w:rPr>
                <w:rFonts w:ascii="Arial" w:hAnsi="Arial" w:cs="Arial"/>
                <w:b/>
                <w:sz w:val="20"/>
                <w:szCs w:val="20"/>
              </w:rPr>
            </w:pPr>
          </w:p>
        </w:tc>
        <w:tc>
          <w:tcPr>
            <w:tcW w:w="710" w:type="dxa"/>
          </w:tcPr>
          <w:p w14:paraId="085B67C0" w14:textId="51B29675" w:rsidR="00E74B8D" w:rsidRDefault="00E74B8D" w:rsidP="00E74B8D">
            <w:pPr>
              <w:spacing w:after="120"/>
              <w:rPr>
                <w:rFonts w:ascii="Arial" w:hAnsi="Arial" w:cs="Arial"/>
                <w:b/>
                <w:sz w:val="20"/>
                <w:szCs w:val="20"/>
              </w:rPr>
            </w:pPr>
            <w:r w:rsidRPr="00750EBE">
              <w:rPr>
                <w:rFonts w:ascii="Arial" w:hAnsi="Arial" w:cs="Arial"/>
                <w:b/>
                <w:sz w:val="20"/>
                <w:szCs w:val="20"/>
              </w:rPr>
              <w:t>x</w:t>
            </w:r>
          </w:p>
        </w:tc>
        <w:tc>
          <w:tcPr>
            <w:tcW w:w="710" w:type="dxa"/>
          </w:tcPr>
          <w:p w14:paraId="47510BB5" w14:textId="4B42E9A2" w:rsidR="00E74B8D" w:rsidRDefault="00E74B8D" w:rsidP="00E74B8D">
            <w:pPr>
              <w:spacing w:after="120"/>
              <w:rPr>
                <w:rFonts w:ascii="Arial" w:hAnsi="Arial" w:cs="Arial"/>
                <w:b/>
                <w:sz w:val="20"/>
                <w:szCs w:val="20"/>
              </w:rPr>
            </w:pPr>
            <w:r w:rsidRPr="00750EBE">
              <w:rPr>
                <w:rFonts w:ascii="Arial" w:hAnsi="Arial" w:cs="Arial"/>
                <w:b/>
                <w:sz w:val="20"/>
                <w:szCs w:val="20"/>
              </w:rPr>
              <w:t>x</w:t>
            </w:r>
          </w:p>
        </w:tc>
        <w:tc>
          <w:tcPr>
            <w:tcW w:w="710" w:type="dxa"/>
          </w:tcPr>
          <w:p w14:paraId="42192F29" w14:textId="6109D19A" w:rsidR="00E74B8D" w:rsidRDefault="00E74B8D" w:rsidP="00E74B8D">
            <w:pPr>
              <w:spacing w:after="120"/>
              <w:rPr>
                <w:rFonts w:ascii="Arial" w:hAnsi="Arial" w:cs="Arial"/>
                <w:b/>
                <w:sz w:val="20"/>
                <w:szCs w:val="20"/>
              </w:rPr>
            </w:pPr>
            <w:r w:rsidRPr="00750EBE">
              <w:rPr>
                <w:rFonts w:ascii="Arial" w:hAnsi="Arial" w:cs="Arial"/>
                <w:b/>
                <w:sz w:val="20"/>
                <w:szCs w:val="20"/>
              </w:rPr>
              <w:t>x</w:t>
            </w:r>
          </w:p>
        </w:tc>
        <w:tc>
          <w:tcPr>
            <w:tcW w:w="710" w:type="dxa"/>
          </w:tcPr>
          <w:p w14:paraId="63591023" w14:textId="68F9615E" w:rsidR="00E74B8D"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6ACCF597" w14:textId="77777777" w:rsidR="00E74B8D" w:rsidRDefault="00E74B8D" w:rsidP="00E74B8D">
            <w:pPr>
              <w:spacing w:after="120"/>
              <w:rPr>
                <w:rFonts w:ascii="Arial" w:hAnsi="Arial" w:cs="Arial"/>
                <w:b/>
                <w:sz w:val="20"/>
                <w:szCs w:val="20"/>
              </w:rPr>
            </w:pPr>
            <w:r>
              <w:rPr>
                <w:rFonts w:ascii="Arial" w:hAnsi="Arial" w:cs="Arial"/>
                <w:b/>
                <w:sz w:val="20"/>
                <w:szCs w:val="20"/>
              </w:rPr>
              <w:t>x</w:t>
            </w:r>
          </w:p>
        </w:tc>
        <w:tc>
          <w:tcPr>
            <w:tcW w:w="710" w:type="dxa"/>
          </w:tcPr>
          <w:p w14:paraId="53F68AC1" w14:textId="77777777" w:rsidR="00E74B8D" w:rsidRDefault="00E74B8D" w:rsidP="00E74B8D">
            <w:pPr>
              <w:spacing w:after="120"/>
              <w:rPr>
                <w:rFonts w:ascii="Arial" w:hAnsi="Arial" w:cs="Arial"/>
                <w:b/>
                <w:sz w:val="20"/>
                <w:szCs w:val="20"/>
              </w:rPr>
            </w:pPr>
          </w:p>
        </w:tc>
        <w:tc>
          <w:tcPr>
            <w:tcW w:w="710" w:type="dxa"/>
          </w:tcPr>
          <w:p w14:paraId="3435F358" w14:textId="77777777" w:rsidR="00E74B8D" w:rsidRDefault="00E74B8D" w:rsidP="00E74B8D">
            <w:pPr>
              <w:spacing w:after="120"/>
              <w:rPr>
                <w:rFonts w:ascii="Arial" w:hAnsi="Arial" w:cs="Arial"/>
                <w:b/>
                <w:sz w:val="20"/>
                <w:szCs w:val="20"/>
              </w:rPr>
            </w:pPr>
          </w:p>
        </w:tc>
      </w:tr>
    </w:tbl>
    <w:p w14:paraId="561F1796" w14:textId="77777777" w:rsidR="007D31B5" w:rsidRDefault="007D31B5" w:rsidP="006C143D">
      <w:pPr>
        <w:numPr>
          <w:ilvl w:val="0"/>
          <w:numId w:val="13"/>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30074FB4" w:rsidR="007D31B5" w:rsidRDefault="007D31B5" w:rsidP="007D31B5">
      <w:pPr>
        <w:spacing w:after="120" w:line="240" w:lineRule="auto"/>
        <w:ind w:left="567" w:right="261"/>
        <w:jc w:val="both"/>
        <w:rPr>
          <w:rFonts w:ascii="Arial" w:hAnsi="Arial" w:cs="Arial"/>
          <w:i/>
          <w:iCs/>
        </w:rPr>
      </w:pPr>
    </w:p>
    <w:p w14:paraId="18510994" w14:textId="77777777" w:rsidR="006C143D" w:rsidRPr="00D50113" w:rsidRDefault="006C143D" w:rsidP="006C143D">
      <w:pPr>
        <w:numPr>
          <w:ilvl w:val="0"/>
          <w:numId w:val="13"/>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7E91F0C" w14:textId="03984869" w:rsidR="006C143D" w:rsidRPr="00D50113" w:rsidRDefault="006C143D" w:rsidP="006C143D">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80239F">
        <w:rPr>
          <w:rFonts w:ascii="Arial" w:hAnsi="Arial" w:cs="Arial"/>
        </w:rPr>
        <w:t>Centre</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28F91FF6" w:rsidR="00883204" w:rsidRPr="00D50113" w:rsidRDefault="006C143D" w:rsidP="006C143D">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w:t>
      </w:r>
      <w:r>
        <w:rPr>
          <w:rFonts w:ascii="Arial" w:hAnsi="Arial" w:cs="Arial"/>
        </w:rPr>
        <w:t xml:space="preserve"> </w:t>
      </w:r>
      <w:r w:rsidR="00883204" w:rsidRPr="00D50113">
        <w:rPr>
          <w:rFonts w:ascii="Arial" w:hAnsi="Arial" w:cs="Arial"/>
        </w:rPr>
        <w:t>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626932A5" w:rsidR="009A2D37" w:rsidRDefault="00883204" w:rsidP="006C143D">
      <w:pPr>
        <w:numPr>
          <w:ilvl w:val="0"/>
          <w:numId w:val="13"/>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8C8CE90" w14:textId="50BEFE39" w:rsidR="005E4EE1" w:rsidRPr="005E4EE1" w:rsidRDefault="0080239F" w:rsidP="0080239F">
      <w:pPr>
        <w:spacing w:after="120" w:line="240" w:lineRule="auto"/>
        <w:ind w:right="260"/>
        <w:jc w:val="both"/>
        <w:rPr>
          <w:rFonts w:ascii="Arial" w:hAnsi="Arial" w:cs="Arial"/>
        </w:rPr>
      </w:pPr>
      <w:r>
        <w:rPr>
          <w:rFonts w:ascii="Arial" w:hAnsi="Arial" w:cs="Arial"/>
        </w:rPr>
        <w:t xml:space="preserve">      </w:t>
      </w:r>
      <w:r w:rsidR="005E4EE1" w:rsidRPr="005E4EE1">
        <w:rPr>
          <w:rFonts w:ascii="Arial" w:hAnsi="Arial" w:cs="Arial"/>
        </w:rPr>
        <w:t>Distance</w:t>
      </w:r>
    </w:p>
    <w:p w14:paraId="4A639AFA" w14:textId="7475C0AC" w:rsidR="006F3C3B" w:rsidRDefault="00883204" w:rsidP="006C143D">
      <w:pPr>
        <w:numPr>
          <w:ilvl w:val="0"/>
          <w:numId w:val="13"/>
        </w:numPr>
        <w:spacing w:after="120" w:line="240" w:lineRule="auto"/>
        <w:ind w:right="261"/>
        <w:jc w:val="both"/>
        <w:rPr>
          <w:rFonts w:ascii="Arial" w:hAnsi="Arial" w:cs="Arial"/>
          <w:b/>
        </w:rPr>
      </w:pPr>
      <w:r w:rsidRPr="002A7F48">
        <w:rPr>
          <w:rFonts w:ascii="Arial" w:hAnsi="Arial" w:cs="Arial"/>
          <w:b/>
        </w:rPr>
        <w:t xml:space="preserve">Internationalisation </w:t>
      </w:r>
    </w:p>
    <w:p w14:paraId="646D6C9C" w14:textId="6041678A" w:rsidR="00B61099" w:rsidRDefault="00B61099" w:rsidP="0080239F">
      <w:pPr>
        <w:spacing w:after="120" w:line="240" w:lineRule="auto"/>
        <w:ind w:left="360" w:right="261"/>
        <w:jc w:val="both"/>
        <w:rPr>
          <w:rFonts w:ascii="Arial" w:hAnsi="Arial" w:cs="Arial"/>
        </w:rPr>
      </w:pPr>
      <w:r w:rsidRPr="00577802">
        <w:rPr>
          <w:rFonts w:ascii="Arial" w:hAnsi="Arial" w:cs="Arial"/>
        </w:rPr>
        <w:t xml:space="preserve">The management of </w:t>
      </w:r>
      <w:r w:rsidR="00577802">
        <w:rPr>
          <w:rFonts w:ascii="Arial" w:hAnsi="Arial" w:cs="Arial"/>
        </w:rPr>
        <w:t xml:space="preserve">procurement and </w:t>
      </w:r>
      <w:r w:rsidRPr="00577802">
        <w:rPr>
          <w:rFonts w:ascii="Arial" w:hAnsi="Arial" w:cs="Arial"/>
        </w:rPr>
        <w:t xml:space="preserve">costs within construction is essential if projects are to be effective </w:t>
      </w:r>
      <w:r w:rsidR="00577802">
        <w:rPr>
          <w:rFonts w:ascii="Arial" w:hAnsi="Arial" w:cs="Arial"/>
        </w:rPr>
        <w:t xml:space="preserve">and deliver the outcomes required by clients and or end users. The ability to identify the critical path of cost management and develop risk management strategies to monitor and evaluate progress against expenditure </w:t>
      </w:r>
      <w:proofErr w:type="spellStart"/>
      <w:r w:rsidR="00577802">
        <w:rPr>
          <w:rFonts w:ascii="Arial" w:hAnsi="Arial" w:cs="Arial"/>
        </w:rPr>
        <w:t>ane</w:t>
      </w:r>
      <w:proofErr w:type="spellEnd"/>
      <w:r w:rsidR="00577802">
        <w:rPr>
          <w:rFonts w:ascii="Arial" w:hAnsi="Arial" w:cs="Arial"/>
        </w:rPr>
        <w:t xml:space="preserve"> key features in the international construction industry</w:t>
      </w:r>
    </w:p>
    <w:p w14:paraId="65274BCD" w14:textId="317DEFE2" w:rsidR="0045662C" w:rsidRDefault="0045662C" w:rsidP="00302082">
      <w:pPr>
        <w:pBdr>
          <w:bottom w:val="single" w:sz="6" w:space="1" w:color="auto"/>
        </w:pBdr>
        <w:spacing w:after="120" w:line="240" w:lineRule="auto"/>
        <w:ind w:right="260"/>
        <w:rPr>
          <w:rFonts w:ascii="Arial" w:hAnsi="Arial" w:cs="Arial"/>
        </w:rPr>
      </w:pPr>
    </w:p>
    <w:p w14:paraId="476888C4" w14:textId="3F8354CE" w:rsidR="00FB7EFE" w:rsidRDefault="00FB7EFE" w:rsidP="00302082">
      <w:pPr>
        <w:pBdr>
          <w:bottom w:val="single" w:sz="6" w:space="1" w:color="auto"/>
        </w:pBdr>
        <w:spacing w:after="120" w:line="240" w:lineRule="auto"/>
        <w:ind w:right="260"/>
        <w:rPr>
          <w:rFonts w:ascii="Arial" w:hAnsi="Arial" w:cs="Arial"/>
        </w:rPr>
      </w:pPr>
    </w:p>
    <w:p w14:paraId="2C59461E" w14:textId="77777777" w:rsidR="00FB7EFE" w:rsidRPr="00302082" w:rsidRDefault="00FB7EFE"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1159838C" w:rsidR="00870B98" w:rsidRPr="00302082" w:rsidRDefault="003A49A6" w:rsidP="00870B98">
            <w:pPr>
              <w:spacing w:after="120"/>
              <w:ind w:right="-330"/>
              <w:rPr>
                <w:rFonts w:ascii="Arial" w:hAnsi="Arial" w:cs="Arial"/>
              </w:rPr>
            </w:pPr>
            <w:r>
              <w:rPr>
                <w:rFonts w:ascii="Arial" w:hAnsi="Arial" w:cs="Arial"/>
              </w:rPr>
              <w:t xml:space="preserve"> </w:t>
            </w:r>
            <w:r w:rsidR="002572B2">
              <w:rPr>
                <w:rFonts w:ascii="Arial" w:hAnsi="Arial" w:cs="Arial"/>
              </w:rPr>
              <w:t>24 Jan 19</w:t>
            </w:r>
          </w:p>
        </w:tc>
        <w:tc>
          <w:tcPr>
            <w:tcW w:w="1701" w:type="dxa"/>
          </w:tcPr>
          <w:p w14:paraId="01801C46" w14:textId="2B4D73EE" w:rsidR="00870B98" w:rsidRPr="00302082" w:rsidRDefault="002572B2" w:rsidP="00870B98">
            <w:pPr>
              <w:spacing w:after="120"/>
              <w:ind w:right="-330"/>
              <w:rPr>
                <w:rFonts w:ascii="Arial" w:hAnsi="Arial" w:cs="Arial"/>
              </w:rPr>
            </w:pPr>
            <w:r>
              <w:rPr>
                <w:rFonts w:ascii="Arial" w:hAnsi="Arial" w:cs="Arial"/>
              </w:rPr>
              <w:t>New</w:t>
            </w:r>
          </w:p>
        </w:tc>
        <w:tc>
          <w:tcPr>
            <w:tcW w:w="2410" w:type="dxa"/>
          </w:tcPr>
          <w:p w14:paraId="2AC94CCC" w14:textId="00A02D57" w:rsidR="00870B98" w:rsidRPr="00302082" w:rsidRDefault="002572B2" w:rsidP="00870B98">
            <w:pPr>
              <w:spacing w:after="120"/>
              <w:ind w:right="-330"/>
              <w:rPr>
                <w:rFonts w:ascii="Arial" w:hAnsi="Arial" w:cs="Arial"/>
              </w:rPr>
            </w:pPr>
            <w:r>
              <w:rPr>
                <w:rFonts w:ascii="Arial" w:hAnsi="Arial" w:cs="Arial"/>
              </w:rPr>
              <w:t>Sept 19</w:t>
            </w:r>
          </w:p>
        </w:tc>
        <w:tc>
          <w:tcPr>
            <w:tcW w:w="2448" w:type="dxa"/>
          </w:tcPr>
          <w:p w14:paraId="0793FDC3" w14:textId="5FFD4BF5" w:rsidR="00870B98" w:rsidRPr="00302082" w:rsidRDefault="002572B2"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5C41C06C"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E74B8D">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ED82" w14:textId="77777777" w:rsidR="00C02F52" w:rsidRDefault="00C02F52" w:rsidP="009A2D37">
      <w:pPr>
        <w:spacing w:after="0" w:line="240" w:lineRule="auto"/>
      </w:pPr>
      <w:r>
        <w:separator/>
      </w:r>
    </w:p>
  </w:endnote>
  <w:endnote w:type="continuationSeparator" w:id="0">
    <w:p w14:paraId="21EDFBA0" w14:textId="77777777" w:rsidR="00C02F52" w:rsidRDefault="00C02F52" w:rsidP="009A2D37">
      <w:pPr>
        <w:spacing w:after="0" w:line="240" w:lineRule="auto"/>
      </w:pPr>
      <w:r>
        <w:continuationSeparator/>
      </w:r>
    </w:p>
  </w:endnote>
  <w:endnote w:type="continuationNotice" w:id="1">
    <w:p w14:paraId="07CBC967" w14:textId="77777777" w:rsidR="00C02F52" w:rsidRDefault="00C02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6478D346" w:rsidR="008B2543" w:rsidRDefault="0019787E" w:rsidP="009A2D37">
        <w:pPr>
          <w:pStyle w:val="Footer"/>
          <w:jc w:val="center"/>
        </w:pPr>
        <w:r>
          <w:fldChar w:fldCharType="begin"/>
        </w:r>
        <w:r>
          <w:instrText xml:space="preserve"> PAGE   \* MERGEFORMAT </w:instrText>
        </w:r>
        <w:r>
          <w:fldChar w:fldCharType="separate"/>
        </w:r>
        <w:r w:rsidR="002B6EE8">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A314" w14:textId="77777777" w:rsidR="00C02F52" w:rsidRDefault="00C02F52" w:rsidP="009A2D37">
      <w:pPr>
        <w:spacing w:after="0" w:line="240" w:lineRule="auto"/>
      </w:pPr>
      <w:r>
        <w:separator/>
      </w:r>
    </w:p>
  </w:footnote>
  <w:footnote w:type="continuationSeparator" w:id="0">
    <w:p w14:paraId="0643D09B" w14:textId="77777777" w:rsidR="00C02F52" w:rsidRDefault="00C02F52" w:rsidP="009A2D37">
      <w:pPr>
        <w:spacing w:after="0" w:line="240" w:lineRule="auto"/>
      </w:pPr>
      <w:r>
        <w:continuationSeparator/>
      </w:r>
    </w:p>
  </w:footnote>
  <w:footnote w:type="continuationNotice" w:id="1">
    <w:p w14:paraId="76B60AE4" w14:textId="77777777" w:rsidR="00C02F52" w:rsidRDefault="00C02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927"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3"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D6C4B"/>
    <w:multiLevelType w:val="hybridMultilevel"/>
    <w:tmpl w:val="6CD81376"/>
    <w:lvl w:ilvl="0" w:tplc="1308666E">
      <w:start w:val="12"/>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0" w15:restartNumberingAfterBreak="0">
    <w:nsid w:val="6EA56F71"/>
    <w:multiLevelType w:val="hybridMultilevel"/>
    <w:tmpl w:val="1FAC7D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7757A"/>
    <w:multiLevelType w:val="hybridMultilevel"/>
    <w:tmpl w:val="404C1B46"/>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9"/>
  </w:num>
  <w:num w:numId="10">
    <w:abstractNumId w:val="2"/>
  </w:num>
  <w:num w:numId="11">
    <w:abstractNumId w:val="11"/>
  </w:num>
  <w:num w:numId="12">
    <w:abstractNumId w:val="1"/>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3905"/>
    <w:rsid w:val="0000456B"/>
    <w:rsid w:val="00005661"/>
    <w:rsid w:val="00010A16"/>
    <w:rsid w:val="00011AEF"/>
    <w:rsid w:val="0001243F"/>
    <w:rsid w:val="00020105"/>
    <w:rsid w:val="00021EA0"/>
    <w:rsid w:val="00024F68"/>
    <w:rsid w:val="000250CC"/>
    <w:rsid w:val="00025992"/>
    <w:rsid w:val="00027937"/>
    <w:rsid w:val="00030C9E"/>
    <w:rsid w:val="00031E67"/>
    <w:rsid w:val="00037B07"/>
    <w:rsid w:val="000408CC"/>
    <w:rsid w:val="00045373"/>
    <w:rsid w:val="000576D2"/>
    <w:rsid w:val="00063A2F"/>
    <w:rsid w:val="000678D3"/>
    <w:rsid w:val="00070D8F"/>
    <w:rsid w:val="00094810"/>
    <w:rsid w:val="00096DA4"/>
    <w:rsid w:val="000A19EA"/>
    <w:rsid w:val="000C0294"/>
    <w:rsid w:val="000C7A1C"/>
    <w:rsid w:val="000D2A8A"/>
    <w:rsid w:val="000D32AC"/>
    <w:rsid w:val="000D7341"/>
    <w:rsid w:val="000E13B4"/>
    <w:rsid w:val="000E20C1"/>
    <w:rsid w:val="000E323B"/>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410E9"/>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D0C7D"/>
    <w:rsid w:val="001D1F2D"/>
    <w:rsid w:val="001D2314"/>
    <w:rsid w:val="001D6398"/>
    <w:rsid w:val="001E1917"/>
    <w:rsid w:val="001E1F45"/>
    <w:rsid w:val="001E62C1"/>
    <w:rsid w:val="001F0779"/>
    <w:rsid w:val="001F3C3E"/>
    <w:rsid w:val="001F4327"/>
    <w:rsid w:val="001F4ECC"/>
    <w:rsid w:val="00201C5F"/>
    <w:rsid w:val="0020243A"/>
    <w:rsid w:val="002049BE"/>
    <w:rsid w:val="0021578E"/>
    <w:rsid w:val="00223470"/>
    <w:rsid w:val="00227582"/>
    <w:rsid w:val="002308BE"/>
    <w:rsid w:val="002407C0"/>
    <w:rsid w:val="002461AF"/>
    <w:rsid w:val="002465A1"/>
    <w:rsid w:val="00247A33"/>
    <w:rsid w:val="00252320"/>
    <w:rsid w:val="002572B2"/>
    <w:rsid w:val="00264576"/>
    <w:rsid w:val="00264A30"/>
    <w:rsid w:val="0026585A"/>
    <w:rsid w:val="00266735"/>
    <w:rsid w:val="00270954"/>
    <w:rsid w:val="002718D6"/>
    <w:rsid w:val="00272105"/>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6EE8"/>
    <w:rsid w:val="002B71F2"/>
    <w:rsid w:val="002E034A"/>
    <w:rsid w:val="002E6B83"/>
    <w:rsid w:val="002E6EB0"/>
    <w:rsid w:val="002E71C0"/>
    <w:rsid w:val="002F05F4"/>
    <w:rsid w:val="002F0CE4"/>
    <w:rsid w:val="002F23EF"/>
    <w:rsid w:val="002F2626"/>
    <w:rsid w:val="00302082"/>
    <w:rsid w:val="00306620"/>
    <w:rsid w:val="00307F82"/>
    <w:rsid w:val="00313F18"/>
    <w:rsid w:val="00322909"/>
    <w:rsid w:val="003262B9"/>
    <w:rsid w:val="00327ADB"/>
    <w:rsid w:val="00331537"/>
    <w:rsid w:val="00332A83"/>
    <w:rsid w:val="003332CB"/>
    <w:rsid w:val="00334A02"/>
    <w:rsid w:val="00335875"/>
    <w:rsid w:val="00335FBE"/>
    <w:rsid w:val="00342D67"/>
    <w:rsid w:val="003502E9"/>
    <w:rsid w:val="00351D4F"/>
    <w:rsid w:val="00352D8E"/>
    <w:rsid w:val="00353587"/>
    <w:rsid w:val="00356B68"/>
    <w:rsid w:val="0035702D"/>
    <w:rsid w:val="003604D4"/>
    <w:rsid w:val="00360D55"/>
    <w:rsid w:val="003627B0"/>
    <w:rsid w:val="00374DF6"/>
    <w:rsid w:val="003759B0"/>
    <w:rsid w:val="00375F84"/>
    <w:rsid w:val="00376E34"/>
    <w:rsid w:val="003804E7"/>
    <w:rsid w:val="0039244D"/>
    <w:rsid w:val="003934D2"/>
    <w:rsid w:val="00393AFB"/>
    <w:rsid w:val="00396415"/>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E6C6F"/>
    <w:rsid w:val="003F4470"/>
    <w:rsid w:val="003F5A04"/>
    <w:rsid w:val="003F67CD"/>
    <w:rsid w:val="003F79C5"/>
    <w:rsid w:val="00402560"/>
    <w:rsid w:val="00402ED7"/>
    <w:rsid w:val="00403C32"/>
    <w:rsid w:val="004068AE"/>
    <w:rsid w:val="00406F07"/>
    <w:rsid w:val="00410E5D"/>
    <w:rsid w:val="004114F8"/>
    <w:rsid w:val="00416833"/>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B5D03"/>
    <w:rsid w:val="004C1EC4"/>
    <w:rsid w:val="004D035C"/>
    <w:rsid w:val="004D19E9"/>
    <w:rsid w:val="004D398A"/>
    <w:rsid w:val="004E59D8"/>
    <w:rsid w:val="004E64E3"/>
    <w:rsid w:val="004F2295"/>
    <w:rsid w:val="004F3C18"/>
    <w:rsid w:val="004F4328"/>
    <w:rsid w:val="005005E4"/>
    <w:rsid w:val="00513689"/>
    <w:rsid w:val="0051375A"/>
    <w:rsid w:val="00517B0D"/>
    <w:rsid w:val="00521097"/>
    <w:rsid w:val="00521604"/>
    <w:rsid w:val="00525C26"/>
    <w:rsid w:val="0053059E"/>
    <w:rsid w:val="00532A16"/>
    <w:rsid w:val="00532F6F"/>
    <w:rsid w:val="00533663"/>
    <w:rsid w:val="00535665"/>
    <w:rsid w:val="0053630B"/>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802"/>
    <w:rsid w:val="005779D1"/>
    <w:rsid w:val="00577BEE"/>
    <w:rsid w:val="0058041A"/>
    <w:rsid w:val="00583016"/>
    <w:rsid w:val="0058743D"/>
    <w:rsid w:val="00587BF7"/>
    <w:rsid w:val="00592034"/>
    <w:rsid w:val="0059477B"/>
    <w:rsid w:val="00596884"/>
    <w:rsid w:val="005A14B5"/>
    <w:rsid w:val="005A3E05"/>
    <w:rsid w:val="005A4301"/>
    <w:rsid w:val="005A65FB"/>
    <w:rsid w:val="005B5A98"/>
    <w:rsid w:val="005C1A4F"/>
    <w:rsid w:val="005C27D7"/>
    <w:rsid w:val="005D7CD0"/>
    <w:rsid w:val="005E1A3A"/>
    <w:rsid w:val="005E3B0B"/>
    <w:rsid w:val="005E4EE1"/>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82650"/>
    <w:rsid w:val="006828F1"/>
    <w:rsid w:val="00683609"/>
    <w:rsid w:val="00684851"/>
    <w:rsid w:val="006851AA"/>
    <w:rsid w:val="00694309"/>
    <w:rsid w:val="00695285"/>
    <w:rsid w:val="00696FF5"/>
    <w:rsid w:val="006A29BF"/>
    <w:rsid w:val="006A6BB4"/>
    <w:rsid w:val="006A7FB0"/>
    <w:rsid w:val="006B1E60"/>
    <w:rsid w:val="006C143D"/>
    <w:rsid w:val="006C2A9A"/>
    <w:rsid w:val="006C423D"/>
    <w:rsid w:val="006C46EF"/>
    <w:rsid w:val="006C4C67"/>
    <w:rsid w:val="006C7099"/>
    <w:rsid w:val="006D13C0"/>
    <w:rsid w:val="006D2619"/>
    <w:rsid w:val="006D41AB"/>
    <w:rsid w:val="006D444F"/>
    <w:rsid w:val="006D506A"/>
    <w:rsid w:val="006F0C32"/>
    <w:rsid w:val="006F1A15"/>
    <w:rsid w:val="006F2AF3"/>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5BD1"/>
    <w:rsid w:val="0073792C"/>
    <w:rsid w:val="0075056F"/>
    <w:rsid w:val="00754069"/>
    <w:rsid w:val="007566EB"/>
    <w:rsid w:val="00764F9E"/>
    <w:rsid w:val="007667DF"/>
    <w:rsid w:val="0077080B"/>
    <w:rsid w:val="00780235"/>
    <w:rsid w:val="00785C6E"/>
    <w:rsid w:val="00787070"/>
    <w:rsid w:val="007906FD"/>
    <w:rsid w:val="00797197"/>
    <w:rsid w:val="007972A7"/>
    <w:rsid w:val="007A2BA2"/>
    <w:rsid w:val="007A5DEC"/>
    <w:rsid w:val="007A6245"/>
    <w:rsid w:val="007B0C2A"/>
    <w:rsid w:val="007B1DB2"/>
    <w:rsid w:val="007B375B"/>
    <w:rsid w:val="007B412A"/>
    <w:rsid w:val="007B635E"/>
    <w:rsid w:val="007B7724"/>
    <w:rsid w:val="007B7A8F"/>
    <w:rsid w:val="007B7CDC"/>
    <w:rsid w:val="007C74B4"/>
    <w:rsid w:val="007C7D19"/>
    <w:rsid w:val="007D19A3"/>
    <w:rsid w:val="007D31B5"/>
    <w:rsid w:val="007D60A4"/>
    <w:rsid w:val="007D6361"/>
    <w:rsid w:val="007D7F05"/>
    <w:rsid w:val="007E3412"/>
    <w:rsid w:val="007F393D"/>
    <w:rsid w:val="00800785"/>
    <w:rsid w:val="0080239F"/>
    <w:rsid w:val="008029AF"/>
    <w:rsid w:val="00802FFA"/>
    <w:rsid w:val="00805F05"/>
    <w:rsid w:val="008071B3"/>
    <w:rsid w:val="008102E5"/>
    <w:rsid w:val="008111B4"/>
    <w:rsid w:val="008133F0"/>
    <w:rsid w:val="00815880"/>
    <w:rsid w:val="0082322C"/>
    <w:rsid w:val="00823942"/>
    <w:rsid w:val="0082738A"/>
    <w:rsid w:val="00827FFD"/>
    <w:rsid w:val="0083074C"/>
    <w:rsid w:val="00835FA6"/>
    <w:rsid w:val="008431F4"/>
    <w:rsid w:val="00852E7F"/>
    <w:rsid w:val="00854535"/>
    <w:rsid w:val="00856EB3"/>
    <w:rsid w:val="0086111E"/>
    <w:rsid w:val="00863C96"/>
    <w:rsid w:val="00864A72"/>
    <w:rsid w:val="00870B98"/>
    <w:rsid w:val="008737F8"/>
    <w:rsid w:val="00873E9F"/>
    <w:rsid w:val="00874047"/>
    <w:rsid w:val="008778CB"/>
    <w:rsid w:val="00881545"/>
    <w:rsid w:val="00883204"/>
    <w:rsid w:val="00883A3E"/>
    <w:rsid w:val="0089148D"/>
    <w:rsid w:val="008918DF"/>
    <w:rsid w:val="00891E0D"/>
    <w:rsid w:val="008A0F36"/>
    <w:rsid w:val="008B2543"/>
    <w:rsid w:val="008B4B6E"/>
    <w:rsid w:val="008C34BC"/>
    <w:rsid w:val="008D16B0"/>
    <w:rsid w:val="008D3881"/>
    <w:rsid w:val="008D6559"/>
    <w:rsid w:val="008D71E5"/>
    <w:rsid w:val="008D7401"/>
    <w:rsid w:val="008F4B3B"/>
    <w:rsid w:val="00903DF6"/>
    <w:rsid w:val="00904E80"/>
    <w:rsid w:val="00905D25"/>
    <w:rsid w:val="00912EF3"/>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0C64"/>
    <w:rsid w:val="00992443"/>
    <w:rsid w:val="00994E4C"/>
    <w:rsid w:val="00996204"/>
    <w:rsid w:val="009A26CB"/>
    <w:rsid w:val="009A2BC2"/>
    <w:rsid w:val="009A2D37"/>
    <w:rsid w:val="009A52EA"/>
    <w:rsid w:val="009A7587"/>
    <w:rsid w:val="009B0A69"/>
    <w:rsid w:val="009C2035"/>
    <w:rsid w:val="009C2474"/>
    <w:rsid w:val="009C2BC7"/>
    <w:rsid w:val="009C7082"/>
    <w:rsid w:val="009C76CB"/>
    <w:rsid w:val="009D0006"/>
    <w:rsid w:val="009D068C"/>
    <w:rsid w:val="009D2E50"/>
    <w:rsid w:val="009D4956"/>
    <w:rsid w:val="009E26DE"/>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0FC"/>
    <w:rsid w:val="00A629B9"/>
    <w:rsid w:val="00A70C20"/>
    <w:rsid w:val="00A74292"/>
    <w:rsid w:val="00A776DE"/>
    <w:rsid w:val="00A80640"/>
    <w:rsid w:val="00A81FA6"/>
    <w:rsid w:val="00A87FFD"/>
    <w:rsid w:val="00A90A38"/>
    <w:rsid w:val="00A97038"/>
    <w:rsid w:val="00AA15CF"/>
    <w:rsid w:val="00AA20E8"/>
    <w:rsid w:val="00AA3C15"/>
    <w:rsid w:val="00AA3DE5"/>
    <w:rsid w:val="00AA5011"/>
    <w:rsid w:val="00AA6330"/>
    <w:rsid w:val="00AC0903"/>
    <w:rsid w:val="00AC1C27"/>
    <w:rsid w:val="00AC7501"/>
    <w:rsid w:val="00AC7F3A"/>
    <w:rsid w:val="00AD3BFA"/>
    <w:rsid w:val="00AD748B"/>
    <w:rsid w:val="00AE4403"/>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6C16"/>
    <w:rsid w:val="00B57219"/>
    <w:rsid w:val="00B6109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0A3C"/>
    <w:rsid w:val="00C02AA2"/>
    <w:rsid w:val="00C02F52"/>
    <w:rsid w:val="00C04C95"/>
    <w:rsid w:val="00C109B6"/>
    <w:rsid w:val="00C10E5D"/>
    <w:rsid w:val="00C12613"/>
    <w:rsid w:val="00C16DEF"/>
    <w:rsid w:val="00C2163D"/>
    <w:rsid w:val="00C2492F"/>
    <w:rsid w:val="00C33118"/>
    <w:rsid w:val="00C34405"/>
    <w:rsid w:val="00C35893"/>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B42AE"/>
    <w:rsid w:val="00CB45FF"/>
    <w:rsid w:val="00CC00D1"/>
    <w:rsid w:val="00CC25A2"/>
    <w:rsid w:val="00CC4365"/>
    <w:rsid w:val="00CD5DF8"/>
    <w:rsid w:val="00CD7F07"/>
    <w:rsid w:val="00CE04F3"/>
    <w:rsid w:val="00CE12D8"/>
    <w:rsid w:val="00CE4574"/>
    <w:rsid w:val="00CE70E6"/>
    <w:rsid w:val="00CE7F30"/>
    <w:rsid w:val="00CF2E1E"/>
    <w:rsid w:val="00CF3296"/>
    <w:rsid w:val="00CF4532"/>
    <w:rsid w:val="00CF7EEF"/>
    <w:rsid w:val="00D02E99"/>
    <w:rsid w:val="00D114DD"/>
    <w:rsid w:val="00D11C01"/>
    <w:rsid w:val="00D13357"/>
    <w:rsid w:val="00D13A13"/>
    <w:rsid w:val="00D2689A"/>
    <w:rsid w:val="00D26D7C"/>
    <w:rsid w:val="00D342C0"/>
    <w:rsid w:val="00D44AEB"/>
    <w:rsid w:val="00D50A3B"/>
    <w:rsid w:val="00D646DC"/>
    <w:rsid w:val="00D65506"/>
    <w:rsid w:val="00D773CF"/>
    <w:rsid w:val="00D812B8"/>
    <w:rsid w:val="00D83563"/>
    <w:rsid w:val="00D8448F"/>
    <w:rsid w:val="00D852A6"/>
    <w:rsid w:val="00D85B5E"/>
    <w:rsid w:val="00D95553"/>
    <w:rsid w:val="00DA64B6"/>
    <w:rsid w:val="00DB5C9D"/>
    <w:rsid w:val="00DD02E6"/>
    <w:rsid w:val="00DD54EF"/>
    <w:rsid w:val="00DD579C"/>
    <w:rsid w:val="00DE4342"/>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704B6"/>
    <w:rsid w:val="00E71F2F"/>
    <w:rsid w:val="00E74B8D"/>
    <w:rsid w:val="00E77786"/>
    <w:rsid w:val="00E806FB"/>
    <w:rsid w:val="00E83276"/>
    <w:rsid w:val="00E83777"/>
    <w:rsid w:val="00E92972"/>
    <w:rsid w:val="00EA129D"/>
    <w:rsid w:val="00EB08E2"/>
    <w:rsid w:val="00EB1C2D"/>
    <w:rsid w:val="00EC1810"/>
    <w:rsid w:val="00EC3FCC"/>
    <w:rsid w:val="00ED32FF"/>
    <w:rsid w:val="00EF039B"/>
    <w:rsid w:val="00EF4933"/>
    <w:rsid w:val="00EF5044"/>
    <w:rsid w:val="00F01956"/>
    <w:rsid w:val="00F116CE"/>
    <w:rsid w:val="00F13107"/>
    <w:rsid w:val="00F176DE"/>
    <w:rsid w:val="00F201D7"/>
    <w:rsid w:val="00F2055B"/>
    <w:rsid w:val="00F21C47"/>
    <w:rsid w:val="00F244E2"/>
    <w:rsid w:val="00F340DE"/>
    <w:rsid w:val="00F43542"/>
    <w:rsid w:val="00F44BAB"/>
    <w:rsid w:val="00F527CB"/>
    <w:rsid w:val="00F562AA"/>
    <w:rsid w:val="00F5729D"/>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3906"/>
    <w:rsid w:val="00FB4E1B"/>
    <w:rsid w:val="00FB7EFE"/>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styleId="LineNumber">
    <w:name w:val="line number"/>
    <w:basedOn w:val="DefaultParagraphFont"/>
    <w:uiPriority w:val="99"/>
    <w:semiHidden/>
    <w:unhideWhenUsed/>
    <w:rsid w:val="0053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607732697">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358A-6146-4324-8D89-6493916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2018-06-13T09:47:00Z</cp:lastPrinted>
  <dcterms:created xsi:type="dcterms:W3CDTF">2019-02-26T15:24:00Z</dcterms:created>
  <dcterms:modified xsi:type="dcterms:W3CDTF">2019-02-26T15:24:00Z</dcterms:modified>
</cp:coreProperties>
</file>