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5DDD7B7D" w:rsidR="00683609" w:rsidRPr="009C396D" w:rsidRDefault="00683609" w:rsidP="009C396D">
      <w:pPr>
        <w:pStyle w:val="Heading1"/>
        <w:rPr>
          <w:rFonts w:ascii="Arial" w:hAnsi="Arial"/>
        </w:rPr>
      </w:pPr>
    </w:p>
    <w:p w14:paraId="78CCD3D4" w14:textId="30F9E048"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7409AB92" w14:textId="6E5B6774" w:rsidR="002C16F7" w:rsidRPr="002C16F7" w:rsidRDefault="00057AB2" w:rsidP="002C16F7">
      <w:pPr>
        <w:spacing w:after="120" w:line="240" w:lineRule="auto"/>
        <w:ind w:left="567" w:right="260"/>
        <w:jc w:val="both"/>
        <w:rPr>
          <w:rFonts w:ascii="Arial" w:hAnsi="Arial" w:cs="Arial"/>
          <w:b/>
        </w:rPr>
      </w:pPr>
      <w:r w:rsidRPr="00057AB2">
        <w:rPr>
          <w:rFonts w:ascii="Arial" w:hAnsi="Arial" w:cs="Arial"/>
        </w:rPr>
        <w:t>QUSU5002</w:t>
      </w:r>
      <w:r>
        <w:rPr>
          <w:rFonts w:ascii="Arial" w:hAnsi="Arial" w:cs="Arial"/>
        </w:rPr>
        <w:t xml:space="preserve"> </w:t>
      </w:r>
      <w:bookmarkStart w:id="0" w:name="_GoBack"/>
      <w:bookmarkEnd w:id="0"/>
      <w:r w:rsidR="008D4AC2">
        <w:rPr>
          <w:rFonts w:ascii="Arial" w:hAnsi="Arial" w:cs="Arial"/>
        </w:rPr>
        <w:t xml:space="preserve">Construction </w:t>
      </w:r>
      <w:r w:rsidR="00EA47C7">
        <w:rPr>
          <w:rFonts w:ascii="Arial" w:hAnsi="Arial" w:cs="Arial"/>
        </w:rPr>
        <w:t>Contract</w:t>
      </w:r>
      <w:r w:rsidR="00B31F52">
        <w:rPr>
          <w:rFonts w:ascii="Arial" w:hAnsi="Arial" w:cs="Arial"/>
        </w:rPr>
        <w:t>s</w:t>
      </w:r>
    </w:p>
    <w:p w14:paraId="05B0D93F" w14:textId="1359B88D"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388CCBC5" w:rsidR="009A2D37" w:rsidRPr="006828F1" w:rsidRDefault="00661506" w:rsidP="006828F1">
      <w:pPr>
        <w:spacing w:after="120" w:line="240" w:lineRule="auto"/>
        <w:ind w:left="567" w:right="260"/>
        <w:rPr>
          <w:rFonts w:ascii="Arial" w:hAnsi="Arial" w:cs="Arial"/>
          <w:iCs/>
        </w:rPr>
      </w:pPr>
      <w:r>
        <w:rPr>
          <w:rFonts w:ascii="Arial" w:hAnsi="Arial" w:cs="Arial"/>
          <w:iCs/>
        </w:rPr>
        <w:t xml:space="preserve">Centre for Higher </w:t>
      </w:r>
      <w:r w:rsidR="007B080C">
        <w:rPr>
          <w:rFonts w:ascii="Arial" w:hAnsi="Arial" w:cs="Arial"/>
          <w:iCs/>
        </w:rPr>
        <w:t xml:space="preserve">and </w:t>
      </w:r>
      <w:r>
        <w:rPr>
          <w:rFonts w:ascii="Arial" w:hAnsi="Arial" w:cs="Arial"/>
          <w:iCs/>
        </w:rPr>
        <w:t>Degree Apprenticeship</w:t>
      </w:r>
      <w:r w:rsidR="00076460">
        <w:rPr>
          <w:rFonts w:ascii="Arial" w:hAnsi="Arial" w:cs="Arial"/>
          <w:iCs/>
        </w:rPr>
        <w:t>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2E94E111"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481C24">
        <w:rPr>
          <w:rFonts w:ascii="Arial" w:hAnsi="Arial" w:cs="Arial"/>
          <w:iCs/>
        </w:rPr>
        <w:t>Level 5</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0E25D5D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8902B3" w14:textId="678D9433" w:rsidR="00EC5335" w:rsidRPr="00EC5335" w:rsidRDefault="00EC5335" w:rsidP="00EC5335">
      <w:pPr>
        <w:spacing w:after="120" w:line="240" w:lineRule="auto"/>
        <w:ind w:left="567" w:right="260"/>
        <w:jc w:val="both"/>
        <w:rPr>
          <w:rFonts w:ascii="Arial" w:hAnsi="Arial" w:cs="Arial"/>
        </w:rPr>
      </w:pPr>
      <w:r w:rsidRPr="00EC5335">
        <w:rPr>
          <w:rFonts w:ascii="Arial" w:hAnsi="Arial" w:cs="Arial"/>
        </w:rPr>
        <w:t>This module is being taught as part of the BSc (Hons) Quantity Surveying</w:t>
      </w:r>
      <w:r w:rsidR="00566271">
        <w:rPr>
          <w:rFonts w:ascii="Arial" w:hAnsi="Arial" w:cs="Arial"/>
        </w:rPr>
        <w:t xml:space="preserve"> being delivered through a part-</w:t>
      </w:r>
      <w:r w:rsidRPr="00EC5335">
        <w:rPr>
          <w:rFonts w:ascii="Arial" w:hAnsi="Arial" w:cs="Arial"/>
        </w:rPr>
        <w:t xml:space="preserve">time </w:t>
      </w:r>
      <w:r w:rsidR="009C396D">
        <w:rPr>
          <w:rFonts w:ascii="Arial" w:hAnsi="Arial" w:cs="Arial"/>
        </w:rPr>
        <w:t>distance</w:t>
      </w:r>
      <w:r w:rsidR="009C396D" w:rsidRPr="00EC5335">
        <w:rPr>
          <w:rFonts w:ascii="Arial" w:hAnsi="Arial" w:cs="Arial"/>
        </w:rPr>
        <w:t xml:space="preserve"> </w:t>
      </w:r>
      <w:r w:rsidRPr="00EC5335">
        <w:rPr>
          <w:rFonts w:ascii="Arial" w:hAnsi="Arial" w:cs="Arial"/>
        </w:rPr>
        <w:t>learning approach</w:t>
      </w:r>
      <w:r w:rsidR="008020AF">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1FEDEFF9" w:rsidR="0095522D" w:rsidRPr="006828F1" w:rsidRDefault="00A74289" w:rsidP="006828F1">
      <w:pPr>
        <w:spacing w:after="120" w:line="240" w:lineRule="auto"/>
        <w:ind w:left="567" w:right="260"/>
        <w:rPr>
          <w:rFonts w:ascii="Arial" w:hAnsi="Arial" w:cs="Arial"/>
          <w:iCs/>
        </w:rPr>
      </w:pPr>
      <w:r>
        <w:rPr>
          <w:rFonts w:ascii="Arial" w:hAnsi="Arial" w:cs="Arial"/>
          <w:iCs/>
        </w:rPr>
        <w:t>None</w:t>
      </w:r>
    </w:p>
    <w:p w14:paraId="6421D469" w14:textId="582C0A7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w:t>
      </w:r>
      <w:r w:rsidR="004728F2">
        <w:rPr>
          <w:rFonts w:ascii="Arial" w:hAnsi="Arial" w:cs="Arial"/>
          <w:b/>
        </w:rPr>
        <w:t xml:space="preserve"> to which the module contribute</w:t>
      </w:r>
    </w:p>
    <w:p w14:paraId="05482515" w14:textId="382ED6BC"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025BFADB" w14:textId="77777777" w:rsidR="009C396D" w:rsidRDefault="00B737C1" w:rsidP="009C396D">
      <w:pPr>
        <w:pStyle w:val="ListParagraph"/>
        <w:spacing w:after="120" w:line="240" w:lineRule="auto"/>
        <w:ind w:left="502" w:right="260"/>
        <w:rPr>
          <w:rFonts w:ascii="Arial" w:hAnsi="Arial" w:cs="Arial"/>
          <w:b/>
        </w:rPr>
      </w:pPr>
      <w:r>
        <w:rPr>
          <w:rFonts w:ascii="Arial" w:hAnsi="Arial" w:cs="Arial"/>
          <w:b/>
        </w:rPr>
        <w:t xml:space="preserve">   </w:t>
      </w:r>
    </w:p>
    <w:p w14:paraId="7EC9D055" w14:textId="693F9720" w:rsidR="009C396D" w:rsidRDefault="009C396D" w:rsidP="009C396D">
      <w:pPr>
        <w:pStyle w:val="ListParagraph"/>
        <w:numPr>
          <w:ilvl w:val="0"/>
          <w:numId w:val="1"/>
        </w:numPr>
        <w:spacing w:after="120" w:line="240" w:lineRule="auto"/>
        <w:ind w:right="260"/>
        <w:rPr>
          <w:rFonts w:ascii="Arial" w:hAnsi="Arial" w:cs="Arial"/>
          <w:iCs/>
        </w:rPr>
      </w:pPr>
      <w:r>
        <w:rPr>
          <w:rFonts w:ascii="Arial" w:hAnsi="Arial" w:cs="Arial"/>
          <w:b/>
        </w:rPr>
        <w:t xml:space="preserve">  The intended subject specific learning outcomes.</w:t>
      </w:r>
    </w:p>
    <w:p w14:paraId="3C81867A" w14:textId="77F0C0D6" w:rsidR="00EB08E2" w:rsidRPr="00076460" w:rsidRDefault="009C396D" w:rsidP="009C396D">
      <w:pPr>
        <w:pStyle w:val="ListParagraph"/>
        <w:spacing w:after="120" w:line="240" w:lineRule="auto"/>
        <w:ind w:left="502" w:right="260"/>
        <w:rPr>
          <w:rFonts w:ascii="Arial" w:hAnsi="Arial" w:cs="Arial"/>
          <w:iCs/>
        </w:rPr>
      </w:pPr>
      <w:r w:rsidRPr="00076460">
        <w:rPr>
          <w:rFonts w:ascii="Arial" w:hAnsi="Arial" w:cs="Arial"/>
        </w:rPr>
        <w:t>On successfully completing the module students will be able to:</w:t>
      </w:r>
    </w:p>
    <w:p w14:paraId="0E9DB703" w14:textId="77777777" w:rsidR="004728F2" w:rsidRPr="004D19E9" w:rsidRDefault="004728F2" w:rsidP="004728F2">
      <w:pPr>
        <w:pStyle w:val="ListParagraph"/>
        <w:spacing w:after="120" w:line="240" w:lineRule="auto"/>
        <w:ind w:right="260"/>
        <w:rPr>
          <w:rFonts w:ascii="Arial" w:hAnsi="Arial" w:cs="Arial"/>
          <w:iCs/>
        </w:rPr>
      </w:pPr>
    </w:p>
    <w:p w14:paraId="2A0888F5" w14:textId="2EFF03D1" w:rsidR="00F04136" w:rsidRDefault="009354F3" w:rsidP="009354F3">
      <w:pPr>
        <w:pStyle w:val="ListParagraph"/>
        <w:numPr>
          <w:ilvl w:val="0"/>
          <w:numId w:val="16"/>
        </w:numPr>
        <w:spacing w:after="120" w:line="240" w:lineRule="auto"/>
        <w:ind w:right="260"/>
        <w:rPr>
          <w:rFonts w:ascii="Arial" w:hAnsi="Arial" w:cs="Arial"/>
        </w:rPr>
      </w:pPr>
      <w:r>
        <w:rPr>
          <w:rFonts w:ascii="Arial" w:hAnsi="Arial" w:cs="Arial"/>
        </w:rPr>
        <w:t>Understand the importance of contractual arrangements within the construction industry</w:t>
      </w:r>
      <w:r w:rsidR="009C396D">
        <w:rPr>
          <w:rFonts w:ascii="Arial" w:hAnsi="Arial" w:cs="Arial"/>
        </w:rPr>
        <w:t>.</w:t>
      </w:r>
      <w:r>
        <w:rPr>
          <w:rFonts w:ascii="Arial" w:hAnsi="Arial" w:cs="Arial"/>
        </w:rPr>
        <w:t xml:space="preserve"> </w:t>
      </w:r>
    </w:p>
    <w:p w14:paraId="5E7A501B" w14:textId="7C37ED08" w:rsidR="009354F3" w:rsidRDefault="009354F3" w:rsidP="009354F3">
      <w:pPr>
        <w:pStyle w:val="ListParagraph"/>
        <w:numPr>
          <w:ilvl w:val="0"/>
          <w:numId w:val="16"/>
        </w:numPr>
        <w:spacing w:after="120" w:line="240" w:lineRule="auto"/>
        <w:ind w:right="260"/>
        <w:rPr>
          <w:rFonts w:ascii="Arial" w:hAnsi="Arial" w:cs="Arial"/>
        </w:rPr>
      </w:pPr>
      <w:r>
        <w:rPr>
          <w:rFonts w:ascii="Arial" w:hAnsi="Arial" w:cs="Arial"/>
        </w:rPr>
        <w:t>Analyse and evaluate the risks of contractual arrangements within the construction industry including procurement, the supply chain and sub-contracting</w:t>
      </w:r>
      <w:r w:rsidR="00EA47C7">
        <w:rPr>
          <w:rFonts w:ascii="Arial" w:hAnsi="Arial" w:cs="Arial"/>
        </w:rPr>
        <w:t xml:space="preserve"> and the management of changes to contract</w:t>
      </w:r>
      <w:r w:rsidR="009C396D">
        <w:rPr>
          <w:rFonts w:ascii="Arial" w:hAnsi="Arial" w:cs="Arial"/>
        </w:rPr>
        <w:t>.</w:t>
      </w:r>
    </w:p>
    <w:p w14:paraId="2069EB59" w14:textId="211081EB" w:rsidR="009354F3" w:rsidRDefault="009354F3" w:rsidP="009354F3">
      <w:pPr>
        <w:pStyle w:val="ListParagraph"/>
        <w:numPr>
          <w:ilvl w:val="0"/>
          <w:numId w:val="16"/>
        </w:numPr>
        <w:spacing w:after="120" w:line="240" w:lineRule="auto"/>
        <w:ind w:right="260"/>
        <w:rPr>
          <w:rFonts w:ascii="Arial" w:hAnsi="Arial" w:cs="Arial"/>
        </w:rPr>
      </w:pPr>
      <w:r>
        <w:rPr>
          <w:rFonts w:ascii="Arial" w:hAnsi="Arial" w:cs="Arial"/>
        </w:rPr>
        <w:t xml:space="preserve">Evaluate the </w:t>
      </w:r>
      <w:r w:rsidR="00546210">
        <w:rPr>
          <w:rFonts w:ascii="Arial" w:hAnsi="Arial" w:cs="Arial"/>
        </w:rPr>
        <w:t>impact that BIM is having on</w:t>
      </w:r>
      <w:r>
        <w:rPr>
          <w:rFonts w:ascii="Arial" w:hAnsi="Arial" w:cs="Arial"/>
        </w:rPr>
        <w:t xml:space="preserve"> contracts, and the </w:t>
      </w:r>
      <w:r w:rsidR="0017330D">
        <w:rPr>
          <w:rFonts w:ascii="Arial" w:hAnsi="Arial" w:cs="Arial"/>
        </w:rPr>
        <w:t xml:space="preserve">allocation of </w:t>
      </w:r>
      <w:r>
        <w:rPr>
          <w:rFonts w:ascii="Arial" w:hAnsi="Arial" w:cs="Arial"/>
        </w:rPr>
        <w:t>intellectual property rights</w:t>
      </w:r>
      <w:r w:rsidR="00546210">
        <w:rPr>
          <w:rFonts w:ascii="Arial" w:hAnsi="Arial" w:cs="Arial"/>
        </w:rPr>
        <w:t xml:space="preserve"> in construction</w:t>
      </w:r>
      <w:r w:rsidR="009C396D">
        <w:rPr>
          <w:rFonts w:ascii="Arial" w:hAnsi="Arial" w:cs="Arial"/>
        </w:rPr>
        <w:t>.</w:t>
      </w:r>
    </w:p>
    <w:p w14:paraId="40935CCA" w14:textId="58FC3D46" w:rsidR="009354F3" w:rsidRDefault="009354F3" w:rsidP="009354F3">
      <w:pPr>
        <w:pStyle w:val="ListParagraph"/>
        <w:numPr>
          <w:ilvl w:val="0"/>
          <w:numId w:val="16"/>
        </w:numPr>
        <w:spacing w:after="120" w:line="240" w:lineRule="auto"/>
        <w:ind w:right="260"/>
        <w:rPr>
          <w:rFonts w:ascii="Arial" w:hAnsi="Arial" w:cs="Arial"/>
        </w:rPr>
      </w:pPr>
      <w:r>
        <w:rPr>
          <w:rFonts w:ascii="Arial" w:hAnsi="Arial" w:cs="Arial"/>
        </w:rPr>
        <w:t xml:space="preserve">Assess how contracts provide security but may also promote conflict, and what measures including collaborative practices </w:t>
      </w:r>
      <w:r w:rsidR="0017330D">
        <w:rPr>
          <w:rFonts w:ascii="Arial" w:hAnsi="Arial" w:cs="Arial"/>
        </w:rPr>
        <w:t xml:space="preserve">and dispute resolution </w:t>
      </w:r>
      <w:r>
        <w:rPr>
          <w:rFonts w:ascii="Arial" w:hAnsi="Arial" w:cs="Arial"/>
        </w:rPr>
        <w:t xml:space="preserve">can be </w:t>
      </w:r>
      <w:r w:rsidR="0017330D">
        <w:rPr>
          <w:rFonts w:ascii="Arial" w:hAnsi="Arial" w:cs="Arial"/>
        </w:rPr>
        <w:t xml:space="preserve">included </w:t>
      </w:r>
      <w:r>
        <w:rPr>
          <w:rFonts w:ascii="Arial" w:hAnsi="Arial" w:cs="Arial"/>
        </w:rPr>
        <w:t>to mitigate risks</w:t>
      </w:r>
      <w:r w:rsidR="009C396D">
        <w:rPr>
          <w:rFonts w:ascii="Arial" w:hAnsi="Arial" w:cs="Arial"/>
        </w:rPr>
        <w:t>.</w:t>
      </w:r>
    </w:p>
    <w:p w14:paraId="74B158EB" w14:textId="5AA6BC87" w:rsidR="009354F3" w:rsidRDefault="00076460" w:rsidP="009354F3">
      <w:pPr>
        <w:pStyle w:val="ListParagraph"/>
        <w:numPr>
          <w:ilvl w:val="0"/>
          <w:numId w:val="16"/>
        </w:numPr>
        <w:spacing w:after="120" w:line="240" w:lineRule="auto"/>
        <w:ind w:right="260"/>
        <w:rPr>
          <w:rFonts w:ascii="Arial" w:hAnsi="Arial" w:cs="Arial"/>
        </w:rPr>
      </w:pPr>
      <w:r>
        <w:rPr>
          <w:rFonts w:ascii="Arial" w:hAnsi="Arial" w:cs="Arial"/>
        </w:rPr>
        <w:t>Demonstrate</w:t>
      </w:r>
      <w:r w:rsidR="009354F3">
        <w:rPr>
          <w:rFonts w:ascii="Arial" w:hAnsi="Arial" w:cs="Arial"/>
        </w:rPr>
        <w:t xml:space="preserve"> a good knowledge and understanding of the major </w:t>
      </w:r>
      <w:r w:rsidR="008A2105">
        <w:rPr>
          <w:rFonts w:ascii="Arial" w:hAnsi="Arial" w:cs="Arial"/>
        </w:rPr>
        <w:t xml:space="preserve">appointment and </w:t>
      </w:r>
      <w:r w:rsidR="009354F3">
        <w:rPr>
          <w:rFonts w:ascii="Arial" w:hAnsi="Arial" w:cs="Arial"/>
        </w:rPr>
        <w:t xml:space="preserve">contractual frameworks, </w:t>
      </w:r>
      <w:r>
        <w:rPr>
          <w:rFonts w:ascii="Arial" w:hAnsi="Arial" w:cs="Arial"/>
        </w:rPr>
        <w:t>Royal Institute of British Architects (</w:t>
      </w:r>
      <w:r w:rsidR="009354F3">
        <w:rPr>
          <w:rFonts w:ascii="Arial" w:hAnsi="Arial" w:cs="Arial"/>
        </w:rPr>
        <w:t>RIBA</w:t>
      </w:r>
      <w:r>
        <w:rPr>
          <w:rFonts w:ascii="Arial" w:hAnsi="Arial" w:cs="Arial"/>
        </w:rPr>
        <w:t>)</w:t>
      </w:r>
      <w:r w:rsidR="009354F3">
        <w:rPr>
          <w:rFonts w:ascii="Arial" w:hAnsi="Arial" w:cs="Arial"/>
        </w:rPr>
        <w:t xml:space="preserve">, </w:t>
      </w:r>
      <w:r>
        <w:rPr>
          <w:rFonts w:ascii="Arial" w:hAnsi="Arial" w:cs="Arial"/>
        </w:rPr>
        <w:t>Royal Institute of Chartered Surveyors (</w:t>
      </w:r>
      <w:r w:rsidR="009354F3">
        <w:rPr>
          <w:rFonts w:ascii="Arial" w:hAnsi="Arial" w:cs="Arial"/>
        </w:rPr>
        <w:t>RICS</w:t>
      </w:r>
      <w:r>
        <w:rPr>
          <w:rFonts w:ascii="Arial" w:hAnsi="Arial" w:cs="Arial"/>
        </w:rPr>
        <w:t>)</w:t>
      </w:r>
      <w:r w:rsidR="007B080C">
        <w:rPr>
          <w:rFonts w:ascii="Arial" w:hAnsi="Arial" w:cs="Arial"/>
        </w:rPr>
        <w:t xml:space="preserve">, </w:t>
      </w:r>
      <w:r>
        <w:rPr>
          <w:rFonts w:ascii="Arial" w:hAnsi="Arial" w:cs="Arial"/>
        </w:rPr>
        <w:t>Joint Contract Tribunals (</w:t>
      </w:r>
      <w:r w:rsidR="007B080C">
        <w:rPr>
          <w:rFonts w:ascii="Arial" w:hAnsi="Arial" w:cs="Arial"/>
        </w:rPr>
        <w:t>JCT</w:t>
      </w:r>
      <w:r>
        <w:rPr>
          <w:rFonts w:ascii="Arial" w:hAnsi="Arial" w:cs="Arial"/>
        </w:rPr>
        <w:t>)</w:t>
      </w:r>
      <w:r w:rsidR="009354F3">
        <w:rPr>
          <w:rFonts w:ascii="Arial" w:hAnsi="Arial" w:cs="Arial"/>
        </w:rPr>
        <w:t xml:space="preserve"> and </w:t>
      </w:r>
      <w:r>
        <w:rPr>
          <w:rFonts w:ascii="Arial" w:hAnsi="Arial" w:cs="Arial"/>
        </w:rPr>
        <w:t>New Engineering Contract (</w:t>
      </w:r>
      <w:r w:rsidR="008A2105">
        <w:rPr>
          <w:rFonts w:ascii="Arial" w:hAnsi="Arial" w:cs="Arial"/>
        </w:rPr>
        <w:t>NEC</w:t>
      </w:r>
      <w:r>
        <w:rPr>
          <w:rFonts w:ascii="Arial" w:hAnsi="Arial" w:cs="Arial"/>
        </w:rPr>
        <w:t>)</w:t>
      </w:r>
      <w:r w:rsidR="007B080C">
        <w:rPr>
          <w:rFonts w:ascii="Arial" w:hAnsi="Arial" w:cs="Arial"/>
        </w:rPr>
        <w:t>.</w:t>
      </w:r>
    </w:p>
    <w:p w14:paraId="50DDB659" w14:textId="4A858317" w:rsidR="004D19E9" w:rsidRPr="0017330D" w:rsidRDefault="004D19E9" w:rsidP="0017330D">
      <w:pPr>
        <w:spacing w:after="120" w:line="240" w:lineRule="auto"/>
        <w:ind w:right="260"/>
        <w:rPr>
          <w:rFonts w:ascii="Arial" w:hAnsi="Arial" w:cs="Arial"/>
        </w:rPr>
      </w:pPr>
    </w:p>
    <w:p w14:paraId="06E95812" w14:textId="43E9F097" w:rsidR="001451ED" w:rsidRPr="00076460" w:rsidRDefault="001451ED" w:rsidP="001451ED">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r>
      <w:r w:rsidRPr="00076460">
        <w:rPr>
          <w:rFonts w:ascii="Arial" w:hAnsi="Arial" w:cs="Arial"/>
        </w:rPr>
        <w:t>On successf</w:t>
      </w:r>
      <w:r w:rsidR="007D6361" w:rsidRPr="00076460">
        <w:rPr>
          <w:rFonts w:ascii="Arial" w:hAnsi="Arial" w:cs="Arial"/>
        </w:rPr>
        <w:t>ully</w:t>
      </w:r>
      <w:r w:rsidRPr="00076460">
        <w:rPr>
          <w:rFonts w:ascii="Arial" w:hAnsi="Arial" w:cs="Arial"/>
        </w:rPr>
        <w:t xml:space="preserve"> completing the module students will be able to:</w:t>
      </w:r>
    </w:p>
    <w:p w14:paraId="745B7917" w14:textId="68830024" w:rsidR="00546210" w:rsidRDefault="00566271" w:rsidP="00546210">
      <w:pPr>
        <w:pStyle w:val="ListParagraph"/>
        <w:numPr>
          <w:ilvl w:val="0"/>
          <w:numId w:val="19"/>
        </w:numPr>
        <w:spacing w:after="120" w:line="240" w:lineRule="auto"/>
        <w:ind w:right="260"/>
        <w:rPr>
          <w:rFonts w:ascii="Arial" w:hAnsi="Arial" w:cs="Arial"/>
        </w:rPr>
      </w:pPr>
      <w:r>
        <w:rPr>
          <w:rFonts w:ascii="Arial" w:hAnsi="Arial" w:cs="Arial"/>
        </w:rPr>
        <w:t>Engage in in-</w:t>
      </w:r>
      <w:r w:rsidR="00546210">
        <w:rPr>
          <w:rFonts w:ascii="Arial" w:hAnsi="Arial" w:cs="Arial"/>
        </w:rPr>
        <w:t xml:space="preserve">depth research </w:t>
      </w:r>
    </w:p>
    <w:p w14:paraId="6ECD913B" w14:textId="037F9D75" w:rsidR="00546210" w:rsidRDefault="00076460" w:rsidP="00546210">
      <w:pPr>
        <w:pStyle w:val="ListParagraph"/>
        <w:numPr>
          <w:ilvl w:val="0"/>
          <w:numId w:val="19"/>
        </w:numPr>
        <w:spacing w:after="120" w:line="240" w:lineRule="auto"/>
        <w:ind w:right="260"/>
        <w:rPr>
          <w:rFonts w:ascii="Arial" w:hAnsi="Arial" w:cs="Arial"/>
        </w:rPr>
      </w:pPr>
      <w:r>
        <w:rPr>
          <w:rFonts w:ascii="Arial" w:hAnsi="Arial" w:cs="Arial"/>
        </w:rPr>
        <w:t>S</w:t>
      </w:r>
      <w:r w:rsidR="00546210">
        <w:rPr>
          <w:rFonts w:ascii="Arial" w:hAnsi="Arial" w:cs="Arial"/>
        </w:rPr>
        <w:t>ynthesise complex information</w:t>
      </w:r>
    </w:p>
    <w:p w14:paraId="3B972FD3" w14:textId="0B3057FF" w:rsidR="00546210" w:rsidRDefault="00076460" w:rsidP="00546210">
      <w:pPr>
        <w:pStyle w:val="ListParagraph"/>
        <w:numPr>
          <w:ilvl w:val="0"/>
          <w:numId w:val="19"/>
        </w:numPr>
        <w:spacing w:after="120" w:line="240" w:lineRule="auto"/>
        <w:ind w:right="260"/>
        <w:rPr>
          <w:rFonts w:ascii="Arial" w:hAnsi="Arial" w:cs="Arial"/>
        </w:rPr>
      </w:pPr>
      <w:r>
        <w:rPr>
          <w:rFonts w:ascii="Arial" w:hAnsi="Arial" w:cs="Arial"/>
        </w:rPr>
        <w:t>U</w:t>
      </w:r>
      <w:r w:rsidR="00546210">
        <w:rPr>
          <w:rFonts w:ascii="Arial" w:hAnsi="Arial" w:cs="Arial"/>
        </w:rPr>
        <w:t xml:space="preserve">se comparative analysis </w:t>
      </w:r>
    </w:p>
    <w:p w14:paraId="5C1AE7E3" w14:textId="77777777" w:rsidR="00546210" w:rsidRDefault="00546210" w:rsidP="00546210">
      <w:pPr>
        <w:pStyle w:val="ListParagraph"/>
        <w:numPr>
          <w:ilvl w:val="0"/>
          <w:numId w:val="19"/>
        </w:numPr>
        <w:spacing w:after="120" w:line="240" w:lineRule="auto"/>
        <w:ind w:right="260"/>
        <w:rPr>
          <w:rFonts w:ascii="Arial" w:hAnsi="Arial" w:cs="Arial"/>
        </w:rPr>
      </w:pPr>
      <w:r>
        <w:rPr>
          <w:rFonts w:ascii="Arial" w:hAnsi="Arial" w:cs="Arial"/>
        </w:rPr>
        <w:t>Evaluate information and make judgements</w:t>
      </w:r>
    </w:p>
    <w:p w14:paraId="060F5C85" w14:textId="2BC16255" w:rsidR="00546210" w:rsidRPr="00546210" w:rsidRDefault="00546210" w:rsidP="00546210">
      <w:pPr>
        <w:pStyle w:val="ListParagraph"/>
        <w:numPr>
          <w:ilvl w:val="0"/>
          <w:numId w:val="19"/>
        </w:numPr>
        <w:spacing w:after="120" w:line="240" w:lineRule="auto"/>
        <w:ind w:right="260"/>
        <w:rPr>
          <w:rFonts w:ascii="Arial" w:hAnsi="Arial" w:cs="Arial"/>
        </w:rPr>
      </w:pPr>
      <w:r>
        <w:rPr>
          <w:rFonts w:ascii="Arial" w:hAnsi="Arial" w:cs="Arial"/>
        </w:rPr>
        <w:t xml:space="preserve">Comprehend and apply complex ideas and information </w:t>
      </w:r>
    </w:p>
    <w:p w14:paraId="6F831AFB" w14:textId="428B53FC" w:rsidR="00F532F7" w:rsidRPr="00103868" w:rsidRDefault="00F532F7" w:rsidP="00103868">
      <w:pPr>
        <w:spacing w:after="120" w:line="240" w:lineRule="auto"/>
        <w:ind w:right="260"/>
        <w:rPr>
          <w:rFonts w:ascii="Arial" w:hAnsi="Arial" w:cs="Arial"/>
          <w:b/>
        </w:rPr>
      </w:pPr>
    </w:p>
    <w:p w14:paraId="0CBBC96E" w14:textId="6C2C4FDC" w:rsidR="009A2D37" w:rsidRPr="00B737C1" w:rsidRDefault="00B737C1" w:rsidP="00B737C1">
      <w:pPr>
        <w:pStyle w:val="ListParagraph"/>
        <w:numPr>
          <w:ilvl w:val="0"/>
          <w:numId w:val="1"/>
        </w:numPr>
        <w:autoSpaceDE w:val="0"/>
        <w:autoSpaceDN w:val="0"/>
        <w:adjustRightInd w:val="0"/>
        <w:spacing w:before="60" w:after="60" w:line="240" w:lineRule="auto"/>
        <w:jc w:val="both"/>
        <w:rPr>
          <w:rFonts w:ascii="Arial" w:hAnsi="Arial" w:cs="Arial"/>
        </w:rPr>
      </w:pPr>
      <w:r>
        <w:rPr>
          <w:rFonts w:ascii="Arial" w:hAnsi="Arial" w:cs="Arial"/>
          <w:b/>
        </w:rPr>
        <w:t xml:space="preserve">   </w:t>
      </w:r>
      <w:r w:rsidR="001451ED" w:rsidRPr="00B737C1">
        <w:rPr>
          <w:rFonts w:ascii="Arial" w:hAnsi="Arial" w:cs="Arial"/>
          <w:b/>
        </w:rPr>
        <w:t xml:space="preserve"> </w:t>
      </w:r>
      <w:r w:rsidR="009A2D37" w:rsidRPr="00B737C1">
        <w:rPr>
          <w:rFonts w:ascii="Arial" w:hAnsi="Arial" w:cs="Arial"/>
          <w:b/>
        </w:rPr>
        <w:t>A synopsis of the curriculum</w:t>
      </w:r>
    </w:p>
    <w:p w14:paraId="37B0E90A" w14:textId="7A078603" w:rsidR="00660EDE" w:rsidRDefault="00546210" w:rsidP="001F4ECC">
      <w:pPr>
        <w:spacing w:after="120" w:line="240" w:lineRule="auto"/>
        <w:ind w:left="567" w:right="827"/>
        <w:jc w:val="both"/>
        <w:rPr>
          <w:rFonts w:ascii="Arial" w:hAnsi="Arial" w:cs="Arial"/>
          <w:iCs/>
        </w:rPr>
      </w:pPr>
      <w:r>
        <w:rPr>
          <w:rFonts w:ascii="Arial" w:hAnsi="Arial" w:cs="Arial"/>
          <w:iCs/>
        </w:rPr>
        <w:t>This module dev</w:t>
      </w:r>
      <w:r w:rsidR="0095185A">
        <w:rPr>
          <w:rFonts w:ascii="Arial" w:hAnsi="Arial" w:cs="Arial"/>
          <w:iCs/>
        </w:rPr>
        <w:t xml:space="preserve">elops an </w:t>
      </w:r>
      <w:r>
        <w:rPr>
          <w:rFonts w:ascii="Arial" w:hAnsi="Arial" w:cs="Arial"/>
          <w:iCs/>
        </w:rPr>
        <w:t>understanding of the role and importance of contract within the construction industry. It considers the role of contract as a pre-condition for the creation of buildings that meet the needs of clients and users. It considers how the contractual framework provides opportunities to apportion risk and consider where contracts are currently most likely to be effective and wh</w:t>
      </w:r>
      <w:r w:rsidR="0095185A">
        <w:rPr>
          <w:rFonts w:ascii="Arial" w:hAnsi="Arial" w:cs="Arial"/>
          <w:iCs/>
        </w:rPr>
        <w:t>ere most risks are likely to be located.</w:t>
      </w:r>
      <w:r>
        <w:rPr>
          <w:rFonts w:ascii="Arial" w:hAnsi="Arial" w:cs="Arial"/>
          <w:iCs/>
        </w:rPr>
        <w:t xml:space="preserve"> The use of </w:t>
      </w:r>
      <w:r w:rsidR="00076460">
        <w:rPr>
          <w:rFonts w:ascii="Arial" w:hAnsi="Arial" w:cs="Arial"/>
          <w:iCs/>
        </w:rPr>
        <w:t>Building Information Modelling (</w:t>
      </w:r>
      <w:r>
        <w:rPr>
          <w:rFonts w:ascii="Arial" w:hAnsi="Arial" w:cs="Arial"/>
          <w:iCs/>
        </w:rPr>
        <w:t>BIM</w:t>
      </w:r>
      <w:r w:rsidR="00076460">
        <w:rPr>
          <w:rFonts w:ascii="Arial" w:hAnsi="Arial" w:cs="Arial"/>
          <w:iCs/>
        </w:rPr>
        <w:t>)</w:t>
      </w:r>
      <w:r>
        <w:rPr>
          <w:rFonts w:ascii="Arial" w:hAnsi="Arial" w:cs="Arial"/>
          <w:iCs/>
        </w:rPr>
        <w:t xml:space="preserve"> is increasingly prevalent, and this is considered from a contractual perspective exploring the implications for contracts and intellectual property rights. The module also </w:t>
      </w:r>
      <w:r>
        <w:rPr>
          <w:rFonts w:ascii="Arial" w:hAnsi="Arial" w:cs="Arial"/>
          <w:iCs/>
        </w:rPr>
        <w:lastRenderedPageBreak/>
        <w:t xml:space="preserve">explores the current frameworks for contracts and looks at the most used </w:t>
      </w:r>
      <w:r w:rsidR="00324267">
        <w:rPr>
          <w:rFonts w:ascii="Arial" w:hAnsi="Arial" w:cs="Arial"/>
          <w:iCs/>
        </w:rPr>
        <w:t>frameworks for</w:t>
      </w:r>
      <w:r>
        <w:rPr>
          <w:rFonts w:ascii="Arial" w:hAnsi="Arial" w:cs="Arial"/>
          <w:iCs/>
        </w:rPr>
        <w:t xml:space="preserve"> appointment and contract.</w:t>
      </w:r>
    </w:p>
    <w:p w14:paraId="6546C29C" w14:textId="18B90EE8" w:rsidR="001451ED" w:rsidRPr="00546210" w:rsidRDefault="001451ED" w:rsidP="00546210">
      <w:pPr>
        <w:spacing w:after="120" w:line="240" w:lineRule="auto"/>
        <w:ind w:right="260"/>
        <w:jc w:val="both"/>
        <w:rPr>
          <w:rFonts w:ascii="Arial" w:hAnsi="Arial" w:cs="Arial"/>
          <w:b/>
        </w:rPr>
      </w:pPr>
    </w:p>
    <w:p w14:paraId="2E50244A" w14:textId="3579F96B" w:rsidR="007D4B16" w:rsidRPr="00B737C1" w:rsidRDefault="00883204" w:rsidP="00460BF4">
      <w:pPr>
        <w:pStyle w:val="ListParagraph"/>
        <w:numPr>
          <w:ilvl w:val="0"/>
          <w:numId w:val="1"/>
        </w:numPr>
        <w:spacing w:after="120" w:line="240" w:lineRule="auto"/>
        <w:ind w:right="260"/>
        <w:jc w:val="both"/>
        <w:rPr>
          <w:rFonts w:ascii="Arial" w:hAnsi="Arial" w:cs="Arial"/>
          <w:b/>
        </w:rPr>
      </w:pPr>
      <w:r w:rsidRPr="00B737C1">
        <w:rPr>
          <w:rFonts w:ascii="Arial" w:hAnsi="Arial" w:cs="Arial"/>
          <w:b/>
        </w:rPr>
        <w:t>Reading l</w:t>
      </w:r>
      <w:r w:rsidR="009A2D37" w:rsidRPr="00B737C1">
        <w:rPr>
          <w:rFonts w:ascii="Arial" w:hAnsi="Arial" w:cs="Arial"/>
          <w:b/>
        </w:rPr>
        <w:t xml:space="preserve">ist </w:t>
      </w:r>
      <w:r w:rsidR="00274ED7" w:rsidRPr="00B737C1">
        <w:rPr>
          <w:rFonts w:ascii="Arial" w:hAnsi="Arial" w:cs="Arial"/>
          <w:b/>
        </w:rPr>
        <w:t>(Indicative list, current at time of publication. Reading lists will be published annually)</w:t>
      </w:r>
    </w:p>
    <w:p w14:paraId="661BB413" w14:textId="1A1CADB1" w:rsidR="007D4B16" w:rsidRPr="00B737C1" w:rsidRDefault="00096B51" w:rsidP="00096B51">
      <w:pPr>
        <w:spacing w:after="100" w:afterAutospacing="1"/>
        <w:ind w:firstLine="360"/>
        <w:contextualSpacing/>
        <w:outlineLvl w:val="0"/>
        <w:rPr>
          <w:rFonts w:ascii="Arial" w:eastAsia="Times New Roman" w:hAnsi="Arial" w:cs="Arial"/>
          <w:bCs/>
          <w:i/>
          <w:kern w:val="36"/>
        </w:rPr>
      </w:pPr>
      <w:r w:rsidRPr="00096B51">
        <w:rPr>
          <w:rFonts w:ascii="Arial" w:eastAsia="Times New Roman" w:hAnsi="Arial" w:cs="Arial"/>
          <w:bCs/>
          <w:kern w:val="36"/>
        </w:rPr>
        <w:t>D, Chappell.</w:t>
      </w:r>
      <w:r>
        <w:rPr>
          <w:rFonts w:ascii="Arial" w:eastAsia="Times New Roman" w:hAnsi="Arial" w:cs="Arial"/>
          <w:bCs/>
          <w:i/>
          <w:kern w:val="36"/>
        </w:rPr>
        <w:t xml:space="preserve"> </w:t>
      </w:r>
      <w:r w:rsidR="007D4B16" w:rsidRPr="00B737C1">
        <w:rPr>
          <w:rFonts w:ascii="Arial" w:eastAsia="Times New Roman" w:hAnsi="Arial" w:cs="Arial"/>
          <w:bCs/>
          <w:i/>
          <w:kern w:val="36"/>
        </w:rPr>
        <w:t>Construction Contracts</w:t>
      </w:r>
      <w:r>
        <w:rPr>
          <w:rFonts w:ascii="Arial" w:eastAsia="Times New Roman" w:hAnsi="Arial" w:cs="Arial"/>
          <w:bCs/>
          <w:i/>
          <w:kern w:val="36"/>
        </w:rPr>
        <w:t>.</w:t>
      </w:r>
      <w:r w:rsidR="00B737C1">
        <w:rPr>
          <w:rFonts w:ascii="Arial" w:hAnsi="Arial" w:cs="Arial"/>
          <w:bCs/>
        </w:rPr>
        <w:t xml:space="preserve"> </w:t>
      </w:r>
      <w:r w:rsidR="007D4B16" w:rsidRPr="00B737C1">
        <w:rPr>
          <w:rFonts w:ascii="Arial" w:hAnsi="Arial" w:cs="Arial"/>
          <w:bCs/>
        </w:rPr>
        <w:t>Pu</w:t>
      </w:r>
      <w:r w:rsidR="00B737C1">
        <w:rPr>
          <w:rFonts w:ascii="Arial" w:hAnsi="Arial" w:cs="Arial"/>
          <w:bCs/>
        </w:rPr>
        <w:t>b</w:t>
      </w:r>
      <w:r w:rsidR="007D4B16" w:rsidRPr="00B737C1">
        <w:rPr>
          <w:rFonts w:ascii="Arial" w:hAnsi="Arial" w:cs="Arial"/>
          <w:bCs/>
        </w:rPr>
        <w:t>lisher:</w:t>
      </w:r>
      <w:r w:rsidR="007D4B16" w:rsidRPr="00B737C1">
        <w:rPr>
          <w:rFonts w:ascii="Arial" w:hAnsi="Arial" w:cs="Arial"/>
        </w:rPr>
        <w:t xml:space="preserve"> Routledge; 3 edition (23 Mar. 2015)</w:t>
      </w:r>
    </w:p>
    <w:p w14:paraId="5FF30D4E" w14:textId="2AF9BB7D" w:rsidR="007D4B16" w:rsidRPr="00B737C1" w:rsidRDefault="00B737C1" w:rsidP="00096B51">
      <w:pPr>
        <w:spacing w:after="100" w:afterAutospacing="1"/>
        <w:contextualSpacing/>
        <w:outlineLvl w:val="0"/>
        <w:rPr>
          <w:rFonts w:ascii="Arial" w:hAnsi="Arial" w:cs="Arial"/>
        </w:rPr>
      </w:pPr>
      <w:r>
        <w:rPr>
          <w:rFonts w:ascii="Arial" w:eastAsia="Times New Roman" w:hAnsi="Arial" w:cs="Arial"/>
          <w:bCs/>
          <w:i/>
          <w:kern w:val="36"/>
        </w:rPr>
        <w:t xml:space="preserve">      </w:t>
      </w:r>
      <w:r w:rsidR="00096B51">
        <w:rPr>
          <w:rFonts w:ascii="Arial" w:eastAsia="Times New Roman" w:hAnsi="Arial" w:cs="Arial"/>
          <w:bCs/>
          <w:kern w:val="36"/>
        </w:rPr>
        <w:t>J,</w:t>
      </w:r>
      <w:r w:rsidR="00096B51" w:rsidRPr="00096B51">
        <w:rPr>
          <w:rFonts w:ascii="Arial" w:eastAsia="Times New Roman" w:hAnsi="Arial" w:cs="Arial"/>
          <w:bCs/>
          <w:kern w:val="36"/>
        </w:rPr>
        <w:t xml:space="preserve"> </w:t>
      </w:r>
      <w:proofErr w:type="spellStart"/>
      <w:r w:rsidR="00096B51" w:rsidRPr="00096B51">
        <w:rPr>
          <w:rFonts w:ascii="Arial" w:eastAsia="Times New Roman" w:hAnsi="Arial" w:cs="Arial"/>
          <w:bCs/>
          <w:kern w:val="36"/>
        </w:rPr>
        <w:t>Adriaanse</w:t>
      </w:r>
      <w:proofErr w:type="spellEnd"/>
      <w:r w:rsidR="00096B51">
        <w:rPr>
          <w:rFonts w:ascii="Arial" w:eastAsia="Times New Roman" w:hAnsi="Arial" w:cs="Arial"/>
          <w:bCs/>
          <w:i/>
          <w:kern w:val="36"/>
        </w:rPr>
        <w:t xml:space="preserve">. </w:t>
      </w:r>
      <w:r w:rsidR="007D4B16" w:rsidRPr="00B737C1">
        <w:rPr>
          <w:rFonts w:ascii="Arial" w:eastAsia="Times New Roman" w:hAnsi="Arial" w:cs="Arial"/>
          <w:bCs/>
          <w:i/>
          <w:kern w:val="36"/>
        </w:rPr>
        <w:t>Construction Contract Law</w:t>
      </w:r>
      <w:r w:rsidR="00096B51">
        <w:rPr>
          <w:rFonts w:ascii="Arial" w:eastAsia="Times New Roman" w:hAnsi="Arial" w:cs="Arial"/>
          <w:bCs/>
          <w:i/>
          <w:kern w:val="36"/>
        </w:rPr>
        <w:t>.</w:t>
      </w:r>
      <w:r>
        <w:rPr>
          <w:rFonts w:ascii="Arial" w:hAnsi="Arial" w:cs="Arial"/>
          <w:bCs/>
        </w:rPr>
        <w:t xml:space="preserve"> </w:t>
      </w:r>
      <w:r w:rsidR="007D4B16" w:rsidRPr="00B737C1">
        <w:rPr>
          <w:rFonts w:ascii="Arial" w:hAnsi="Arial" w:cs="Arial"/>
          <w:bCs/>
        </w:rPr>
        <w:t>Publisher:</w:t>
      </w:r>
      <w:r w:rsidR="007D4B16" w:rsidRPr="00B737C1">
        <w:rPr>
          <w:rFonts w:ascii="Arial" w:hAnsi="Arial" w:cs="Arial"/>
        </w:rPr>
        <w:t xml:space="preserve"> Palgrave; 4th ed. 2017 edition (17 Aug. 2016)</w:t>
      </w:r>
    </w:p>
    <w:p w14:paraId="5AC3A460" w14:textId="75606368" w:rsidR="007D4B16" w:rsidRPr="00B737C1" w:rsidRDefault="00B737C1" w:rsidP="00096B51">
      <w:pPr>
        <w:spacing w:after="100" w:afterAutospacing="1"/>
        <w:contextualSpacing/>
        <w:outlineLvl w:val="0"/>
        <w:rPr>
          <w:rFonts w:ascii="Arial" w:eastAsia="Times New Roman" w:hAnsi="Arial" w:cs="Arial"/>
          <w:bCs/>
          <w:kern w:val="36"/>
        </w:rPr>
      </w:pPr>
      <w:r>
        <w:rPr>
          <w:rFonts w:ascii="Arial" w:eastAsia="Times New Roman" w:hAnsi="Arial" w:cs="Arial"/>
          <w:bCs/>
          <w:i/>
          <w:kern w:val="36"/>
        </w:rPr>
        <w:t xml:space="preserve">      </w:t>
      </w:r>
      <w:r w:rsidR="00096B51" w:rsidRPr="00096B51">
        <w:rPr>
          <w:rFonts w:ascii="Arial" w:eastAsia="Times New Roman" w:hAnsi="Arial" w:cs="Arial"/>
          <w:bCs/>
          <w:kern w:val="36"/>
        </w:rPr>
        <w:t>J, Mason</w:t>
      </w:r>
      <w:r w:rsidR="00096B51">
        <w:rPr>
          <w:rFonts w:ascii="Arial" w:eastAsia="Times New Roman" w:hAnsi="Arial" w:cs="Arial"/>
          <w:bCs/>
          <w:i/>
          <w:kern w:val="36"/>
        </w:rPr>
        <w:t xml:space="preserve">. </w:t>
      </w:r>
      <w:r w:rsidR="007D4B16" w:rsidRPr="00B737C1">
        <w:rPr>
          <w:rFonts w:ascii="Arial" w:eastAsia="Times New Roman" w:hAnsi="Arial" w:cs="Arial"/>
          <w:bCs/>
          <w:i/>
          <w:kern w:val="36"/>
        </w:rPr>
        <w:t>Construction Law</w:t>
      </w:r>
      <w:r w:rsidR="00096B51">
        <w:rPr>
          <w:rFonts w:ascii="Arial" w:eastAsia="Times New Roman" w:hAnsi="Arial" w:cs="Arial"/>
          <w:bCs/>
          <w:i/>
          <w:kern w:val="36"/>
        </w:rPr>
        <w:t>.</w:t>
      </w:r>
      <w:r>
        <w:rPr>
          <w:rFonts w:ascii="Arial" w:hAnsi="Arial" w:cs="Arial"/>
          <w:bCs/>
        </w:rPr>
        <w:t xml:space="preserve"> </w:t>
      </w:r>
      <w:r w:rsidR="007D4B16" w:rsidRPr="00B737C1">
        <w:rPr>
          <w:rFonts w:ascii="Arial" w:hAnsi="Arial" w:cs="Arial"/>
          <w:bCs/>
        </w:rPr>
        <w:t>Publisher:</w:t>
      </w:r>
      <w:r w:rsidR="007D4B16" w:rsidRPr="00B737C1">
        <w:rPr>
          <w:rFonts w:ascii="Arial" w:hAnsi="Arial" w:cs="Arial"/>
        </w:rPr>
        <w:t xml:space="preserve"> Routledge; 1 edition (18 April 2016)</w:t>
      </w:r>
    </w:p>
    <w:p w14:paraId="530E6DEF" w14:textId="5D1088E8" w:rsidR="007D4B16" w:rsidRPr="00B737C1" w:rsidRDefault="00096B51" w:rsidP="00096B51">
      <w:pPr>
        <w:spacing w:after="100" w:afterAutospacing="1"/>
        <w:ind w:left="397"/>
        <w:contextualSpacing/>
        <w:outlineLvl w:val="0"/>
        <w:rPr>
          <w:rFonts w:ascii="Arial" w:hAnsi="Arial" w:cs="Arial"/>
        </w:rPr>
      </w:pPr>
      <w:r w:rsidRPr="00096B51">
        <w:rPr>
          <w:rFonts w:ascii="Arial" w:eastAsia="Times New Roman" w:hAnsi="Arial" w:cs="Arial"/>
          <w:bCs/>
          <w:kern w:val="36"/>
        </w:rPr>
        <w:t>A, Atkinson</w:t>
      </w:r>
      <w:r>
        <w:rPr>
          <w:rFonts w:ascii="Arial" w:eastAsia="Times New Roman" w:hAnsi="Arial" w:cs="Arial"/>
          <w:bCs/>
          <w:i/>
          <w:kern w:val="36"/>
        </w:rPr>
        <w:t xml:space="preserve">. </w:t>
      </w:r>
      <w:r w:rsidR="007D4B16" w:rsidRPr="00B737C1">
        <w:rPr>
          <w:rFonts w:ascii="Arial" w:eastAsia="Times New Roman" w:hAnsi="Arial" w:cs="Arial"/>
          <w:bCs/>
          <w:i/>
          <w:kern w:val="36"/>
        </w:rPr>
        <w:t>JCT Contract Administration Pocket Book</w:t>
      </w:r>
      <w:r w:rsidR="007D4B16" w:rsidRPr="00B737C1">
        <w:rPr>
          <w:rFonts w:ascii="Arial" w:eastAsia="Times New Roman" w:hAnsi="Arial" w:cs="Arial"/>
          <w:bCs/>
          <w:kern w:val="36"/>
        </w:rPr>
        <w:t xml:space="preserve"> (Routledge Pocket Books)</w:t>
      </w:r>
      <w:r>
        <w:rPr>
          <w:rFonts w:ascii="Arial" w:eastAsia="Times New Roman" w:hAnsi="Arial" w:cs="Arial"/>
          <w:bCs/>
          <w:kern w:val="36"/>
        </w:rPr>
        <w:t>.</w:t>
      </w:r>
      <w:r w:rsidR="007D4B16" w:rsidRPr="00B737C1">
        <w:rPr>
          <w:rFonts w:ascii="Arial" w:hAnsi="Arial" w:cs="Arial"/>
          <w:bCs/>
        </w:rPr>
        <w:t>Publisher:</w:t>
      </w:r>
      <w:r w:rsidR="007D4B16" w:rsidRPr="00B737C1">
        <w:rPr>
          <w:rFonts w:ascii="Arial" w:hAnsi="Arial" w:cs="Arial"/>
        </w:rPr>
        <w:t xml:space="preserve"> </w:t>
      </w:r>
      <w:r>
        <w:rPr>
          <w:rFonts w:ascii="Arial" w:hAnsi="Arial" w:cs="Arial"/>
        </w:rPr>
        <w:t xml:space="preserve">     </w:t>
      </w:r>
      <w:r w:rsidR="007D4B16" w:rsidRPr="00B737C1">
        <w:rPr>
          <w:rFonts w:ascii="Arial" w:hAnsi="Arial" w:cs="Arial"/>
        </w:rPr>
        <w:t>Routledge</w:t>
      </w:r>
      <w:r w:rsidRPr="00B737C1">
        <w:rPr>
          <w:rFonts w:ascii="Arial" w:hAnsi="Arial" w:cs="Arial"/>
        </w:rPr>
        <w:t xml:space="preserve">; </w:t>
      </w:r>
      <w:r>
        <w:rPr>
          <w:rFonts w:ascii="Arial" w:hAnsi="Arial" w:cs="Arial"/>
        </w:rPr>
        <w:t>1</w:t>
      </w:r>
      <w:r w:rsidR="007D4B16" w:rsidRPr="00B737C1">
        <w:rPr>
          <w:rFonts w:ascii="Arial" w:hAnsi="Arial" w:cs="Arial"/>
        </w:rPr>
        <w:t xml:space="preserve"> edition (12 Jun. 2015)</w:t>
      </w:r>
    </w:p>
    <w:p w14:paraId="1415626C" w14:textId="77777777" w:rsidR="007D4B16" w:rsidRPr="007D4B16" w:rsidRDefault="007D4B16" w:rsidP="007D4B16">
      <w:pPr>
        <w:spacing w:after="120" w:line="240" w:lineRule="auto"/>
        <w:ind w:right="260"/>
        <w:jc w:val="both"/>
        <w:rPr>
          <w:rFonts w:ascii="Arial" w:hAnsi="Arial" w:cs="Arial"/>
          <w:b/>
        </w:rPr>
      </w:pPr>
    </w:p>
    <w:p w14:paraId="6885B20E" w14:textId="77777777" w:rsidR="00883204" w:rsidRPr="00883204" w:rsidRDefault="009A2D37" w:rsidP="001451ED">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041116" w14:textId="77777777" w:rsidR="00B737C1" w:rsidRDefault="00EC5335" w:rsidP="00B737C1">
      <w:pPr>
        <w:spacing w:after="120" w:line="240" w:lineRule="auto"/>
        <w:ind w:left="360" w:right="260"/>
        <w:rPr>
          <w:rFonts w:ascii="Arial" w:eastAsia="Times New Roman" w:hAnsi="Arial" w:cs="Arial"/>
          <w:color w:val="000000"/>
          <w:lang w:eastAsia="en-US"/>
        </w:rPr>
      </w:pPr>
      <w:r w:rsidRPr="00B737C1">
        <w:rPr>
          <w:rFonts w:ascii="Arial" w:eastAsia="Times New Roman" w:hAnsi="Arial" w:cs="Arial"/>
          <w:color w:val="000000"/>
          <w:lang w:eastAsia="en-US"/>
        </w:rPr>
        <w:t>The total study time for this module is 150 hours incorporating online e-learning, work-based experience and private study.</w:t>
      </w:r>
    </w:p>
    <w:p w14:paraId="50776CD3" w14:textId="17110556" w:rsidR="00B737C1" w:rsidRDefault="00EC5335" w:rsidP="00B737C1">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 xml:space="preserve">Teaching is delivered as a </w:t>
      </w:r>
      <w:r w:rsidR="009C396D">
        <w:rPr>
          <w:rFonts w:ascii="Arial" w:eastAsia="Times New Roman" w:hAnsi="Arial" w:cs="Arial"/>
          <w:color w:val="000000"/>
          <w:lang w:eastAsia="en-US"/>
        </w:rPr>
        <w:t xml:space="preserve">distance </w:t>
      </w:r>
      <w:r w:rsidRPr="00A12D1A">
        <w:rPr>
          <w:rFonts w:ascii="Arial" w:eastAsia="Times New Roman" w:hAnsi="Arial" w:cs="Arial"/>
          <w:color w:val="000000"/>
          <w:lang w:eastAsia="en-US"/>
        </w:rPr>
        <w:t>le</w:t>
      </w:r>
      <w:r w:rsidR="00076460">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2FD81256" w14:textId="77777777" w:rsidR="00B737C1" w:rsidRDefault="00EC5335" w:rsidP="00B737C1">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2B0628F2" w14:textId="59871FB4" w:rsidR="00EC5335" w:rsidRPr="00A12D1A" w:rsidRDefault="00EC5335" w:rsidP="00B737C1">
      <w:pPr>
        <w:spacing w:after="120" w:line="240" w:lineRule="auto"/>
        <w:ind w:left="360"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302A5D0" w:rsidR="00883204" w:rsidRPr="008D71E5" w:rsidRDefault="00EF4933" w:rsidP="001451ED">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277B12E1" w14:textId="7EC13145" w:rsidR="00076460" w:rsidRPr="00076460" w:rsidRDefault="00076460" w:rsidP="00076460">
      <w:pPr>
        <w:pStyle w:val="ListParagraph"/>
        <w:numPr>
          <w:ilvl w:val="0"/>
          <w:numId w:val="21"/>
        </w:numPr>
        <w:spacing w:after="120"/>
        <w:rPr>
          <w:rFonts w:ascii="Arial" w:hAnsi="Arial" w:cs="Arial"/>
          <w:iCs/>
        </w:rPr>
      </w:pPr>
      <w:r>
        <w:rPr>
          <w:rFonts w:ascii="Arial" w:hAnsi="Arial" w:cs="Arial"/>
          <w:iCs/>
        </w:rPr>
        <w:t>Main assessments:</w:t>
      </w:r>
    </w:p>
    <w:p w14:paraId="31B832EE" w14:textId="2938E0B5" w:rsidR="00AC7F3A" w:rsidRDefault="00324267" w:rsidP="00076460">
      <w:pPr>
        <w:spacing w:after="120"/>
        <w:ind w:firstLine="567"/>
        <w:rPr>
          <w:rFonts w:ascii="Arial" w:hAnsi="Arial" w:cs="Arial"/>
          <w:iCs/>
        </w:rPr>
      </w:pPr>
      <w:r>
        <w:rPr>
          <w:rFonts w:ascii="Arial" w:hAnsi="Arial" w:cs="Arial"/>
          <w:iCs/>
        </w:rPr>
        <w:t xml:space="preserve">Extended </w:t>
      </w:r>
      <w:r w:rsidR="00076460">
        <w:rPr>
          <w:rFonts w:ascii="Arial" w:hAnsi="Arial" w:cs="Arial"/>
          <w:iCs/>
        </w:rPr>
        <w:t xml:space="preserve">Written </w:t>
      </w:r>
      <w:r>
        <w:rPr>
          <w:rFonts w:ascii="Arial" w:hAnsi="Arial" w:cs="Arial"/>
          <w:iCs/>
        </w:rPr>
        <w:t>Report 100%</w:t>
      </w:r>
      <w:r w:rsidR="00076460">
        <w:rPr>
          <w:rFonts w:ascii="Arial" w:hAnsi="Arial" w:cs="Arial"/>
          <w:iCs/>
        </w:rPr>
        <w:t xml:space="preserve"> </w:t>
      </w:r>
      <w:r w:rsidR="009C396D">
        <w:rPr>
          <w:rFonts w:ascii="Arial" w:hAnsi="Arial" w:cs="Arial"/>
          <w:iCs/>
        </w:rPr>
        <w:t>- 4000 words</w:t>
      </w:r>
    </w:p>
    <w:p w14:paraId="26E9C9A3" w14:textId="77777777" w:rsidR="00076460" w:rsidRDefault="00076460" w:rsidP="00076460">
      <w:pPr>
        <w:spacing w:after="120"/>
        <w:ind w:firstLine="567"/>
        <w:rPr>
          <w:rFonts w:ascii="Arial" w:hAnsi="Arial" w:cs="Arial"/>
          <w:iCs/>
        </w:rPr>
      </w:pPr>
    </w:p>
    <w:p w14:paraId="70ECED81" w14:textId="354CCB24" w:rsidR="00696FF5" w:rsidRPr="00696FF5" w:rsidRDefault="00076460" w:rsidP="00AC7F3A">
      <w:pPr>
        <w:spacing w:after="120"/>
        <w:ind w:left="567" w:hanging="207"/>
        <w:rPr>
          <w:rFonts w:ascii="Arial" w:hAnsi="Arial" w:cs="Arial"/>
          <w:iCs/>
        </w:rPr>
      </w:pPr>
      <w:r>
        <w:rPr>
          <w:rFonts w:ascii="Arial" w:hAnsi="Arial" w:cs="Arial"/>
          <w:iCs/>
        </w:rPr>
        <w:t>B</w:t>
      </w:r>
      <w:r w:rsidR="00B737C1">
        <w:rPr>
          <w:rFonts w:ascii="Arial" w:hAnsi="Arial" w:cs="Arial"/>
          <w:iCs/>
        </w:rPr>
        <w:t>.</w:t>
      </w:r>
      <w:r w:rsidR="00AC7F3A">
        <w:rPr>
          <w:rFonts w:ascii="Arial" w:hAnsi="Arial" w:cs="Arial"/>
          <w:iCs/>
        </w:rPr>
        <w:t xml:space="preserve"> </w:t>
      </w:r>
      <w:r w:rsidR="00696FF5" w:rsidRPr="00696FF5">
        <w:rPr>
          <w:rFonts w:ascii="Arial" w:hAnsi="Arial" w:cs="Arial"/>
          <w:iCs/>
        </w:rPr>
        <w:t xml:space="preserve">Reassessment methods </w:t>
      </w:r>
    </w:p>
    <w:p w14:paraId="4C605C3B" w14:textId="3E8E2795" w:rsidR="00C57028" w:rsidRDefault="00B737C1" w:rsidP="00C57028">
      <w:pPr>
        <w:spacing w:after="120" w:line="240" w:lineRule="auto"/>
        <w:ind w:left="567" w:right="260"/>
        <w:jc w:val="both"/>
        <w:rPr>
          <w:rFonts w:ascii="Arial" w:hAnsi="Arial" w:cs="Arial"/>
          <w:iCs/>
        </w:rPr>
      </w:pPr>
      <w:r>
        <w:rPr>
          <w:rFonts w:ascii="Arial" w:hAnsi="Arial" w:cs="Arial"/>
          <w:iCs/>
        </w:rPr>
        <w:t xml:space="preserve"> </w:t>
      </w:r>
      <w:r w:rsidR="00951173" w:rsidRPr="00951173">
        <w:rPr>
          <w:rFonts w:ascii="Arial" w:hAnsi="Arial" w:cs="Arial"/>
          <w:iCs/>
        </w:rPr>
        <w:t>Like for like</w:t>
      </w:r>
    </w:p>
    <w:p w14:paraId="561F1796" w14:textId="77777777" w:rsidR="007D31B5" w:rsidRDefault="007D31B5" w:rsidP="001451ED">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pPr w:leftFromText="180" w:rightFromText="180" w:vertAnchor="text" w:horzAnchor="page" w:tblpX="1248" w:tblpY="187"/>
        <w:tblW w:w="9567" w:type="dxa"/>
        <w:tblLayout w:type="fixed"/>
        <w:tblLook w:val="04A0" w:firstRow="1" w:lastRow="0" w:firstColumn="1" w:lastColumn="0" w:noHBand="0" w:noVBand="1"/>
      </w:tblPr>
      <w:tblGrid>
        <w:gridCol w:w="2237"/>
        <w:gridCol w:w="733"/>
        <w:gridCol w:w="733"/>
        <w:gridCol w:w="733"/>
        <w:gridCol w:w="733"/>
        <w:gridCol w:w="733"/>
        <w:gridCol w:w="733"/>
        <w:gridCol w:w="733"/>
        <w:gridCol w:w="733"/>
        <w:gridCol w:w="733"/>
        <w:gridCol w:w="733"/>
      </w:tblGrid>
      <w:tr w:rsidR="00B737C1" w:rsidRPr="00302082" w14:paraId="7CBA04F7" w14:textId="77777777" w:rsidTr="000515CE">
        <w:trPr>
          <w:trHeight w:val="772"/>
        </w:trPr>
        <w:tc>
          <w:tcPr>
            <w:tcW w:w="2237" w:type="dxa"/>
            <w:shd w:val="clear" w:color="auto" w:fill="D9D9D9" w:themeFill="background1" w:themeFillShade="D9"/>
          </w:tcPr>
          <w:p w14:paraId="7F5592C1" w14:textId="77777777" w:rsidR="00B737C1" w:rsidRPr="006F3C3B" w:rsidRDefault="00B737C1" w:rsidP="00B737C1">
            <w:pPr>
              <w:spacing w:after="120"/>
              <w:ind w:left="33"/>
              <w:rPr>
                <w:rFonts w:ascii="Arial" w:hAnsi="Arial" w:cs="Arial"/>
                <w:b/>
                <w:sz w:val="20"/>
                <w:szCs w:val="20"/>
              </w:rPr>
            </w:pPr>
            <w:r w:rsidRPr="006F3C3B">
              <w:rPr>
                <w:rFonts w:ascii="Arial" w:hAnsi="Arial" w:cs="Arial"/>
                <w:b/>
                <w:sz w:val="20"/>
                <w:szCs w:val="20"/>
              </w:rPr>
              <w:t>Module learning outcome</w:t>
            </w:r>
          </w:p>
        </w:tc>
        <w:tc>
          <w:tcPr>
            <w:tcW w:w="733" w:type="dxa"/>
          </w:tcPr>
          <w:p w14:paraId="10EBEF6D" w14:textId="77777777" w:rsidR="00B737C1" w:rsidRPr="006F3C3B" w:rsidRDefault="00B737C1" w:rsidP="00B737C1">
            <w:pPr>
              <w:spacing w:after="120"/>
              <w:rPr>
                <w:rFonts w:ascii="Arial" w:hAnsi="Arial" w:cs="Arial"/>
                <w:i/>
                <w:sz w:val="20"/>
                <w:szCs w:val="20"/>
              </w:rPr>
            </w:pPr>
            <w:r w:rsidRPr="006F3C3B">
              <w:rPr>
                <w:rFonts w:ascii="Arial" w:hAnsi="Arial" w:cs="Arial"/>
                <w:i/>
                <w:sz w:val="20"/>
                <w:szCs w:val="20"/>
              </w:rPr>
              <w:t>8.1</w:t>
            </w:r>
          </w:p>
        </w:tc>
        <w:tc>
          <w:tcPr>
            <w:tcW w:w="733" w:type="dxa"/>
          </w:tcPr>
          <w:p w14:paraId="464CDF12" w14:textId="77777777" w:rsidR="00B737C1" w:rsidRPr="006F3C3B" w:rsidRDefault="00B737C1" w:rsidP="00B737C1">
            <w:pPr>
              <w:spacing w:after="120"/>
              <w:rPr>
                <w:rFonts w:ascii="Arial" w:hAnsi="Arial" w:cs="Arial"/>
                <w:i/>
                <w:sz w:val="20"/>
                <w:szCs w:val="20"/>
              </w:rPr>
            </w:pPr>
            <w:r w:rsidRPr="006F3C3B">
              <w:rPr>
                <w:rFonts w:ascii="Arial" w:hAnsi="Arial" w:cs="Arial"/>
                <w:i/>
                <w:sz w:val="20"/>
                <w:szCs w:val="20"/>
              </w:rPr>
              <w:t>8.2</w:t>
            </w:r>
          </w:p>
        </w:tc>
        <w:tc>
          <w:tcPr>
            <w:tcW w:w="733" w:type="dxa"/>
          </w:tcPr>
          <w:p w14:paraId="0E169168" w14:textId="77777777" w:rsidR="00B737C1" w:rsidRPr="006F3C3B" w:rsidRDefault="00B737C1" w:rsidP="00B737C1">
            <w:pPr>
              <w:spacing w:after="120"/>
              <w:rPr>
                <w:rFonts w:ascii="Arial" w:hAnsi="Arial" w:cs="Arial"/>
                <w:i/>
                <w:sz w:val="20"/>
                <w:szCs w:val="20"/>
              </w:rPr>
            </w:pPr>
            <w:r w:rsidRPr="006F3C3B">
              <w:rPr>
                <w:rFonts w:ascii="Arial" w:hAnsi="Arial" w:cs="Arial"/>
                <w:i/>
                <w:sz w:val="20"/>
                <w:szCs w:val="20"/>
              </w:rPr>
              <w:t>8.3</w:t>
            </w:r>
          </w:p>
        </w:tc>
        <w:tc>
          <w:tcPr>
            <w:tcW w:w="733" w:type="dxa"/>
          </w:tcPr>
          <w:p w14:paraId="12D4EA6C" w14:textId="77777777" w:rsidR="00B737C1" w:rsidRPr="006F3C3B" w:rsidRDefault="00B737C1" w:rsidP="00B737C1">
            <w:pPr>
              <w:spacing w:after="120"/>
              <w:rPr>
                <w:rFonts w:ascii="Arial" w:hAnsi="Arial" w:cs="Arial"/>
                <w:i/>
                <w:sz w:val="20"/>
                <w:szCs w:val="20"/>
              </w:rPr>
            </w:pPr>
            <w:r>
              <w:rPr>
                <w:rFonts w:ascii="Arial" w:hAnsi="Arial" w:cs="Arial"/>
                <w:i/>
                <w:sz w:val="20"/>
                <w:szCs w:val="20"/>
              </w:rPr>
              <w:t>8.4</w:t>
            </w:r>
          </w:p>
        </w:tc>
        <w:tc>
          <w:tcPr>
            <w:tcW w:w="733" w:type="dxa"/>
          </w:tcPr>
          <w:p w14:paraId="0D31E816" w14:textId="77777777" w:rsidR="00B737C1" w:rsidRPr="006F3C3B" w:rsidRDefault="00B737C1" w:rsidP="00B737C1">
            <w:pPr>
              <w:spacing w:after="120"/>
              <w:rPr>
                <w:rFonts w:ascii="Arial" w:hAnsi="Arial" w:cs="Arial"/>
                <w:i/>
                <w:sz w:val="20"/>
                <w:szCs w:val="20"/>
              </w:rPr>
            </w:pPr>
            <w:r>
              <w:rPr>
                <w:rFonts w:ascii="Arial" w:hAnsi="Arial" w:cs="Arial"/>
                <w:i/>
                <w:sz w:val="20"/>
                <w:szCs w:val="20"/>
              </w:rPr>
              <w:t>8.5</w:t>
            </w:r>
          </w:p>
        </w:tc>
        <w:tc>
          <w:tcPr>
            <w:tcW w:w="733" w:type="dxa"/>
          </w:tcPr>
          <w:p w14:paraId="4EA145F8" w14:textId="77777777" w:rsidR="00B737C1" w:rsidRPr="006F3C3B" w:rsidRDefault="00B737C1" w:rsidP="00B737C1">
            <w:pPr>
              <w:spacing w:after="120"/>
              <w:rPr>
                <w:rFonts w:ascii="Arial" w:hAnsi="Arial" w:cs="Arial"/>
                <w:i/>
                <w:sz w:val="20"/>
                <w:szCs w:val="20"/>
              </w:rPr>
            </w:pPr>
            <w:r w:rsidRPr="006F3C3B">
              <w:rPr>
                <w:rFonts w:ascii="Arial" w:hAnsi="Arial" w:cs="Arial"/>
                <w:i/>
                <w:sz w:val="20"/>
                <w:szCs w:val="20"/>
              </w:rPr>
              <w:t>9.1</w:t>
            </w:r>
          </w:p>
        </w:tc>
        <w:tc>
          <w:tcPr>
            <w:tcW w:w="733" w:type="dxa"/>
          </w:tcPr>
          <w:p w14:paraId="1C061ADB" w14:textId="77777777" w:rsidR="00B737C1" w:rsidRPr="006F3C3B" w:rsidRDefault="00B737C1" w:rsidP="00B737C1">
            <w:pPr>
              <w:spacing w:after="120"/>
              <w:rPr>
                <w:rFonts w:ascii="Arial" w:hAnsi="Arial" w:cs="Arial"/>
                <w:i/>
                <w:sz w:val="20"/>
                <w:szCs w:val="20"/>
              </w:rPr>
            </w:pPr>
            <w:r w:rsidRPr="006F3C3B">
              <w:rPr>
                <w:rFonts w:ascii="Arial" w:hAnsi="Arial" w:cs="Arial"/>
                <w:i/>
                <w:sz w:val="20"/>
                <w:szCs w:val="20"/>
              </w:rPr>
              <w:t>9.2</w:t>
            </w:r>
          </w:p>
        </w:tc>
        <w:tc>
          <w:tcPr>
            <w:tcW w:w="733" w:type="dxa"/>
          </w:tcPr>
          <w:p w14:paraId="3140FC48" w14:textId="77777777" w:rsidR="00B737C1" w:rsidRPr="006F3C3B" w:rsidRDefault="00B737C1" w:rsidP="00B737C1">
            <w:pPr>
              <w:spacing w:after="120"/>
              <w:rPr>
                <w:rFonts w:ascii="Arial" w:hAnsi="Arial" w:cs="Arial"/>
                <w:i/>
                <w:sz w:val="20"/>
                <w:szCs w:val="20"/>
              </w:rPr>
            </w:pPr>
            <w:r w:rsidRPr="006F3C3B">
              <w:rPr>
                <w:rFonts w:ascii="Arial" w:hAnsi="Arial" w:cs="Arial"/>
                <w:i/>
                <w:sz w:val="20"/>
                <w:szCs w:val="20"/>
              </w:rPr>
              <w:t>9.3</w:t>
            </w:r>
          </w:p>
        </w:tc>
        <w:tc>
          <w:tcPr>
            <w:tcW w:w="733" w:type="dxa"/>
          </w:tcPr>
          <w:p w14:paraId="251B1CE4" w14:textId="77777777" w:rsidR="00B737C1" w:rsidRPr="006F3C3B" w:rsidRDefault="00B737C1" w:rsidP="00B737C1">
            <w:pPr>
              <w:spacing w:after="120"/>
              <w:rPr>
                <w:rFonts w:ascii="Arial" w:hAnsi="Arial" w:cs="Arial"/>
                <w:i/>
                <w:sz w:val="20"/>
                <w:szCs w:val="20"/>
              </w:rPr>
            </w:pPr>
            <w:r>
              <w:rPr>
                <w:rFonts w:ascii="Arial" w:hAnsi="Arial" w:cs="Arial"/>
                <w:i/>
                <w:sz w:val="20"/>
                <w:szCs w:val="20"/>
              </w:rPr>
              <w:t>9.4</w:t>
            </w:r>
          </w:p>
        </w:tc>
        <w:tc>
          <w:tcPr>
            <w:tcW w:w="733" w:type="dxa"/>
          </w:tcPr>
          <w:p w14:paraId="1C301C4A" w14:textId="77777777" w:rsidR="00B737C1" w:rsidRDefault="00B737C1" w:rsidP="00B737C1">
            <w:pPr>
              <w:spacing w:after="120"/>
              <w:rPr>
                <w:rFonts w:ascii="Arial" w:hAnsi="Arial" w:cs="Arial"/>
                <w:i/>
                <w:sz w:val="20"/>
                <w:szCs w:val="20"/>
              </w:rPr>
            </w:pPr>
            <w:r>
              <w:rPr>
                <w:rFonts w:ascii="Arial" w:hAnsi="Arial" w:cs="Arial"/>
                <w:i/>
                <w:sz w:val="20"/>
                <w:szCs w:val="20"/>
              </w:rPr>
              <w:t>9.5</w:t>
            </w:r>
          </w:p>
        </w:tc>
      </w:tr>
      <w:tr w:rsidR="00B737C1" w:rsidRPr="00302082" w14:paraId="2C99E732" w14:textId="77777777" w:rsidTr="000515CE">
        <w:trPr>
          <w:trHeight w:val="757"/>
        </w:trPr>
        <w:tc>
          <w:tcPr>
            <w:tcW w:w="2237" w:type="dxa"/>
            <w:shd w:val="clear" w:color="auto" w:fill="D9D9D9" w:themeFill="background1" w:themeFillShade="D9"/>
          </w:tcPr>
          <w:p w14:paraId="075D7FE1" w14:textId="77777777" w:rsidR="00B737C1" w:rsidRPr="006F3C3B" w:rsidRDefault="00B737C1" w:rsidP="00B737C1">
            <w:pPr>
              <w:spacing w:after="120"/>
              <w:rPr>
                <w:rFonts w:ascii="Arial" w:hAnsi="Arial" w:cs="Arial"/>
                <w:b/>
                <w:sz w:val="20"/>
                <w:szCs w:val="20"/>
              </w:rPr>
            </w:pPr>
            <w:r w:rsidRPr="006F3C3B">
              <w:rPr>
                <w:rFonts w:ascii="Arial" w:hAnsi="Arial" w:cs="Arial"/>
                <w:b/>
                <w:sz w:val="20"/>
                <w:szCs w:val="20"/>
              </w:rPr>
              <w:t>Learning/ teaching method</w:t>
            </w:r>
          </w:p>
        </w:tc>
        <w:tc>
          <w:tcPr>
            <w:tcW w:w="733" w:type="dxa"/>
          </w:tcPr>
          <w:p w14:paraId="28FF8FDD" w14:textId="77777777" w:rsidR="00B737C1" w:rsidRPr="006F3C3B" w:rsidRDefault="00B737C1" w:rsidP="00B737C1">
            <w:pPr>
              <w:spacing w:after="120"/>
              <w:rPr>
                <w:rFonts w:ascii="Arial" w:hAnsi="Arial" w:cs="Arial"/>
                <w:b/>
                <w:sz w:val="20"/>
                <w:szCs w:val="20"/>
              </w:rPr>
            </w:pPr>
          </w:p>
        </w:tc>
        <w:tc>
          <w:tcPr>
            <w:tcW w:w="733" w:type="dxa"/>
          </w:tcPr>
          <w:p w14:paraId="6F3EE2CE" w14:textId="77777777" w:rsidR="00B737C1" w:rsidRPr="006F3C3B" w:rsidRDefault="00B737C1" w:rsidP="00B737C1">
            <w:pPr>
              <w:spacing w:after="120"/>
              <w:rPr>
                <w:rFonts w:ascii="Arial" w:hAnsi="Arial" w:cs="Arial"/>
                <w:b/>
                <w:sz w:val="20"/>
                <w:szCs w:val="20"/>
              </w:rPr>
            </w:pPr>
          </w:p>
        </w:tc>
        <w:tc>
          <w:tcPr>
            <w:tcW w:w="733" w:type="dxa"/>
          </w:tcPr>
          <w:p w14:paraId="5A8FEAA7" w14:textId="77777777" w:rsidR="00B737C1" w:rsidRPr="006F3C3B" w:rsidRDefault="00B737C1" w:rsidP="00B737C1">
            <w:pPr>
              <w:spacing w:after="120"/>
              <w:rPr>
                <w:rFonts w:ascii="Arial" w:hAnsi="Arial" w:cs="Arial"/>
                <w:b/>
                <w:sz w:val="20"/>
                <w:szCs w:val="20"/>
              </w:rPr>
            </w:pPr>
          </w:p>
        </w:tc>
        <w:tc>
          <w:tcPr>
            <w:tcW w:w="733" w:type="dxa"/>
          </w:tcPr>
          <w:p w14:paraId="5E29DF35" w14:textId="77777777" w:rsidR="00B737C1" w:rsidRPr="006F3C3B" w:rsidRDefault="00B737C1" w:rsidP="00B737C1">
            <w:pPr>
              <w:spacing w:after="120"/>
              <w:rPr>
                <w:rFonts w:ascii="Arial" w:hAnsi="Arial" w:cs="Arial"/>
                <w:b/>
                <w:sz w:val="20"/>
                <w:szCs w:val="20"/>
              </w:rPr>
            </w:pPr>
          </w:p>
        </w:tc>
        <w:tc>
          <w:tcPr>
            <w:tcW w:w="733" w:type="dxa"/>
          </w:tcPr>
          <w:p w14:paraId="0764EC98" w14:textId="77777777" w:rsidR="00B737C1" w:rsidRPr="006F3C3B" w:rsidRDefault="00B737C1" w:rsidP="00B737C1">
            <w:pPr>
              <w:spacing w:after="120"/>
              <w:rPr>
                <w:rFonts w:ascii="Arial" w:hAnsi="Arial" w:cs="Arial"/>
                <w:b/>
                <w:sz w:val="20"/>
                <w:szCs w:val="20"/>
              </w:rPr>
            </w:pPr>
          </w:p>
        </w:tc>
        <w:tc>
          <w:tcPr>
            <w:tcW w:w="733" w:type="dxa"/>
          </w:tcPr>
          <w:p w14:paraId="45D52BC1" w14:textId="77777777" w:rsidR="00B737C1" w:rsidRPr="006F3C3B" w:rsidRDefault="00B737C1" w:rsidP="00B737C1">
            <w:pPr>
              <w:spacing w:after="120"/>
              <w:rPr>
                <w:rFonts w:ascii="Arial" w:hAnsi="Arial" w:cs="Arial"/>
                <w:b/>
                <w:sz w:val="20"/>
                <w:szCs w:val="20"/>
              </w:rPr>
            </w:pPr>
          </w:p>
        </w:tc>
        <w:tc>
          <w:tcPr>
            <w:tcW w:w="733" w:type="dxa"/>
          </w:tcPr>
          <w:p w14:paraId="1DFC6F38" w14:textId="77777777" w:rsidR="00B737C1" w:rsidRPr="006F3C3B" w:rsidRDefault="00B737C1" w:rsidP="00B737C1">
            <w:pPr>
              <w:spacing w:after="120"/>
              <w:rPr>
                <w:rFonts w:ascii="Arial" w:hAnsi="Arial" w:cs="Arial"/>
                <w:b/>
                <w:sz w:val="20"/>
                <w:szCs w:val="20"/>
              </w:rPr>
            </w:pPr>
          </w:p>
        </w:tc>
        <w:tc>
          <w:tcPr>
            <w:tcW w:w="733" w:type="dxa"/>
          </w:tcPr>
          <w:p w14:paraId="78438497" w14:textId="77777777" w:rsidR="00B737C1" w:rsidRPr="006F3C3B" w:rsidRDefault="00B737C1" w:rsidP="00B737C1">
            <w:pPr>
              <w:spacing w:after="120"/>
              <w:rPr>
                <w:rFonts w:ascii="Arial" w:hAnsi="Arial" w:cs="Arial"/>
                <w:b/>
                <w:sz w:val="20"/>
                <w:szCs w:val="20"/>
              </w:rPr>
            </w:pPr>
          </w:p>
        </w:tc>
        <w:tc>
          <w:tcPr>
            <w:tcW w:w="733" w:type="dxa"/>
          </w:tcPr>
          <w:p w14:paraId="51429F79" w14:textId="77777777" w:rsidR="00B737C1" w:rsidRPr="006F3C3B" w:rsidRDefault="00B737C1" w:rsidP="00B737C1">
            <w:pPr>
              <w:spacing w:after="120"/>
              <w:rPr>
                <w:rFonts w:ascii="Arial" w:hAnsi="Arial" w:cs="Arial"/>
                <w:b/>
                <w:sz w:val="20"/>
                <w:szCs w:val="20"/>
              </w:rPr>
            </w:pPr>
          </w:p>
        </w:tc>
        <w:tc>
          <w:tcPr>
            <w:tcW w:w="733" w:type="dxa"/>
          </w:tcPr>
          <w:p w14:paraId="03ECC04C" w14:textId="77777777" w:rsidR="00B737C1" w:rsidRPr="006F3C3B" w:rsidRDefault="00B737C1" w:rsidP="00B737C1">
            <w:pPr>
              <w:spacing w:after="120"/>
              <w:rPr>
                <w:rFonts w:ascii="Arial" w:hAnsi="Arial" w:cs="Arial"/>
                <w:b/>
                <w:sz w:val="20"/>
                <w:szCs w:val="20"/>
              </w:rPr>
            </w:pPr>
          </w:p>
        </w:tc>
      </w:tr>
      <w:tr w:rsidR="00B737C1" w:rsidRPr="00302082" w14:paraId="1ECB4C5B" w14:textId="77777777" w:rsidTr="000515CE">
        <w:trPr>
          <w:trHeight w:val="328"/>
        </w:trPr>
        <w:tc>
          <w:tcPr>
            <w:tcW w:w="2237" w:type="dxa"/>
          </w:tcPr>
          <w:p w14:paraId="27473CDC" w14:textId="77777777" w:rsidR="00B737C1" w:rsidRPr="006F3C3B" w:rsidRDefault="00B737C1" w:rsidP="00B737C1">
            <w:pPr>
              <w:spacing w:after="120"/>
              <w:rPr>
                <w:rFonts w:ascii="Arial" w:hAnsi="Arial" w:cs="Arial"/>
                <w:b/>
                <w:sz w:val="20"/>
                <w:szCs w:val="20"/>
              </w:rPr>
            </w:pPr>
            <w:r w:rsidRPr="006F3C3B">
              <w:rPr>
                <w:rFonts w:ascii="Arial" w:hAnsi="Arial" w:cs="Arial"/>
                <w:b/>
                <w:sz w:val="20"/>
                <w:szCs w:val="20"/>
              </w:rPr>
              <w:t>Private Study</w:t>
            </w:r>
          </w:p>
        </w:tc>
        <w:tc>
          <w:tcPr>
            <w:tcW w:w="733" w:type="dxa"/>
          </w:tcPr>
          <w:p w14:paraId="72F699A3"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7970FA9F"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7E4BA210"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36954D34"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18BF9471"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08AE70A5"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27242942"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314F8F1C"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5431FF9C"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1D27E6BB"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r>
      <w:tr w:rsidR="00B737C1" w:rsidRPr="00302082" w14:paraId="364AA004" w14:textId="77777777" w:rsidTr="000515CE">
        <w:trPr>
          <w:trHeight w:val="328"/>
        </w:trPr>
        <w:tc>
          <w:tcPr>
            <w:tcW w:w="2237" w:type="dxa"/>
          </w:tcPr>
          <w:p w14:paraId="783D1047" w14:textId="77777777" w:rsidR="00B737C1" w:rsidRPr="002049BE" w:rsidRDefault="00B737C1" w:rsidP="00B737C1">
            <w:pPr>
              <w:spacing w:after="120"/>
              <w:rPr>
                <w:rFonts w:ascii="Arial" w:hAnsi="Arial" w:cs="Arial"/>
                <w:sz w:val="20"/>
                <w:szCs w:val="20"/>
              </w:rPr>
            </w:pPr>
            <w:r w:rsidRPr="002049BE">
              <w:rPr>
                <w:rFonts w:ascii="Arial" w:hAnsi="Arial" w:cs="Arial"/>
                <w:sz w:val="20"/>
                <w:szCs w:val="20"/>
              </w:rPr>
              <w:t>Teaching</w:t>
            </w:r>
          </w:p>
        </w:tc>
        <w:tc>
          <w:tcPr>
            <w:tcW w:w="733" w:type="dxa"/>
          </w:tcPr>
          <w:p w14:paraId="59A67019"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6127561B"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3D1F40A5"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72FFD6ED"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5BE52BE5" w14:textId="77777777" w:rsidR="00B737C1" w:rsidRPr="006F3C3B" w:rsidRDefault="00B737C1" w:rsidP="00B737C1">
            <w:pPr>
              <w:spacing w:after="120"/>
              <w:rPr>
                <w:rFonts w:ascii="Arial" w:hAnsi="Arial" w:cs="Arial"/>
                <w:b/>
                <w:sz w:val="20"/>
                <w:szCs w:val="20"/>
              </w:rPr>
            </w:pPr>
            <w:r>
              <w:rPr>
                <w:rFonts w:ascii="Arial" w:hAnsi="Arial" w:cs="Arial"/>
                <w:b/>
                <w:sz w:val="20"/>
                <w:szCs w:val="20"/>
              </w:rPr>
              <w:t>x</w:t>
            </w:r>
          </w:p>
        </w:tc>
        <w:tc>
          <w:tcPr>
            <w:tcW w:w="733" w:type="dxa"/>
          </w:tcPr>
          <w:p w14:paraId="01D1DC51" w14:textId="77777777" w:rsidR="00B737C1" w:rsidRPr="006F3C3B" w:rsidRDefault="00B737C1" w:rsidP="00B737C1">
            <w:pPr>
              <w:spacing w:after="120"/>
              <w:rPr>
                <w:rFonts w:ascii="Arial" w:hAnsi="Arial" w:cs="Arial"/>
                <w:b/>
                <w:sz w:val="20"/>
                <w:szCs w:val="20"/>
              </w:rPr>
            </w:pPr>
          </w:p>
        </w:tc>
        <w:tc>
          <w:tcPr>
            <w:tcW w:w="733" w:type="dxa"/>
          </w:tcPr>
          <w:p w14:paraId="6AFDC705" w14:textId="77777777" w:rsidR="00B737C1" w:rsidRPr="006F3C3B" w:rsidRDefault="00B737C1" w:rsidP="00B737C1">
            <w:pPr>
              <w:spacing w:after="120"/>
              <w:rPr>
                <w:rFonts w:ascii="Arial" w:hAnsi="Arial" w:cs="Arial"/>
                <w:b/>
                <w:sz w:val="20"/>
                <w:szCs w:val="20"/>
              </w:rPr>
            </w:pPr>
          </w:p>
        </w:tc>
        <w:tc>
          <w:tcPr>
            <w:tcW w:w="733" w:type="dxa"/>
          </w:tcPr>
          <w:p w14:paraId="24C9027B" w14:textId="77777777" w:rsidR="00B737C1" w:rsidRPr="006F3C3B" w:rsidRDefault="00B737C1" w:rsidP="00B737C1">
            <w:pPr>
              <w:spacing w:after="120"/>
              <w:rPr>
                <w:rFonts w:ascii="Arial" w:hAnsi="Arial" w:cs="Arial"/>
                <w:b/>
                <w:sz w:val="20"/>
                <w:szCs w:val="20"/>
              </w:rPr>
            </w:pPr>
          </w:p>
        </w:tc>
        <w:tc>
          <w:tcPr>
            <w:tcW w:w="733" w:type="dxa"/>
          </w:tcPr>
          <w:p w14:paraId="4E70F63C" w14:textId="77777777" w:rsidR="00B737C1" w:rsidRPr="006F3C3B" w:rsidRDefault="00B737C1" w:rsidP="00B737C1">
            <w:pPr>
              <w:spacing w:after="120"/>
              <w:rPr>
                <w:rFonts w:ascii="Arial" w:hAnsi="Arial" w:cs="Arial"/>
                <w:b/>
                <w:sz w:val="20"/>
                <w:szCs w:val="20"/>
              </w:rPr>
            </w:pPr>
          </w:p>
        </w:tc>
        <w:tc>
          <w:tcPr>
            <w:tcW w:w="733" w:type="dxa"/>
          </w:tcPr>
          <w:p w14:paraId="5EA3358F" w14:textId="77777777" w:rsidR="00B737C1" w:rsidRPr="006F3C3B" w:rsidRDefault="00B737C1" w:rsidP="00B737C1">
            <w:pPr>
              <w:spacing w:after="120"/>
              <w:rPr>
                <w:rFonts w:ascii="Arial" w:hAnsi="Arial" w:cs="Arial"/>
                <w:b/>
                <w:sz w:val="20"/>
                <w:szCs w:val="20"/>
              </w:rPr>
            </w:pPr>
          </w:p>
        </w:tc>
      </w:tr>
      <w:tr w:rsidR="00076460" w:rsidRPr="00302082" w14:paraId="451888D5" w14:textId="77777777" w:rsidTr="000515CE">
        <w:trPr>
          <w:trHeight w:val="557"/>
        </w:trPr>
        <w:tc>
          <w:tcPr>
            <w:tcW w:w="2237" w:type="dxa"/>
          </w:tcPr>
          <w:p w14:paraId="67E996F6" w14:textId="77777777" w:rsidR="00076460" w:rsidRPr="002049BE" w:rsidRDefault="00076460" w:rsidP="00076460">
            <w:pPr>
              <w:spacing w:after="120"/>
              <w:rPr>
                <w:rFonts w:ascii="Arial" w:hAnsi="Arial" w:cs="Arial"/>
                <w:sz w:val="20"/>
                <w:szCs w:val="20"/>
              </w:rPr>
            </w:pPr>
            <w:r w:rsidRPr="002049BE">
              <w:rPr>
                <w:rFonts w:ascii="Arial" w:hAnsi="Arial" w:cs="Arial"/>
                <w:sz w:val="20"/>
                <w:szCs w:val="20"/>
              </w:rPr>
              <w:t>Work based experience</w:t>
            </w:r>
          </w:p>
        </w:tc>
        <w:tc>
          <w:tcPr>
            <w:tcW w:w="733" w:type="dxa"/>
          </w:tcPr>
          <w:p w14:paraId="07514F96" w14:textId="77777777" w:rsidR="00076460" w:rsidRPr="006F3C3B" w:rsidRDefault="00076460" w:rsidP="00076460">
            <w:pPr>
              <w:spacing w:after="120"/>
              <w:rPr>
                <w:rFonts w:ascii="Arial" w:hAnsi="Arial" w:cs="Arial"/>
                <w:b/>
                <w:sz w:val="20"/>
                <w:szCs w:val="20"/>
              </w:rPr>
            </w:pPr>
          </w:p>
        </w:tc>
        <w:tc>
          <w:tcPr>
            <w:tcW w:w="733" w:type="dxa"/>
          </w:tcPr>
          <w:p w14:paraId="5566D667" w14:textId="77777777" w:rsidR="00076460" w:rsidRPr="006F3C3B" w:rsidRDefault="00076460" w:rsidP="00076460">
            <w:pPr>
              <w:spacing w:after="120"/>
              <w:rPr>
                <w:rFonts w:ascii="Arial" w:hAnsi="Arial" w:cs="Arial"/>
                <w:b/>
                <w:sz w:val="20"/>
                <w:szCs w:val="20"/>
              </w:rPr>
            </w:pPr>
          </w:p>
        </w:tc>
        <w:tc>
          <w:tcPr>
            <w:tcW w:w="733" w:type="dxa"/>
          </w:tcPr>
          <w:p w14:paraId="653C0E00" w14:textId="77777777" w:rsidR="00076460" w:rsidRPr="006F3C3B" w:rsidRDefault="00076460" w:rsidP="00076460">
            <w:pPr>
              <w:spacing w:after="120"/>
              <w:rPr>
                <w:rFonts w:ascii="Arial" w:hAnsi="Arial" w:cs="Arial"/>
                <w:b/>
                <w:sz w:val="20"/>
                <w:szCs w:val="20"/>
              </w:rPr>
            </w:pPr>
          </w:p>
        </w:tc>
        <w:tc>
          <w:tcPr>
            <w:tcW w:w="733" w:type="dxa"/>
          </w:tcPr>
          <w:p w14:paraId="4BF1F502" w14:textId="77777777" w:rsidR="00076460" w:rsidRPr="006F3C3B" w:rsidRDefault="00076460" w:rsidP="00076460">
            <w:pPr>
              <w:spacing w:after="120"/>
              <w:rPr>
                <w:rFonts w:ascii="Arial" w:hAnsi="Arial" w:cs="Arial"/>
                <w:b/>
                <w:sz w:val="20"/>
                <w:szCs w:val="20"/>
              </w:rPr>
            </w:pPr>
          </w:p>
        </w:tc>
        <w:tc>
          <w:tcPr>
            <w:tcW w:w="733" w:type="dxa"/>
          </w:tcPr>
          <w:p w14:paraId="1C5133DB" w14:textId="62477BE0"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723F2223" w14:textId="6B682693"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7B0D80C9" w14:textId="159CCC51"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5012AAC3" w14:textId="3B56FD18"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772DCB89" w14:textId="13384801"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32E638A9" w14:textId="77777777" w:rsidR="00076460" w:rsidRPr="006F3C3B" w:rsidRDefault="00076460" w:rsidP="00076460">
            <w:pPr>
              <w:spacing w:after="120"/>
              <w:rPr>
                <w:rFonts w:ascii="Arial" w:hAnsi="Arial" w:cs="Arial"/>
                <w:b/>
                <w:sz w:val="20"/>
                <w:szCs w:val="20"/>
              </w:rPr>
            </w:pPr>
          </w:p>
        </w:tc>
      </w:tr>
      <w:tr w:rsidR="00076460" w:rsidRPr="00302082" w14:paraId="6391CABD" w14:textId="77777777" w:rsidTr="000515CE">
        <w:trPr>
          <w:trHeight w:val="543"/>
        </w:trPr>
        <w:tc>
          <w:tcPr>
            <w:tcW w:w="2237" w:type="dxa"/>
            <w:shd w:val="clear" w:color="auto" w:fill="D9D9D9" w:themeFill="background1" w:themeFillShade="D9"/>
          </w:tcPr>
          <w:p w14:paraId="306900B7" w14:textId="77777777" w:rsidR="00076460" w:rsidRPr="006F3C3B" w:rsidRDefault="00076460" w:rsidP="00076460">
            <w:pPr>
              <w:spacing w:after="120"/>
              <w:rPr>
                <w:rFonts w:ascii="Arial" w:hAnsi="Arial" w:cs="Arial"/>
                <w:b/>
                <w:sz w:val="20"/>
                <w:szCs w:val="20"/>
              </w:rPr>
            </w:pPr>
            <w:r w:rsidRPr="006F3C3B">
              <w:rPr>
                <w:rFonts w:ascii="Arial" w:hAnsi="Arial" w:cs="Arial"/>
                <w:b/>
                <w:sz w:val="20"/>
                <w:szCs w:val="20"/>
              </w:rPr>
              <w:lastRenderedPageBreak/>
              <w:t>Assessment method</w:t>
            </w:r>
          </w:p>
        </w:tc>
        <w:tc>
          <w:tcPr>
            <w:tcW w:w="733" w:type="dxa"/>
          </w:tcPr>
          <w:p w14:paraId="474D3E61" w14:textId="77777777" w:rsidR="00076460" w:rsidRPr="006F3C3B" w:rsidRDefault="00076460" w:rsidP="00076460">
            <w:pPr>
              <w:spacing w:after="120"/>
              <w:rPr>
                <w:rFonts w:ascii="Arial" w:hAnsi="Arial" w:cs="Arial"/>
                <w:b/>
                <w:sz w:val="20"/>
                <w:szCs w:val="20"/>
              </w:rPr>
            </w:pPr>
          </w:p>
        </w:tc>
        <w:tc>
          <w:tcPr>
            <w:tcW w:w="733" w:type="dxa"/>
          </w:tcPr>
          <w:p w14:paraId="795ED72B" w14:textId="77777777" w:rsidR="00076460" w:rsidRPr="006F3C3B" w:rsidRDefault="00076460" w:rsidP="00076460">
            <w:pPr>
              <w:spacing w:after="120"/>
              <w:rPr>
                <w:rFonts w:ascii="Arial" w:hAnsi="Arial" w:cs="Arial"/>
                <w:b/>
                <w:sz w:val="20"/>
                <w:szCs w:val="20"/>
              </w:rPr>
            </w:pPr>
          </w:p>
        </w:tc>
        <w:tc>
          <w:tcPr>
            <w:tcW w:w="733" w:type="dxa"/>
          </w:tcPr>
          <w:p w14:paraId="467174D9" w14:textId="77777777" w:rsidR="00076460" w:rsidRPr="006F3C3B" w:rsidRDefault="00076460" w:rsidP="00076460">
            <w:pPr>
              <w:spacing w:after="120"/>
              <w:rPr>
                <w:rFonts w:ascii="Arial" w:hAnsi="Arial" w:cs="Arial"/>
                <w:b/>
                <w:sz w:val="20"/>
                <w:szCs w:val="20"/>
              </w:rPr>
            </w:pPr>
          </w:p>
        </w:tc>
        <w:tc>
          <w:tcPr>
            <w:tcW w:w="733" w:type="dxa"/>
          </w:tcPr>
          <w:p w14:paraId="099C75C9" w14:textId="77777777" w:rsidR="00076460" w:rsidRPr="006F3C3B" w:rsidRDefault="00076460" w:rsidP="00076460">
            <w:pPr>
              <w:spacing w:after="120"/>
              <w:rPr>
                <w:rFonts w:ascii="Arial" w:hAnsi="Arial" w:cs="Arial"/>
                <w:b/>
                <w:sz w:val="20"/>
                <w:szCs w:val="20"/>
              </w:rPr>
            </w:pPr>
          </w:p>
        </w:tc>
        <w:tc>
          <w:tcPr>
            <w:tcW w:w="733" w:type="dxa"/>
          </w:tcPr>
          <w:p w14:paraId="525F6866" w14:textId="77777777" w:rsidR="00076460" w:rsidRPr="006F3C3B" w:rsidRDefault="00076460" w:rsidP="00076460">
            <w:pPr>
              <w:spacing w:after="120"/>
              <w:rPr>
                <w:rFonts w:ascii="Arial" w:hAnsi="Arial" w:cs="Arial"/>
                <w:b/>
                <w:sz w:val="20"/>
                <w:szCs w:val="20"/>
              </w:rPr>
            </w:pPr>
          </w:p>
        </w:tc>
        <w:tc>
          <w:tcPr>
            <w:tcW w:w="733" w:type="dxa"/>
          </w:tcPr>
          <w:p w14:paraId="3134FCBA" w14:textId="77777777" w:rsidR="00076460" w:rsidRPr="006F3C3B" w:rsidRDefault="00076460" w:rsidP="00076460">
            <w:pPr>
              <w:spacing w:after="120"/>
              <w:rPr>
                <w:rFonts w:ascii="Arial" w:hAnsi="Arial" w:cs="Arial"/>
                <w:b/>
                <w:sz w:val="20"/>
                <w:szCs w:val="20"/>
              </w:rPr>
            </w:pPr>
          </w:p>
        </w:tc>
        <w:tc>
          <w:tcPr>
            <w:tcW w:w="733" w:type="dxa"/>
          </w:tcPr>
          <w:p w14:paraId="58D04615" w14:textId="77777777" w:rsidR="00076460" w:rsidRPr="006F3C3B" w:rsidRDefault="00076460" w:rsidP="00076460">
            <w:pPr>
              <w:spacing w:after="120"/>
              <w:rPr>
                <w:rFonts w:ascii="Arial" w:hAnsi="Arial" w:cs="Arial"/>
                <w:b/>
                <w:sz w:val="20"/>
                <w:szCs w:val="20"/>
              </w:rPr>
            </w:pPr>
          </w:p>
        </w:tc>
        <w:tc>
          <w:tcPr>
            <w:tcW w:w="733" w:type="dxa"/>
          </w:tcPr>
          <w:p w14:paraId="491D7DA7" w14:textId="77777777" w:rsidR="00076460" w:rsidRPr="006F3C3B" w:rsidRDefault="00076460" w:rsidP="00076460">
            <w:pPr>
              <w:spacing w:after="120"/>
              <w:rPr>
                <w:rFonts w:ascii="Arial" w:hAnsi="Arial" w:cs="Arial"/>
                <w:b/>
                <w:sz w:val="20"/>
                <w:szCs w:val="20"/>
              </w:rPr>
            </w:pPr>
          </w:p>
        </w:tc>
        <w:tc>
          <w:tcPr>
            <w:tcW w:w="733" w:type="dxa"/>
          </w:tcPr>
          <w:p w14:paraId="0B6A4A56" w14:textId="77777777" w:rsidR="00076460" w:rsidRPr="006F3C3B" w:rsidRDefault="00076460" w:rsidP="00076460">
            <w:pPr>
              <w:spacing w:after="120"/>
              <w:rPr>
                <w:rFonts w:ascii="Arial" w:hAnsi="Arial" w:cs="Arial"/>
                <w:b/>
                <w:sz w:val="20"/>
                <w:szCs w:val="20"/>
              </w:rPr>
            </w:pPr>
          </w:p>
        </w:tc>
        <w:tc>
          <w:tcPr>
            <w:tcW w:w="733" w:type="dxa"/>
          </w:tcPr>
          <w:p w14:paraId="07B2707B" w14:textId="77777777" w:rsidR="00076460" w:rsidRPr="006F3C3B" w:rsidRDefault="00076460" w:rsidP="00076460">
            <w:pPr>
              <w:spacing w:after="120"/>
              <w:rPr>
                <w:rFonts w:ascii="Arial" w:hAnsi="Arial" w:cs="Arial"/>
                <w:b/>
                <w:sz w:val="20"/>
                <w:szCs w:val="20"/>
              </w:rPr>
            </w:pPr>
          </w:p>
        </w:tc>
      </w:tr>
      <w:tr w:rsidR="00076460" w:rsidRPr="00302082" w14:paraId="32499D24" w14:textId="77777777" w:rsidTr="000515CE">
        <w:trPr>
          <w:trHeight w:val="872"/>
        </w:trPr>
        <w:tc>
          <w:tcPr>
            <w:tcW w:w="2237" w:type="dxa"/>
          </w:tcPr>
          <w:p w14:paraId="6B1BAD5E" w14:textId="5031B875" w:rsidR="00076460" w:rsidRDefault="00076460" w:rsidP="00076460">
            <w:pPr>
              <w:spacing w:after="120"/>
              <w:rPr>
                <w:rFonts w:ascii="Arial" w:hAnsi="Arial" w:cs="Arial"/>
                <w:i/>
                <w:sz w:val="20"/>
                <w:szCs w:val="20"/>
              </w:rPr>
            </w:pPr>
            <w:r>
              <w:rPr>
                <w:rFonts w:ascii="Arial" w:hAnsi="Arial" w:cs="Arial"/>
                <w:i/>
                <w:sz w:val="20"/>
                <w:szCs w:val="20"/>
              </w:rPr>
              <w:t>Extended written report</w:t>
            </w:r>
          </w:p>
          <w:p w14:paraId="1FD6E0E4" w14:textId="66F05ABB" w:rsidR="00076460" w:rsidRPr="006F3C3B" w:rsidRDefault="00076460" w:rsidP="00076460">
            <w:pPr>
              <w:spacing w:after="120"/>
              <w:rPr>
                <w:rFonts w:ascii="Arial" w:hAnsi="Arial" w:cs="Arial"/>
                <w:i/>
                <w:sz w:val="20"/>
                <w:szCs w:val="20"/>
              </w:rPr>
            </w:pPr>
          </w:p>
        </w:tc>
        <w:tc>
          <w:tcPr>
            <w:tcW w:w="733" w:type="dxa"/>
          </w:tcPr>
          <w:p w14:paraId="117E5A7B"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3761D762"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3F909501"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28B12F5E"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3072E11F"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4233300A"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40C6B7F0"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228B56E5"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56914776"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c>
          <w:tcPr>
            <w:tcW w:w="733" w:type="dxa"/>
          </w:tcPr>
          <w:p w14:paraId="1E6F6385" w14:textId="77777777" w:rsidR="00076460" w:rsidRPr="006F3C3B" w:rsidRDefault="00076460" w:rsidP="00076460">
            <w:pPr>
              <w:spacing w:after="120"/>
              <w:rPr>
                <w:rFonts w:ascii="Arial" w:hAnsi="Arial" w:cs="Arial"/>
                <w:b/>
                <w:sz w:val="20"/>
                <w:szCs w:val="20"/>
              </w:rPr>
            </w:pPr>
            <w:r>
              <w:rPr>
                <w:rFonts w:ascii="Arial" w:hAnsi="Arial" w:cs="Arial"/>
                <w:b/>
                <w:sz w:val="20"/>
                <w:szCs w:val="20"/>
              </w:rPr>
              <w:t>x</w:t>
            </w:r>
          </w:p>
        </w:tc>
      </w:tr>
    </w:tbl>
    <w:p w14:paraId="01D8B734" w14:textId="30074FB4" w:rsidR="007D31B5" w:rsidRDefault="007D31B5" w:rsidP="007D31B5">
      <w:pPr>
        <w:spacing w:after="120" w:line="240" w:lineRule="auto"/>
        <w:ind w:left="567" w:right="261"/>
        <w:jc w:val="both"/>
        <w:rPr>
          <w:rFonts w:ascii="Arial" w:hAnsi="Arial" w:cs="Arial"/>
          <w:i/>
          <w:iCs/>
        </w:rPr>
      </w:pPr>
    </w:p>
    <w:p w14:paraId="74921BF4" w14:textId="77777777" w:rsidR="00B737C1" w:rsidRPr="00D50113" w:rsidRDefault="00B737C1" w:rsidP="00B737C1">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49361" w14:textId="6FA90895" w:rsidR="00810EE3" w:rsidRDefault="00B737C1" w:rsidP="00810EE3">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w:t>
      </w:r>
      <w:r w:rsidR="00810EE3">
        <w:rPr>
          <w:rFonts w:ascii="Arial" w:hAnsi="Arial" w:cs="Arial"/>
        </w:rPr>
        <w:t>Centre</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43EFFA5D" w:rsidR="00883204" w:rsidRPr="00D50113" w:rsidRDefault="00883204" w:rsidP="00810EE3">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35B0D9EE"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9C396D">
        <w:rPr>
          <w:rFonts w:ascii="Arial" w:hAnsi="Arial" w:cs="Arial"/>
          <w:bCs/>
        </w:rPr>
        <w:t>.</w:t>
      </w:r>
    </w:p>
    <w:p w14:paraId="7C306C7E" w14:textId="06B39EA0"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9C396D">
        <w:rPr>
          <w:rFonts w:ascii="Arial" w:hAnsi="Arial" w:cs="Arial"/>
          <w:bCs/>
        </w:rPr>
        <w:t>.</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4F78A009" w:rsidR="009A2D37" w:rsidRPr="00302082" w:rsidRDefault="00883204" w:rsidP="001451ED">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sidR="00810EE3">
        <w:rPr>
          <w:rFonts w:ascii="Arial" w:hAnsi="Arial" w:cs="Arial"/>
          <w:b/>
        </w:rPr>
        <w:t xml:space="preserve"> where module will be delivered</w:t>
      </w:r>
    </w:p>
    <w:p w14:paraId="4DA2D295" w14:textId="28AB0C59" w:rsidR="009A2D37" w:rsidRPr="00951173" w:rsidRDefault="009C396D" w:rsidP="00810EE3">
      <w:pPr>
        <w:spacing w:after="120" w:line="240" w:lineRule="auto"/>
        <w:ind w:right="260"/>
        <w:jc w:val="both"/>
        <w:rPr>
          <w:rFonts w:ascii="Arial" w:hAnsi="Arial" w:cs="Arial"/>
          <w:b/>
        </w:rPr>
      </w:pPr>
      <w:r>
        <w:rPr>
          <w:rFonts w:ascii="Arial" w:hAnsi="Arial" w:cs="Arial"/>
        </w:rPr>
        <w:t xml:space="preserve">       </w:t>
      </w:r>
      <w:r w:rsidR="00B31F52">
        <w:rPr>
          <w:rFonts w:ascii="Arial" w:hAnsi="Arial" w:cs="Arial"/>
        </w:rPr>
        <w:t xml:space="preserve">Distance </w:t>
      </w:r>
    </w:p>
    <w:p w14:paraId="7A758B4C" w14:textId="77777777" w:rsidR="009A2D37" w:rsidRDefault="009A2D37" w:rsidP="00302082">
      <w:pPr>
        <w:spacing w:after="120" w:line="240" w:lineRule="auto"/>
        <w:ind w:left="426" w:right="260"/>
        <w:rPr>
          <w:rFonts w:ascii="Arial" w:hAnsi="Arial" w:cs="Arial"/>
          <w:i/>
          <w:iCs/>
        </w:rPr>
      </w:pPr>
    </w:p>
    <w:p w14:paraId="4A639AFA" w14:textId="259D93A7" w:rsidR="006F3C3B" w:rsidRDefault="00883204" w:rsidP="001451ED">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05FC6EF6" w14:textId="314B1127" w:rsidR="00096B51" w:rsidRPr="00096B51" w:rsidRDefault="008D4AC2" w:rsidP="00096B51">
      <w:pPr>
        <w:pStyle w:val="ListParagraph"/>
        <w:spacing w:after="120" w:line="240" w:lineRule="auto"/>
        <w:ind w:left="360" w:right="261"/>
        <w:jc w:val="both"/>
        <w:rPr>
          <w:rFonts w:ascii="Arial" w:hAnsi="Arial" w:cs="Arial"/>
        </w:rPr>
      </w:pPr>
      <w:r>
        <w:rPr>
          <w:rFonts w:ascii="Arial" w:hAnsi="Arial" w:cs="Arial"/>
        </w:rPr>
        <w:t>Contract Law</w:t>
      </w:r>
      <w:r w:rsidR="00096B51" w:rsidRPr="00096B51">
        <w:rPr>
          <w:rFonts w:ascii="Arial" w:hAnsi="Arial" w:cs="Arial"/>
        </w:rPr>
        <w:t xml:space="preserve"> for construction is of international interest</w:t>
      </w:r>
      <w:r>
        <w:rPr>
          <w:rFonts w:ascii="Arial" w:hAnsi="Arial" w:cs="Arial"/>
        </w:rPr>
        <w:t xml:space="preserve"> as t</w:t>
      </w:r>
      <w:r w:rsidR="00096B51" w:rsidRPr="00096B51">
        <w:rPr>
          <w:rFonts w:ascii="Arial" w:hAnsi="Arial" w:cs="Arial"/>
        </w:rPr>
        <w:t xml:space="preserve">he global scope of the construction industry </w:t>
      </w:r>
      <w:r>
        <w:rPr>
          <w:rFonts w:ascii="Arial" w:hAnsi="Arial" w:cs="Arial"/>
        </w:rPr>
        <w:t xml:space="preserve">is </w:t>
      </w:r>
      <w:r w:rsidR="00096B51" w:rsidRPr="00096B51">
        <w:rPr>
          <w:rFonts w:ascii="Arial" w:hAnsi="Arial" w:cs="Arial"/>
        </w:rPr>
        <w:t>significant. This module increases awareness of the connections between global enterprises and UK construction</w:t>
      </w:r>
      <w:r>
        <w:rPr>
          <w:rFonts w:ascii="Arial" w:hAnsi="Arial" w:cs="Arial"/>
        </w:rPr>
        <w:t>.</w:t>
      </w:r>
      <w:r w:rsidR="00096B51" w:rsidRPr="00096B51">
        <w:rPr>
          <w:rFonts w:ascii="Arial" w:hAnsi="Arial" w:cs="Arial"/>
        </w:rPr>
        <w:t xml:space="preserve"> </w:t>
      </w: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4E4462EF" w:rsidR="00870B98" w:rsidRPr="00302082" w:rsidRDefault="003A49A6" w:rsidP="00870B98">
            <w:pPr>
              <w:spacing w:after="120"/>
              <w:ind w:right="-330"/>
              <w:rPr>
                <w:rFonts w:ascii="Arial" w:hAnsi="Arial" w:cs="Arial"/>
              </w:rPr>
            </w:pPr>
            <w:r>
              <w:rPr>
                <w:rFonts w:ascii="Arial" w:hAnsi="Arial" w:cs="Arial"/>
              </w:rPr>
              <w:t xml:space="preserve"> </w:t>
            </w:r>
            <w:r w:rsidR="004B2E84">
              <w:rPr>
                <w:rFonts w:ascii="Arial" w:hAnsi="Arial" w:cs="Arial"/>
              </w:rPr>
              <w:t>24 Jan 19</w:t>
            </w:r>
          </w:p>
        </w:tc>
        <w:tc>
          <w:tcPr>
            <w:tcW w:w="1701" w:type="dxa"/>
          </w:tcPr>
          <w:p w14:paraId="01801C46" w14:textId="40989C08" w:rsidR="00870B98" w:rsidRPr="00302082" w:rsidRDefault="004B2E84" w:rsidP="00870B98">
            <w:pPr>
              <w:spacing w:after="120"/>
              <w:ind w:right="-330"/>
              <w:rPr>
                <w:rFonts w:ascii="Arial" w:hAnsi="Arial" w:cs="Arial"/>
              </w:rPr>
            </w:pPr>
            <w:r>
              <w:rPr>
                <w:rFonts w:ascii="Arial" w:hAnsi="Arial" w:cs="Arial"/>
              </w:rPr>
              <w:t>New</w:t>
            </w:r>
          </w:p>
        </w:tc>
        <w:tc>
          <w:tcPr>
            <w:tcW w:w="2410" w:type="dxa"/>
          </w:tcPr>
          <w:p w14:paraId="2AC94CCC" w14:textId="0FFB3307" w:rsidR="00870B98" w:rsidRPr="00302082" w:rsidRDefault="004B2E84" w:rsidP="00870B98">
            <w:pPr>
              <w:spacing w:after="120"/>
              <w:ind w:right="-330"/>
              <w:rPr>
                <w:rFonts w:ascii="Arial" w:hAnsi="Arial" w:cs="Arial"/>
              </w:rPr>
            </w:pPr>
            <w:r>
              <w:rPr>
                <w:rFonts w:ascii="Arial" w:hAnsi="Arial" w:cs="Arial"/>
              </w:rPr>
              <w:t>Sept 19</w:t>
            </w:r>
          </w:p>
        </w:tc>
        <w:tc>
          <w:tcPr>
            <w:tcW w:w="2448" w:type="dxa"/>
          </w:tcPr>
          <w:p w14:paraId="0793FDC3" w14:textId="142D4894" w:rsidR="00870B98" w:rsidRPr="00302082" w:rsidRDefault="004B2E84"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1D67DBC6"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BF42" w14:textId="77777777" w:rsidR="0016710A" w:rsidRDefault="0016710A" w:rsidP="009A2D37">
      <w:pPr>
        <w:spacing w:after="0" w:line="240" w:lineRule="auto"/>
      </w:pPr>
      <w:r>
        <w:separator/>
      </w:r>
    </w:p>
  </w:endnote>
  <w:endnote w:type="continuationSeparator" w:id="0">
    <w:p w14:paraId="0BC3B1E6" w14:textId="77777777" w:rsidR="0016710A" w:rsidRDefault="0016710A" w:rsidP="009A2D37">
      <w:pPr>
        <w:spacing w:after="0" w:line="240" w:lineRule="auto"/>
      </w:pPr>
      <w:r>
        <w:continuationSeparator/>
      </w:r>
    </w:p>
  </w:endnote>
  <w:endnote w:type="continuationNotice" w:id="1">
    <w:p w14:paraId="4374FF18" w14:textId="77777777" w:rsidR="0016710A" w:rsidRDefault="00167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47286FBF" w:rsidR="008B2543" w:rsidRDefault="0019787E" w:rsidP="009A2D37">
        <w:pPr>
          <w:pStyle w:val="Footer"/>
          <w:jc w:val="center"/>
        </w:pPr>
        <w:r>
          <w:fldChar w:fldCharType="begin"/>
        </w:r>
        <w:r>
          <w:instrText xml:space="preserve"> PAGE   \* MERGEFORMAT </w:instrText>
        </w:r>
        <w:r>
          <w:fldChar w:fldCharType="separate"/>
        </w:r>
        <w:r w:rsidR="00057AB2">
          <w:rPr>
            <w:noProof/>
          </w:rPr>
          <w:t>3</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16E9" w14:textId="77777777" w:rsidR="0016710A" w:rsidRDefault="0016710A" w:rsidP="009A2D37">
      <w:pPr>
        <w:spacing w:after="0" w:line="240" w:lineRule="auto"/>
      </w:pPr>
      <w:r>
        <w:separator/>
      </w:r>
    </w:p>
  </w:footnote>
  <w:footnote w:type="continuationSeparator" w:id="0">
    <w:p w14:paraId="4C1F2B70" w14:textId="77777777" w:rsidR="0016710A" w:rsidRDefault="0016710A" w:rsidP="009A2D37">
      <w:pPr>
        <w:spacing w:after="0" w:line="240" w:lineRule="auto"/>
      </w:pPr>
      <w:r>
        <w:continuationSeparator/>
      </w:r>
    </w:p>
  </w:footnote>
  <w:footnote w:type="continuationNotice" w:id="1">
    <w:p w14:paraId="359BFB90" w14:textId="77777777" w:rsidR="0016710A" w:rsidRDefault="00167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774"/>
    <w:multiLevelType w:val="hybridMultilevel"/>
    <w:tmpl w:val="3DB498F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3" w15:restartNumberingAfterBreak="0">
    <w:nsid w:val="14007D95"/>
    <w:multiLevelType w:val="hybridMultilevel"/>
    <w:tmpl w:val="3F02A1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5" w15:restartNumberingAfterBreak="0">
    <w:nsid w:val="22B93AC2"/>
    <w:multiLevelType w:val="hybridMultilevel"/>
    <w:tmpl w:val="B6488D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C3E257E6"/>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D64560"/>
    <w:multiLevelType w:val="hybridMultilevel"/>
    <w:tmpl w:val="5EFC56B8"/>
    <w:lvl w:ilvl="0" w:tplc="0409000F">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C056FA6"/>
    <w:multiLevelType w:val="hybridMultilevel"/>
    <w:tmpl w:val="244E1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D9B4FE0"/>
    <w:multiLevelType w:val="hybridMultilevel"/>
    <w:tmpl w:val="FCFE4EE8"/>
    <w:lvl w:ilvl="0" w:tplc="0409000F">
      <w:start w:val="1"/>
      <w:numFmt w:val="decimal"/>
      <w:lvlText w:val="%1."/>
      <w:lvlJc w:val="left"/>
      <w:pPr>
        <w:ind w:left="92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5" w15:restartNumberingAfterBreak="0">
    <w:nsid w:val="5F9E02EC"/>
    <w:multiLevelType w:val="hybridMultilevel"/>
    <w:tmpl w:val="70306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926DE"/>
    <w:multiLevelType w:val="hybridMultilevel"/>
    <w:tmpl w:val="B0CCF96C"/>
    <w:lvl w:ilvl="0" w:tplc="0409000F">
      <w:start w:val="1"/>
      <w:numFmt w:val="decimal"/>
      <w:lvlText w:val="%1."/>
      <w:lvlJc w:val="left"/>
      <w:pPr>
        <w:ind w:left="927"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6"/>
  </w:num>
  <w:num w:numId="2">
    <w:abstractNumId w:val="0"/>
  </w:num>
  <w:num w:numId="3">
    <w:abstractNumId w:val="8"/>
  </w:num>
  <w:num w:numId="4">
    <w:abstractNumId w:val="1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4"/>
  </w:num>
  <w:num w:numId="10">
    <w:abstractNumId w:val="4"/>
  </w:num>
  <w:num w:numId="11">
    <w:abstractNumId w:val="16"/>
  </w:num>
  <w:num w:numId="12">
    <w:abstractNumId w:val="2"/>
  </w:num>
  <w:num w:numId="13">
    <w:abstractNumId w:val="15"/>
  </w:num>
  <w:num w:numId="14">
    <w:abstractNumId w:val="10"/>
  </w:num>
  <w:num w:numId="15">
    <w:abstractNumId w:val="12"/>
  </w:num>
  <w:num w:numId="16">
    <w:abstractNumId w:val="13"/>
  </w:num>
  <w:num w:numId="17">
    <w:abstractNumId w:val="3"/>
  </w:num>
  <w:num w:numId="18">
    <w:abstractNumId w:val="1"/>
  </w:num>
  <w:num w:numId="19">
    <w:abstractNumId w:val="18"/>
  </w:num>
  <w:num w:numId="20">
    <w:abstractNumId w:val="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9A2"/>
    <w:rsid w:val="00021EA0"/>
    <w:rsid w:val="00024F68"/>
    <w:rsid w:val="00025992"/>
    <w:rsid w:val="00027937"/>
    <w:rsid w:val="00030C9E"/>
    <w:rsid w:val="00031E67"/>
    <w:rsid w:val="00037B07"/>
    <w:rsid w:val="000408CC"/>
    <w:rsid w:val="00045373"/>
    <w:rsid w:val="000515CE"/>
    <w:rsid w:val="000576D2"/>
    <w:rsid w:val="00057AB2"/>
    <w:rsid w:val="00063A2F"/>
    <w:rsid w:val="000678D3"/>
    <w:rsid w:val="00070D8F"/>
    <w:rsid w:val="00076460"/>
    <w:rsid w:val="00094810"/>
    <w:rsid w:val="00096B51"/>
    <w:rsid w:val="00096DA4"/>
    <w:rsid w:val="000C0294"/>
    <w:rsid w:val="000C7A1C"/>
    <w:rsid w:val="000D2A8A"/>
    <w:rsid w:val="000D32AC"/>
    <w:rsid w:val="000E13B4"/>
    <w:rsid w:val="000E20C1"/>
    <w:rsid w:val="000E3B73"/>
    <w:rsid w:val="000E4E9F"/>
    <w:rsid w:val="000F6C56"/>
    <w:rsid w:val="000F7FBF"/>
    <w:rsid w:val="00103868"/>
    <w:rsid w:val="00106BE5"/>
    <w:rsid w:val="00110947"/>
    <w:rsid w:val="00111906"/>
    <w:rsid w:val="00111CB3"/>
    <w:rsid w:val="00117577"/>
    <w:rsid w:val="00117793"/>
    <w:rsid w:val="001206E4"/>
    <w:rsid w:val="001214D3"/>
    <w:rsid w:val="00121BFC"/>
    <w:rsid w:val="001315E7"/>
    <w:rsid w:val="001402AD"/>
    <w:rsid w:val="001451ED"/>
    <w:rsid w:val="001540CE"/>
    <w:rsid w:val="00154DB4"/>
    <w:rsid w:val="00155279"/>
    <w:rsid w:val="0015717B"/>
    <w:rsid w:val="00157ACA"/>
    <w:rsid w:val="00160420"/>
    <w:rsid w:val="00160427"/>
    <w:rsid w:val="00162D46"/>
    <w:rsid w:val="0016710A"/>
    <w:rsid w:val="00172793"/>
    <w:rsid w:val="0017330D"/>
    <w:rsid w:val="00180558"/>
    <w:rsid w:val="001811E5"/>
    <w:rsid w:val="00183B34"/>
    <w:rsid w:val="00185F46"/>
    <w:rsid w:val="00186F37"/>
    <w:rsid w:val="001950BD"/>
    <w:rsid w:val="00196C6A"/>
    <w:rsid w:val="0019787E"/>
    <w:rsid w:val="001A425B"/>
    <w:rsid w:val="001B1B28"/>
    <w:rsid w:val="001B27FB"/>
    <w:rsid w:val="001B3FA7"/>
    <w:rsid w:val="001C4A85"/>
    <w:rsid w:val="001C5443"/>
    <w:rsid w:val="001C6634"/>
    <w:rsid w:val="001D0C7D"/>
    <w:rsid w:val="001D1F2D"/>
    <w:rsid w:val="001D2314"/>
    <w:rsid w:val="001D6398"/>
    <w:rsid w:val="001E1F45"/>
    <w:rsid w:val="001E62C1"/>
    <w:rsid w:val="001F0779"/>
    <w:rsid w:val="001F3C3E"/>
    <w:rsid w:val="001F4020"/>
    <w:rsid w:val="001F4327"/>
    <w:rsid w:val="001F4ECC"/>
    <w:rsid w:val="00201C5F"/>
    <w:rsid w:val="0020243A"/>
    <w:rsid w:val="002049BE"/>
    <w:rsid w:val="0021578E"/>
    <w:rsid w:val="002176D3"/>
    <w:rsid w:val="00223470"/>
    <w:rsid w:val="00227582"/>
    <w:rsid w:val="002308BE"/>
    <w:rsid w:val="002407C0"/>
    <w:rsid w:val="002461AF"/>
    <w:rsid w:val="002465A1"/>
    <w:rsid w:val="00247A33"/>
    <w:rsid w:val="00252320"/>
    <w:rsid w:val="00264576"/>
    <w:rsid w:val="00264A30"/>
    <w:rsid w:val="00265665"/>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C16F7"/>
    <w:rsid w:val="002E034A"/>
    <w:rsid w:val="002E6B83"/>
    <w:rsid w:val="002E71C0"/>
    <w:rsid w:val="002F05F4"/>
    <w:rsid w:val="002F0CE4"/>
    <w:rsid w:val="002F23EF"/>
    <w:rsid w:val="002F2626"/>
    <w:rsid w:val="002F7DB9"/>
    <w:rsid w:val="00302082"/>
    <w:rsid w:val="00306620"/>
    <w:rsid w:val="00307F82"/>
    <w:rsid w:val="00324267"/>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5207"/>
    <w:rsid w:val="004068AE"/>
    <w:rsid w:val="00406F07"/>
    <w:rsid w:val="004114F8"/>
    <w:rsid w:val="00422B69"/>
    <w:rsid w:val="00423D86"/>
    <w:rsid w:val="00424C90"/>
    <w:rsid w:val="0042539F"/>
    <w:rsid w:val="00425BD1"/>
    <w:rsid w:val="00436BE9"/>
    <w:rsid w:val="00441E76"/>
    <w:rsid w:val="004443DA"/>
    <w:rsid w:val="00446A75"/>
    <w:rsid w:val="004474A2"/>
    <w:rsid w:val="0045662C"/>
    <w:rsid w:val="00457846"/>
    <w:rsid w:val="00460925"/>
    <w:rsid w:val="00460E3D"/>
    <w:rsid w:val="00461ED1"/>
    <w:rsid w:val="00471C6C"/>
    <w:rsid w:val="00472023"/>
    <w:rsid w:val="004728F2"/>
    <w:rsid w:val="0047438C"/>
    <w:rsid w:val="00481C24"/>
    <w:rsid w:val="0048614D"/>
    <w:rsid w:val="00486993"/>
    <w:rsid w:val="00492DA4"/>
    <w:rsid w:val="00496AA3"/>
    <w:rsid w:val="00497C98"/>
    <w:rsid w:val="004A0A6C"/>
    <w:rsid w:val="004A39D7"/>
    <w:rsid w:val="004A55FA"/>
    <w:rsid w:val="004B2E84"/>
    <w:rsid w:val="004B5D03"/>
    <w:rsid w:val="004C1EC4"/>
    <w:rsid w:val="004D035C"/>
    <w:rsid w:val="004D19E9"/>
    <w:rsid w:val="004D398A"/>
    <w:rsid w:val="004E59D8"/>
    <w:rsid w:val="004F2295"/>
    <w:rsid w:val="004F29CD"/>
    <w:rsid w:val="004F3C18"/>
    <w:rsid w:val="004F4328"/>
    <w:rsid w:val="005005E4"/>
    <w:rsid w:val="00513689"/>
    <w:rsid w:val="0051375A"/>
    <w:rsid w:val="00521097"/>
    <w:rsid w:val="00521604"/>
    <w:rsid w:val="005220A1"/>
    <w:rsid w:val="00525C26"/>
    <w:rsid w:val="0053059E"/>
    <w:rsid w:val="00532A16"/>
    <w:rsid w:val="00532F6F"/>
    <w:rsid w:val="00533663"/>
    <w:rsid w:val="00542089"/>
    <w:rsid w:val="005460C2"/>
    <w:rsid w:val="00546210"/>
    <w:rsid w:val="0055065F"/>
    <w:rsid w:val="00550700"/>
    <w:rsid w:val="005526FB"/>
    <w:rsid w:val="0055280A"/>
    <w:rsid w:val="005548E1"/>
    <w:rsid w:val="0055585D"/>
    <w:rsid w:val="0056127B"/>
    <w:rsid w:val="00561D26"/>
    <w:rsid w:val="00564738"/>
    <w:rsid w:val="00566271"/>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7D7"/>
    <w:rsid w:val="00641D6D"/>
    <w:rsid w:val="0064364E"/>
    <w:rsid w:val="006438F3"/>
    <w:rsid w:val="00647907"/>
    <w:rsid w:val="00651A82"/>
    <w:rsid w:val="006525E9"/>
    <w:rsid w:val="0065374E"/>
    <w:rsid w:val="0065564A"/>
    <w:rsid w:val="0065595C"/>
    <w:rsid w:val="00660AEE"/>
    <w:rsid w:val="00660EDE"/>
    <w:rsid w:val="00661506"/>
    <w:rsid w:val="0066251A"/>
    <w:rsid w:val="00664A6D"/>
    <w:rsid w:val="0066747B"/>
    <w:rsid w:val="006725EC"/>
    <w:rsid w:val="00674ED0"/>
    <w:rsid w:val="00682650"/>
    <w:rsid w:val="006828F1"/>
    <w:rsid w:val="00683609"/>
    <w:rsid w:val="00684851"/>
    <w:rsid w:val="006851AA"/>
    <w:rsid w:val="0069250C"/>
    <w:rsid w:val="00694309"/>
    <w:rsid w:val="00695285"/>
    <w:rsid w:val="00696FF5"/>
    <w:rsid w:val="006A29BF"/>
    <w:rsid w:val="006A6BB4"/>
    <w:rsid w:val="006A7FB0"/>
    <w:rsid w:val="006B1E60"/>
    <w:rsid w:val="006B6356"/>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1231"/>
    <w:rsid w:val="00787070"/>
    <w:rsid w:val="007906FD"/>
    <w:rsid w:val="007960F3"/>
    <w:rsid w:val="00797197"/>
    <w:rsid w:val="007972A7"/>
    <w:rsid w:val="007A2BA2"/>
    <w:rsid w:val="007A6245"/>
    <w:rsid w:val="007B080C"/>
    <w:rsid w:val="007B1DB2"/>
    <w:rsid w:val="007B375B"/>
    <w:rsid w:val="007B412A"/>
    <w:rsid w:val="007B635E"/>
    <w:rsid w:val="007B7724"/>
    <w:rsid w:val="007B7CDC"/>
    <w:rsid w:val="007C74B4"/>
    <w:rsid w:val="007C7D19"/>
    <w:rsid w:val="007D19A3"/>
    <w:rsid w:val="007D31B5"/>
    <w:rsid w:val="007D4B16"/>
    <w:rsid w:val="007D60A4"/>
    <w:rsid w:val="007D6361"/>
    <w:rsid w:val="007D7F05"/>
    <w:rsid w:val="007E3412"/>
    <w:rsid w:val="007F393D"/>
    <w:rsid w:val="008020AF"/>
    <w:rsid w:val="008029AF"/>
    <w:rsid w:val="00802FFA"/>
    <w:rsid w:val="00805F05"/>
    <w:rsid w:val="008071B3"/>
    <w:rsid w:val="008102E5"/>
    <w:rsid w:val="00810EE3"/>
    <w:rsid w:val="008111B4"/>
    <w:rsid w:val="008133F0"/>
    <w:rsid w:val="00815880"/>
    <w:rsid w:val="0082322C"/>
    <w:rsid w:val="00823942"/>
    <w:rsid w:val="00827FFD"/>
    <w:rsid w:val="0083074C"/>
    <w:rsid w:val="00835FA6"/>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A0F36"/>
    <w:rsid w:val="008A2105"/>
    <w:rsid w:val="008B2543"/>
    <w:rsid w:val="008B4B6E"/>
    <w:rsid w:val="008C34BC"/>
    <w:rsid w:val="008D16B0"/>
    <w:rsid w:val="008D4AC2"/>
    <w:rsid w:val="008D6559"/>
    <w:rsid w:val="008D71E5"/>
    <w:rsid w:val="008D7401"/>
    <w:rsid w:val="008F4B3B"/>
    <w:rsid w:val="00903DF6"/>
    <w:rsid w:val="00904345"/>
    <w:rsid w:val="00904C03"/>
    <w:rsid w:val="00904E80"/>
    <w:rsid w:val="00905D25"/>
    <w:rsid w:val="00921CF6"/>
    <w:rsid w:val="00922E9E"/>
    <w:rsid w:val="00924EF0"/>
    <w:rsid w:val="00930AE6"/>
    <w:rsid w:val="00934D7B"/>
    <w:rsid w:val="009354F3"/>
    <w:rsid w:val="00947180"/>
    <w:rsid w:val="00951173"/>
    <w:rsid w:val="0095185A"/>
    <w:rsid w:val="0095522D"/>
    <w:rsid w:val="009567BE"/>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396D"/>
    <w:rsid w:val="009C7082"/>
    <w:rsid w:val="009C76CB"/>
    <w:rsid w:val="009D0006"/>
    <w:rsid w:val="009D068C"/>
    <w:rsid w:val="009D2238"/>
    <w:rsid w:val="009D2E50"/>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533F4"/>
    <w:rsid w:val="00A618E1"/>
    <w:rsid w:val="00A629B9"/>
    <w:rsid w:val="00A70C20"/>
    <w:rsid w:val="00A74289"/>
    <w:rsid w:val="00A74292"/>
    <w:rsid w:val="00A776DE"/>
    <w:rsid w:val="00A80640"/>
    <w:rsid w:val="00A81FA6"/>
    <w:rsid w:val="00A87FFD"/>
    <w:rsid w:val="00A90A38"/>
    <w:rsid w:val="00A97038"/>
    <w:rsid w:val="00A97E7B"/>
    <w:rsid w:val="00AA15CF"/>
    <w:rsid w:val="00AA20E8"/>
    <w:rsid w:val="00AA3C15"/>
    <w:rsid w:val="00AA3DE5"/>
    <w:rsid w:val="00AA5011"/>
    <w:rsid w:val="00AA6330"/>
    <w:rsid w:val="00AC7501"/>
    <w:rsid w:val="00AC7F3A"/>
    <w:rsid w:val="00AD3BFA"/>
    <w:rsid w:val="00AD748B"/>
    <w:rsid w:val="00AE4403"/>
    <w:rsid w:val="00AE4865"/>
    <w:rsid w:val="00AF50EE"/>
    <w:rsid w:val="00B0591D"/>
    <w:rsid w:val="00B0667B"/>
    <w:rsid w:val="00B10FA2"/>
    <w:rsid w:val="00B13402"/>
    <w:rsid w:val="00B1435C"/>
    <w:rsid w:val="00B14BC2"/>
    <w:rsid w:val="00B17024"/>
    <w:rsid w:val="00B17CD2"/>
    <w:rsid w:val="00B20938"/>
    <w:rsid w:val="00B213D2"/>
    <w:rsid w:val="00B248BA"/>
    <w:rsid w:val="00B24B56"/>
    <w:rsid w:val="00B30E07"/>
    <w:rsid w:val="00B31F52"/>
    <w:rsid w:val="00B32AD9"/>
    <w:rsid w:val="00B34ADD"/>
    <w:rsid w:val="00B52FF5"/>
    <w:rsid w:val="00B5498B"/>
    <w:rsid w:val="00B57219"/>
    <w:rsid w:val="00B658A3"/>
    <w:rsid w:val="00B66A47"/>
    <w:rsid w:val="00B719C5"/>
    <w:rsid w:val="00B737C1"/>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163D"/>
    <w:rsid w:val="00C2492F"/>
    <w:rsid w:val="00C27559"/>
    <w:rsid w:val="00C33118"/>
    <w:rsid w:val="00C35893"/>
    <w:rsid w:val="00C3744A"/>
    <w:rsid w:val="00C4002A"/>
    <w:rsid w:val="00C40CA2"/>
    <w:rsid w:val="00C45A80"/>
    <w:rsid w:val="00C46912"/>
    <w:rsid w:val="00C52A6B"/>
    <w:rsid w:val="00C57028"/>
    <w:rsid w:val="00C612A8"/>
    <w:rsid w:val="00C62728"/>
    <w:rsid w:val="00C67631"/>
    <w:rsid w:val="00C709C6"/>
    <w:rsid w:val="00C7185D"/>
    <w:rsid w:val="00C729D7"/>
    <w:rsid w:val="00C80A3C"/>
    <w:rsid w:val="00C83354"/>
    <w:rsid w:val="00C84004"/>
    <w:rsid w:val="00C843F6"/>
    <w:rsid w:val="00C84507"/>
    <w:rsid w:val="00C862C7"/>
    <w:rsid w:val="00C90065"/>
    <w:rsid w:val="00C90AF8"/>
    <w:rsid w:val="00C911ED"/>
    <w:rsid w:val="00C920F1"/>
    <w:rsid w:val="00C92DD0"/>
    <w:rsid w:val="00C933D7"/>
    <w:rsid w:val="00CA3254"/>
    <w:rsid w:val="00CA570D"/>
    <w:rsid w:val="00CB05B8"/>
    <w:rsid w:val="00CB11CE"/>
    <w:rsid w:val="00CC00D1"/>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342C0"/>
    <w:rsid w:val="00D37760"/>
    <w:rsid w:val="00D44AEB"/>
    <w:rsid w:val="00D646DC"/>
    <w:rsid w:val="00D65506"/>
    <w:rsid w:val="00D773CF"/>
    <w:rsid w:val="00D812B8"/>
    <w:rsid w:val="00D83563"/>
    <w:rsid w:val="00D8448F"/>
    <w:rsid w:val="00D85B5E"/>
    <w:rsid w:val="00D95553"/>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415E5"/>
    <w:rsid w:val="00E5041A"/>
    <w:rsid w:val="00E51404"/>
    <w:rsid w:val="00E574C9"/>
    <w:rsid w:val="00E610DE"/>
    <w:rsid w:val="00E66167"/>
    <w:rsid w:val="00E704B6"/>
    <w:rsid w:val="00E71F2F"/>
    <w:rsid w:val="00E77786"/>
    <w:rsid w:val="00E806FB"/>
    <w:rsid w:val="00E83276"/>
    <w:rsid w:val="00E83777"/>
    <w:rsid w:val="00EA129D"/>
    <w:rsid w:val="00EA47C7"/>
    <w:rsid w:val="00EB08E2"/>
    <w:rsid w:val="00EB1C2D"/>
    <w:rsid w:val="00EC1810"/>
    <w:rsid w:val="00EC3FCC"/>
    <w:rsid w:val="00EC5335"/>
    <w:rsid w:val="00ED32FF"/>
    <w:rsid w:val="00EF039B"/>
    <w:rsid w:val="00EF4933"/>
    <w:rsid w:val="00EF5044"/>
    <w:rsid w:val="00F01956"/>
    <w:rsid w:val="00F04136"/>
    <w:rsid w:val="00F116CE"/>
    <w:rsid w:val="00F13107"/>
    <w:rsid w:val="00F176DE"/>
    <w:rsid w:val="00F2055B"/>
    <w:rsid w:val="00F2131E"/>
    <w:rsid w:val="00F21C47"/>
    <w:rsid w:val="00F244E2"/>
    <w:rsid w:val="00F340DE"/>
    <w:rsid w:val="00F43542"/>
    <w:rsid w:val="00F44BAB"/>
    <w:rsid w:val="00F527CB"/>
    <w:rsid w:val="00F532F7"/>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673"/>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166047219">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EB8D-C7F2-4A14-8AB0-25DCF607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2018-06-29T13:15:00Z</cp:lastPrinted>
  <dcterms:created xsi:type="dcterms:W3CDTF">2019-02-26T15:19:00Z</dcterms:created>
  <dcterms:modified xsi:type="dcterms:W3CDTF">2019-02-26T15:19:00Z</dcterms:modified>
</cp:coreProperties>
</file>