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78CCD3D4" w14:textId="2406DB5C"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361A25C0" w14:textId="28B1B370" w:rsidR="00CB05B8" w:rsidRPr="002049BE" w:rsidRDefault="004E0700" w:rsidP="00CB05B8">
      <w:pPr>
        <w:spacing w:after="120" w:line="240" w:lineRule="auto"/>
        <w:ind w:left="567" w:right="260"/>
        <w:jc w:val="both"/>
        <w:rPr>
          <w:rFonts w:ascii="Arial" w:hAnsi="Arial" w:cs="Arial"/>
        </w:rPr>
      </w:pPr>
      <w:r w:rsidRPr="004E0700">
        <w:rPr>
          <w:rFonts w:ascii="Arial" w:hAnsi="Arial" w:cs="Arial"/>
        </w:rPr>
        <w:t>QUSU4006</w:t>
      </w:r>
      <w:r>
        <w:rPr>
          <w:rFonts w:ascii="Arial" w:hAnsi="Arial" w:cs="Arial"/>
        </w:rPr>
        <w:t xml:space="preserve"> </w:t>
      </w:r>
      <w:bookmarkStart w:id="0" w:name="_GoBack"/>
      <w:bookmarkEnd w:id="0"/>
      <w:r w:rsidR="00CB05B8" w:rsidRPr="002049BE">
        <w:rPr>
          <w:rFonts w:ascii="Arial" w:hAnsi="Arial" w:cs="Arial"/>
        </w:rPr>
        <w:t>Procurement</w:t>
      </w:r>
      <w:r w:rsidR="002B15B5">
        <w:rPr>
          <w:rFonts w:ascii="Arial" w:hAnsi="Arial" w:cs="Arial"/>
        </w:rPr>
        <w:t xml:space="preserve"> and Tendering</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42B6FB87" w:rsidR="009A2D37" w:rsidRPr="006828F1" w:rsidRDefault="005638BA"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16BD321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Pr="006828F1">
        <w:rPr>
          <w:rFonts w:ascii="Arial" w:hAnsi="Arial" w:cs="Arial"/>
          <w:iCs/>
        </w:rPr>
        <w:t>Level 4</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7C34200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w:t>
      </w:r>
      <w:r w:rsidR="000800F6">
        <w:rPr>
          <w:rFonts w:ascii="Arial" w:hAnsi="Arial" w:cs="Arial"/>
          <w:b/>
        </w:rPr>
        <w:t>t in (or other teaching pattern</w:t>
      </w:r>
    </w:p>
    <w:p w14:paraId="30DDEDB7" w14:textId="652A9EAA" w:rsidR="000800F6" w:rsidRPr="000800F6" w:rsidRDefault="000800F6" w:rsidP="000800F6">
      <w:pPr>
        <w:spacing w:after="120" w:line="240" w:lineRule="auto"/>
        <w:ind w:left="567" w:right="260"/>
        <w:jc w:val="both"/>
        <w:rPr>
          <w:rFonts w:ascii="Arial" w:hAnsi="Arial" w:cs="Arial"/>
        </w:rPr>
      </w:pPr>
      <w:r w:rsidRPr="000800F6">
        <w:rPr>
          <w:rFonts w:ascii="Arial" w:hAnsi="Arial" w:cs="Arial"/>
        </w:rPr>
        <w:t>This module is being taught as part of the BSc (Hons) Quantity Surveying being delivered through a part</w:t>
      </w:r>
      <w:r w:rsidR="005638BA">
        <w:rPr>
          <w:rFonts w:ascii="Arial" w:hAnsi="Arial" w:cs="Arial"/>
        </w:rPr>
        <w:t>-</w:t>
      </w:r>
      <w:r w:rsidRPr="000800F6">
        <w:rPr>
          <w:rFonts w:ascii="Arial" w:hAnsi="Arial" w:cs="Arial"/>
        </w:rPr>
        <w:t xml:space="preserve">time </w:t>
      </w:r>
      <w:r w:rsidR="00CB1858">
        <w:rPr>
          <w:rFonts w:ascii="Arial" w:hAnsi="Arial" w:cs="Arial"/>
        </w:rPr>
        <w:t>distance</w:t>
      </w:r>
      <w:r w:rsidR="00CB1858" w:rsidRPr="000800F6">
        <w:rPr>
          <w:rFonts w:ascii="Arial" w:hAnsi="Arial" w:cs="Arial"/>
        </w:rPr>
        <w:t xml:space="preserve"> </w:t>
      </w:r>
      <w:r w:rsidRPr="000800F6">
        <w:rPr>
          <w:rFonts w:ascii="Arial" w:hAnsi="Arial" w:cs="Arial"/>
        </w:rPr>
        <w:t>learning approach</w:t>
      </w:r>
      <w:r w:rsidR="00CB1858">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2B10BD9A" w:rsidR="0095522D" w:rsidRPr="006828F1" w:rsidRDefault="00F72D7F"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03AE54" w14:textId="675E6471" w:rsidR="00FD57AB" w:rsidRDefault="006828F1" w:rsidP="00FD57AB">
      <w:pPr>
        <w:spacing w:after="120" w:line="240" w:lineRule="auto"/>
        <w:ind w:left="567" w:right="260"/>
        <w:rPr>
          <w:rFonts w:ascii="Arial" w:hAnsi="Arial" w:cs="Arial"/>
          <w:iCs/>
        </w:rPr>
      </w:pPr>
      <w:r w:rsidRPr="006828F1">
        <w:rPr>
          <w:rFonts w:ascii="Arial" w:hAnsi="Arial" w:cs="Arial"/>
          <w:iCs/>
        </w:rPr>
        <w:t>BSc (Hons) Quantity Surveying</w:t>
      </w:r>
      <w:r w:rsidR="00CB1858">
        <w:rPr>
          <w:rFonts w:ascii="Arial" w:hAnsi="Arial" w:cs="Arial"/>
          <w:iCs/>
        </w:rPr>
        <w:t>, Certificate in Quantity Surveying.</w:t>
      </w:r>
    </w:p>
    <w:p w14:paraId="0C07A83E" w14:textId="0DB4737B" w:rsidR="00313DA8" w:rsidRPr="00313DA8" w:rsidRDefault="00FD57AB" w:rsidP="003D0AE0">
      <w:pPr>
        <w:pStyle w:val="ListParagraph"/>
        <w:numPr>
          <w:ilvl w:val="0"/>
          <w:numId w:val="1"/>
        </w:numPr>
        <w:spacing w:after="120" w:line="240" w:lineRule="auto"/>
        <w:ind w:right="260"/>
        <w:rPr>
          <w:rFonts w:ascii="Arial" w:hAnsi="Arial" w:cs="Arial"/>
          <w:iCs/>
        </w:rPr>
      </w:pPr>
      <w:r w:rsidRPr="00313DA8">
        <w:rPr>
          <w:rFonts w:ascii="Arial" w:hAnsi="Arial" w:cs="Arial"/>
          <w:b/>
        </w:rPr>
        <w:t xml:space="preserve">   </w:t>
      </w:r>
      <w:r w:rsidR="00EB08E2" w:rsidRPr="00313DA8">
        <w:rPr>
          <w:rFonts w:ascii="Arial" w:hAnsi="Arial" w:cs="Arial"/>
          <w:b/>
        </w:rPr>
        <w:t>The intended subject specific learning outcomes.</w:t>
      </w:r>
    </w:p>
    <w:p w14:paraId="30DFB23B" w14:textId="2EC8C96F" w:rsidR="00313DA8" w:rsidRPr="00AD665A" w:rsidRDefault="00313DA8" w:rsidP="00313DA8">
      <w:pPr>
        <w:pStyle w:val="ListParagraph"/>
        <w:spacing w:after="120" w:line="240" w:lineRule="auto"/>
        <w:ind w:left="502" w:right="260"/>
        <w:rPr>
          <w:rFonts w:ascii="Arial" w:hAnsi="Arial" w:cs="Arial"/>
          <w:iCs/>
        </w:rPr>
      </w:pPr>
      <w:r>
        <w:rPr>
          <w:rFonts w:ascii="Arial" w:hAnsi="Arial" w:cs="Arial"/>
          <w:b/>
        </w:rPr>
        <w:tab/>
      </w:r>
      <w:r w:rsidRPr="00AD665A">
        <w:rPr>
          <w:rFonts w:ascii="Arial" w:hAnsi="Arial" w:cs="Arial"/>
        </w:rPr>
        <w:t>On successfully completing the module students will be able to:</w:t>
      </w:r>
    </w:p>
    <w:p w14:paraId="3ABB7324" w14:textId="77777777" w:rsidR="002B15B5" w:rsidRDefault="002B15B5" w:rsidP="002B15B5">
      <w:pPr>
        <w:pStyle w:val="ListParagraph"/>
        <w:tabs>
          <w:tab w:val="left" w:pos="426"/>
        </w:tabs>
      </w:pPr>
    </w:p>
    <w:p w14:paraId="4228B978" w14:textId="24341C62" w:rsidR="00DB1FE0" w:rsidRPr="003A2487" w:rsidRDefault="00291951" w:rsidP="00775A4F">
      <w:pPr>
        <w:pStyle w:val="ListParagraph"/>
        <w:numPr>
          <w:ilvl w:val="0"/>
          <w:numId w:val="13"/>
        </w:numPr>
        <w:tabs>
          <w:tab w:val="left" w:pos="426"/>
        </w:tabs>
        <w:rPr>
          <w:rFonts w:ascii="Arial" w:hAnsi="Arial" w:cs="Arial"/>
        </w:rPr>
      </w:pPr>
      <w:r>
        <w:rPr>
          <w:rFonts w:ascii="Arial" w:hAnsi="Arial" w:cs="Arial"/>
        </w:rPr>
        <w:t xml:space="preserve">Understand </w:t>
      </w:r>
      <w:r w:rsidR="00DB1FE0" w:rsidRPr="003A2487">
        <w:rPr>
          <w:rFonts w:ascii="Arial" w:hAnsi="Arial" w:cs="Arial"/>
        </w:rPr>
        <w:t xml:space="preserve">the procurement process </w:t>
      </w:r>
      <w:r w:rsidR="00733A68">
        <w:rPr>
          <w:rFonts w:ascii="Arial" w:hAnsi="Arial" w:cs="Arial"/>
        </w:rPr>
        <w:t>from client and contractor perspectives</w:t>
      </w:r>
      <w:r w:rsidR="00CB1858">
        <w:rPr>
          <w:rFonts w:ascii="Arial" w:hAnsi="Arial" w:cs="Arial"/>
        </w:rPr>
        <w:t>.</w:t>
      </w:r>
    </w:p>
    <w:p w14:paraId="337933E5" w14:textId="594DAE49" w:rsidR="00FC4031" w:rsidRPr="003A2487" w:rsidRDefault="00AD665A" w:rsidP="00775A4F">
      <w:pPr>
        <w:pStyle w:val="ListParagraph"/>
        <w:numPr>
          <w:ilvl w:val="0"/>
          <w:numId w:val="13"/>
        </w:numPr>
        <w:tabs>
          <w:tab w:val="left" w:pos="426"/>
        </w:tabs>
        <w:rPr>
          <w:rFonts w:ascii="Arial" w:hAnsi="Arial" w:cs="Arial"/>
        </w:rPr>
      </w:pPr>
      <w:r>
        <w:rPr>
          <w:rFonts w:ascii="Arial" w:hAnsi="Arial" w:cs="Arial"/>
        </w:rPr>
        <w:t>Demonstrate an</w:t>
      </w:r>
      <w:r w:rsidR="003A2487" w:rsidRPr="003A2487">
        <w:rPr>
          <w:rFonts w:ascii="Arial" w:hAnsi="Arial" w:cs="Arial"/>
        </w:rPr>
        <w:t xml:space="preserve"> aware</w:t>
      </w:r>
      <w:r>
        <w:rPr>
          <w:rFonts w:ascii="Arial" w:hAnsi="Arial" w:cs="Arial"/>
        </w:rPr>
        <w:t>ness</w:t>
      </w:r>
      <w:r w:rsidR="003A2487" w:rsidRPr="003A2487">
        <w:rPr>
          <w:rFonts w:ascii="Arial" w:hAnsi="Arial" w:cs="Arial"/>
        </w:rPr>
        <w:t xml:space="preserve"> of the various </w:t>
      </w:r>
      <w:r w:rsidR="002B15B5" w:rsidRPr="003A2487">
        <w:rPr>
          <w:rFonts w:ascii="Arial" w:hAnsi="Arial" w:cs="Arial"/>
        </w:rPr>
        <w:t>procurement</w:t>
      </w:r>
      <w:r w:rsidR="005C0D38" w:rsidRPr="003A2487">
        <w:rPr>
          <w:rFonts w:ascii="Arial" w:hAnsi="Arial" w:cs="Arial"/>
        </w:rPr>
        <w:t xml:space="preserve"> routes</w:t>
      </w:r>
      <w:r w:rsidR="002B15B5" w:rsidRPr="003A2487">
        <w:rPr>
          <w:rFonts w:ascii="Arial" w:hAnsi="Arial" w:cs="Arial"/>
        </w:rPr>
        <w:t xml:space="preserve"> </w:t>
      </w:r>
      <w:r w:rsidR="005D1D7D" w:rsidRPr="003A2487">
        <w:rPr>
          <w:rFonts w:ascii="Arial" w:hAnsi="Arial" w:cs="Arial"/>
        </w:rPr>
        <w:t xml:space="preserve">and </w:t>
      </w:r>
      <w:r w:rsidR="00556E35" w:rsidRPr="003A2487">
        <w:rPr>
          <w:rFonts w:ascii="Arial" w:hAnsi="Arial" w:cs="Arial"/>
        </w:rPr>
        <w:t>procurement strategies</w:t>
      </w:r>
      <w:r w:rsidR="00E16C6C">
        <w:rPr>
          <w:rFonts w:ascii="Arial" w:hAnsi="Arial" w:cs="Arial"/>
        </w:rPr>
        <w:t xml:space="preserve"> and the risks associated with procurement</w:t>
      </w:r>
      <w:r w:rsidR="00CB1858">
        <w:rPr>
          <w:rFonts w:ascii="Arial" w:hAnsi="Arial" w:cs="Arial"/>
        </w:rPr>
        <w:t>.</w:t>
      </w:r>
    </w:p>
    <w:p w14:paraId="2613D2B0" w14:textId="39CCE90B" w:rsidR="00556E35" w:rsidRPr="003A2487" w:rsidRDefault="00AD665A" w:rsidP="00775A4F">
      <w:pPr>
        <w:pStyle w:val="ListParagraph"/>
        <w:numPr>
          <w:ilvl w:val="0"/>
          <w:numId w:val="13"/>
        </w:numPr>
        <w:tabs>
          <w:tab w:val="left" w:pos="426"/>
        </w:tabs>
        <w:rPr>
          <w:rFonts w:ascii="Arial" w:hAnsi="Arial" w:cs="Arial"/>
        </w:rPr>
      </w:pPr>
      <w:r>
        <w:rPr>
          <w:rFonts w:ascii="Arial" w:hAnsi="Arial" w:cs="Arial"/>
        </w:rPr>
        <w:t>Demonstrate a</w:t>
      </w:r>
      <w:r w:rsidR="000C69DE" w:rsidRPr="003A2487">
        <w:rPr>
          <w:rFonts w:ascii="Arial" w:hAnsi="Arial" w:cs="Arial"/>
        </w:rPr>
        <w:t xml:space="preserve"> basic u</w:t>
      </w:r>
      <w:r w:rsidR="00556E35" w:rsidRPr="003A2487">
        <w:rPr>
          <w:rFonts w:ascii="Arial" w:hAnsi="Arial" w:cs="Arial"/>
        </w:rPr>
        <w:t>nderstand</w:t>
      </w:r>
      <w:r w:rsidR="000C69DE" w:rsidRPr="003A2487">
        <w:rPr>
          <w:rFonts w:ascii="Arial" w:hAnsi="Arial" w:cs="Arial"/>
        </w:rPr>
        <w:t>ing</w:t>
      </w:r>
      <w:r w:rsidR="00556E35" w:rsidRPr="003A2487">
        <w:rPr>
          <w:rFonts w:ascii="Arial" w:hAnsi="Arial" w:cs="Arial"/>
        </w:rPr>
        <w:t xml:space="preserve"> </w:t>
      </w:r>
      <w:r w:rsidR="00E22501" w:rsidRPr="003A2487">
        <w:rPr>
          <w:rFonts w:ascii="Arial" w:hAnsi="Arial" w:cs="Arial"/>
        </w:rPr>
        <w:t xml:space="preserve">of </w:t>
      </w:r>
      <w:r w:rsidR="00DB1FE0" w:rsidRPr="003A2487">
        <w:rPr>
          <w:rFonts w:ascii="Arial" w:hAnsi="Arial" w:cs="Arial"/>
        </w:rPr>
        <w:t xml:space="preserve">how to structure </w:t>
      </w:r>
      <w:r w:rsidR="000C69DE" w:rsidRPr="003A2487">
        <w:rPr>
          <w:rFonts w:ascii="Arial" w:hAnsi="Arial" w:cs="Arial"/>
        </w:rPr>
        <w:t>ten</w:t>
      </w:r>
      <w:r w:rsidR="00556E35" w:rsidRPr="003A2487">
        <w:rPr>
          <w:rFonts w:ascii="Arial" w:hAnsi="Arial" w:cs="Arial"/>
        </w:rPr>
        <w:t xml:space="preserve">dering </w:t>
      </w:r>
      <w:r w:rsidR="008C6039" w:rsidRPr="003A2487">
        <w:rPr>
          <w:rFonts w:ascii="Arial" w:hAnsi="Arial" w:cs="Arial"/>
        </w:rPr>
        <w:t xml:space="preserve">documentation </w:t>
      </w:r>
      <w:r w:rsidR="00D65F66" w:rsidRPr="003A2487">
        <w:rPr>
          <w:rFonts w:ascii="Arial" w:hAnsi="Arial" w:cs="Arial"/>
        </w:rPr>
        <w:t xml:space="preserve">and </w:t>
      </w:r>
      <w:r w:rsidR="009F6321" w:rsidRPr="003A2487">
        <w:rPr>
          <w:rFonts w:ascii="Arial" w:hAnsi="Arial" w:cs="Arial"/>
        </w:rPr>
        <w:t>associated forms of contract</w:t>
      </w:r>
      <w:r>
        <w:rPr>
          <w:rFonts w:ascii="Arial" w:hAnsi="Arial" w:cs="Arial"/>
        </w:rPr>
        <w:t xml:space="preserve"> with reference to T</w:t>
      </w:r>
      <w:r w:rsidR="002F00A5" w:rsidRPr="003A2487">
        <w:rPr>
          <w:rFonts w:ascii="Arial" w:hAnsi="Arial" w:cs="Arial"/>
        </w:rPr>
        <w:t xml:space="preserve">he </w:t>
      </w:r>
      <w:r>
        <w:rPr>
          <w:rFonts w:ascii="Arial" w:hAnsi="Arial" w:cs="Arial"/>
        </w:rPr>
        <w:t>Joint Contracts Tribunal (</w:t>
      </w:r>
      <w:r w:rsidR="002F00A5" w:rsidRPr="003A2487">
        <w:rPr>
          <w:rFonts w:ascii="Arial" w:hAnsi="Arial" w:cs="Arial"/>
        </w:rPr>
        <w:t>JCT</w:t>
      </w:r>
      <w:r>
        <w:rPr>
          <w:rFonts w:ascii="Arial" w:hAnsi="Arial" w:cs="Arial"/>
        </w:rPr>
        <w:t>)</w:t>
      </w:r>
      <w:r w:rsidR="00CB1858">
        <w:rPr>
          <w:rFonts w:ascii="Arial" w:hAnsi="Arial" w:cs="Arial"/>
        </w:rPr>
        <w:t>.</w:t>
      </w:r>
    </w:p>
    <w:p w14:paraId="2286DA9E" w14:textId="06BF3E26" w:rsidR="00291951" w:rsidRDefault="00AD665A" w:rsidP="00291951">
      <w:pPr>
        <w:pStyle w:val="ListParagraph"/>
        <w:numPr>
          <w:ilvl w:val="0"/>
          <w:numId w:val="13"/>
        </w:numPr>
        <w:tabs>
          <w:tab w:val="left" w:pos="426"/>
        </w:tabs>
        <w:rPr>
          <w:rFonts w:ascii="Arial" w:hAnsi="Arial" w:cs="Arial"/>
        </w:rPr>
      </w:pPr>
      <w:r>
        <w:rPr>
          <w:rFonts w:ascii="Arial" w:hAnsi="Arial" w:cs="Arial"/>
        </w:rPr>
        <w:t>Demonstrate a</w:t>
      </w:r>
      <w:r w:rsidR="00291951">
        <w:rPr>
          <w:rFonts w:ascii="Arial" w:hAnsi="Arial" w:cs="Arial"/>
        </w:rPr>
        <w:t xml:space="preserve"> good understanding of stakeholders of the project and the key drivers within tender submissions</w:t>
      </w:r>
    </w:p>
    <w:p w14:paraId="2FEDC921" w14:textId="70E00AB1" w:rsidR="00291951" w:rsidRPr="003A2487" w:rsidRDefault="00AD665A" w:rsidP="00291951">
      <w:pPr>
        <w:pStyle w:val="ListParagraph"/>
        <w:numPr>
          <w:ilvl w:val="0"/>
          <w:numId w:val="13"/>
        </w:numPr>
        <w:tabs>
          <w:tab w:val="left" w:pos="426"/>
        </w:tabs>
        <w:rPr>
          <w:rFonts w:ascii="Arial" w:hAnsi="Arial" w:cs="Arial"/>
        </w:rPr>
      </w:pPr>
      <w:r>
        <w:rPr>
          <w:rFonts w:ascii="Arial" w:hAnsi="Arial" w:cs="Arial"/>
        </w:rPr>
        <w:t>Demonstrate a</w:t>
      </w:r>
      <w:r w:rsidR="00291951">
        <w:rPr>
          <w:rFonts w:ascii="Arial" w:hAnsi="Arial" w:cs="Arial"/>
        </w:rPr>
        <w:t xml:space="preserve"> basic understanding of the appraisal of documents and drawings</w:t>
      </w:r>
      <w:r w:rsidR="00CB1858">
        <w:rPr>
          <w:rFonts w:ascii="Arial" w:hAnsi="Arial" w:cs="Arial"/>
        </w:rPr>
        <w:t>.</w:t>
      </w:r>
    </w:p>
    <w:p w14:paraId="32CBFA6D" w14:textId="4CB125D7" w:rsidR="002B15B5" w:rsidRPr="003A2487" w:rsidRDefault="00AD665A" w:rsidP="00775A4F">
      <w:pPr>
        <w:pStyle w:val="ListParagraph"/>
        <w:numPr>
          <w:ilvl w:val="0"/>
          <w:numId w:val="13"/>
        </w:numPr>
        <w:tabs>
          <w:tab w:val="left" w:pos="426"/>
        </w:tabs>
        <w:rPr>
          <w:rFonts w:ascii="Arial" w:hAnsi="Arial" w:cs="Arial"/>
        </w:rPr>
      </w:pPr>
      <w:r>
        <w:rPr>
          <w:rFonts w:ascii="Arial" w:hAnsi="Arial" w:cs="Arial"/>
        </w:rPr>
        <w:t>Demonstrate an a</w:t>
      </w:r>
      <w:r w:rsidR="00953BAD" w:rsidRPr="003A2487">
        <w:rPr>
          <w:rFonts w:ascii="Arial" w:hAnsi="Arial" w:cs="Arial"/>
        </w:rPr>
        <w:t xml:space="preserve">wareness of the </w:t>
      </w:r>
      <w:r w:rsidR="00D65F66" w:rsidRPr="003A2487">
        <w:rPr>
          <w:rFonts w:ascii="Arial" w:hAnsi="Arial" w:cs="Arial"/>
        </w:rPr>
        <w:t xml:space="preserve">construction </w:t>
      </w:r>
      <w:r w:rsidR="00953BAD" w:rsidRPr="003A2487">
        <w:rPr>
          <w:rFonts w:ascii="Arial" w:hAnsi="Arial" w:cs="Arial"/>
        </w:rPr>
        <w:t xml:space="preserve">market place and </w:t>
      </w:r>
      <w:r w:rsidR="003A2487" w:rsidRPr="003A2487">
        <w:rPr>
          <w:rFonts w:ascii="Arial" w:hAnsi="Arial" w:cs="Arial"/>
        </w:rPr>
        <w:t xml:space="preserve">its impact on tendering </w:t>
      </w:r>
      <w:r w:rsidR="00CB1858" w:rsidRPr="003A2487">
        <w:rPr>
          <w:rFonts w:ascii="Arial" w:hAnsi="Arial" w:cs="Arial"/>
        </w:rPr>
        <w:t>decisions.</w:t>
      </w:r>
    </w:p>
    <w:p w14:paraId="5652ED0E" w14:textId="3B193EAF" w:rsidR="002B15B5" w:rsidRDefault="00AD665A" w:rsidP="00775A4F">
      <w:pPr>
        <w:pStyle w:val="ListParagraph"/>
        <w:numPr>
          <w:ilvl w:val="0"/>
          <w:numId w:val="13"/>
        </w:numPr>
        <w:tabs>
          <w:tab w:val="left" w:pos="426"/>
        </w:tabs>
        <w:rPr>
          <w:rFonts w:ascii="Arial" w:hAnsi="Arial" w:cs="Arial"/>
        </w:rPr>
      </w:pPr>
      <w:r>
        <w:rPr>
          <w:rFonts w:ascii="Arial" w:hAnsi="Arial" w:cs="Arial"/>
        </w:rPr>
        <w:t>Demonstrate a</w:t>
      </w:r>
      <w:r w:rsidR="00556E35" w:rsidRPr="003A2487">
        <w:rPr>
          <w:rFonts w:ascii="Arial" w:hAnsi="Arial" w:cs="Arial"/>
        </w:rPr>
        <w:t xml:space="preserve">n awareness of </w:t>
      </w:r>
      <w:r w:rsidR="00291951">
        <w:rPr>
          <w:rFonts w:ascii="Arial" w:hAnsi="Arial" w:cs="Arial"/>
        </w:rPr>
        <w:t>Rules of Tendering and the selection and management of specialist contractors</w:t>
      </w:r>
      <w:r w:rsidR="00CB1858">
        <w:rPr>
          <w:rFonts w:ascii="Arial" w:hAnsi="Arial" w:cs="Arial"/>
        </w:rPr>
        <w:t>.</w:t>
      </w:r>
    </w:p>
    <w:p w14:paraId="06E95812" w14:textId="394B1347" w:rsidR="001451ED" w:rsidRDefault="001451ED" w:rsidP="001451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AD665A">
        <w:rPr>
          <w:rFonts w:ascii="Arial" w:hAnsi="Arial" w:cs="Arial"/>
        </w:rPr>
        <w:t>On successf</w:t>
      </w:r>
      <w:r w:rsidR="007D6361" w:rsidRPr="00AD665A">
        <w:rPr>
          <w:rFonts w:ascii="Arial" w:hAnsi="Arial" w:cs="Arial"/>
        </w:rPr>
        <w:t>ully</w:t>
      </w:r>
      <w:r w:rsidRPr="00AD665A">
        <w:rPr>
          <w:rFonts w:ascii="Arial" w:hAnsi="Arial" w:cs="Arial"/>
        </w:rPr>
        <w:t xml:space="preserve"> completing the module students will be able to:</w:t>
      </w:r>
    </w:p>
    <w:p w14:paraId="2F411DCE" w14:textId="087B6B3A" w:rsidR="003A2487" w:rsidRDefault="00B34004" w:rsidP="00556E35">
      <w:pPr>
        <w:pStyle w:val="ListParagraph"/>
        <w:numPr>
          <w:ilvl w:val="0"/>
          <w:numId w:val="12"/>
        </w:numPr>
        <w:spacing w:after="120" w:line="240" w:lineRule="auto"/>
        <w:ind w:right="260"/>
        <w:rPr>
          <w:rFonts w:ascii="Arial" w:hAnsi="Arial" w:cs="Arial"/>
        </w:rPr>
      </w:pPr>
      <w:r>
        <w:rPr>
          <w:rFonts w:ascii="Arial" w:hAnsi="Arial" w:cs="Arial"/>
        </w:rPr>
        <w:t>Use developing i</w:t>
      </w:r>
      <w:r w:rsidR="003A2487">
        <w:rPr>
          <w:rFonts w:ascii="Arial" w:hAnsi="Arial" w:cs="Arial"/>
        </w:rPr>
        <w:t>nterpretative skills and procedural management</w:t>
      </w:r>
      <w:r w:rsidR="00CB1858">
        <w:rPr>
          <w:rFonts w:ascii="Arial" w:hAnsi="Arial" w:cs="Arial"/>
        </w:rPr>
        <w:t>.</w:t>
      </w:r>
    </w:p>
    <w:p w14:paraId="6415F179" w14:textId="56253831" w:rsidR="003A2487" w:rsidRDefault="00B15D63" w:rsidP="00556E35">
      <w:pPr>
        <w:pStyle w:val="ListParagraph"/>
        <w:numPr>
          <w:ilvl w:val="0"/>
          <w:numId w:val="12"/>
        </w:numPr>
        <w:spacing w:after="120" w:line="240" w:lineRule="auto"/>
        <w:ind w:right="260"/>
        <w:rPr>
          <w:rFonts w:ascii="Arial" w:hAnsi="Arial" w:cs="Arial"/>
        </w:rPr>
      </w:pPr>
      <w:r>
        <w:rPr>
          <w:rFonts w:ascii="Arial" w:hAnsi="Arial" w:cs="Arial"/>
        </w:rPr>
        <w:t xml:space="preserve">Apply </w:t>
      </w:r>
      <w:r w:rsidR="00AD665A">
        <w:rPr>
          <w:rFonts w:ascii="Arial" w:hAnsi="Arial" w:cs="Arial"/>
        </w:rPr>
        <w:t xml:space="preserve">their </w:t>
      </w:r>
      <w:r>
        <w:rPr>
          <w:rFonts w:ascii="Arial" w:hAnsi="Arial" w:cs="Arial"/>
        </w:rPr>
        <w:t xml:space="preserve">developing </w:t>
      </w:r>
      <w:r w:rsidR="00AD665A">
        <w:rPr>
          <w:rFonts w:ascii="Arial" w:hAnsi="Arial" w:cs="Arial"/>
        </w:rPr>
        <w:t xml:space="preserve">skills in </w:t>
      </w:r>
      <w:r>
        <w:rPr>
          <w:rFonts w:ascii="Arial" w:hAnsi="Arial" w:cs="Arial"/>
        </w:rPr>
        <w:t>e</w:t>
      </w:r>
      <w:r w:rsidR="00B34004">
        <w:rPr>
          <w:rFonts w:ascii="Arial" w:hAnsi="Arial" w:cs="Arial"/>
        </w:rPr>
        <w:t>valuation</w:t>
      </w:r>
      <w:r w:rsidR="00AD665A">
        <w:rPr>
          <w:rFonts w:ascii="Arial" w:hAnsi="Arial" w:cs="Arial"/>
        </w:rPr>
        <w:t>,</w:t>
      </w:r>
      <w:r w:rsidR="003A2487">
        <w:rPr>
          <w:rFonts w:ascii="Arial" w:hAnsi="Arial" w:cs="Arial"/>
        </w:rPr>
        <w:t xml:space="preserve"> and anal</w:t>
      </w:r>
      <w:r w:rsidR="00AD665A">
        <w:rPr>
          <w:rFonts w:ascii="Arial" w:hAnsi="Arial" w:cs="Arial"/>
        </w:rPr>
        <w:t>ysis</w:t>
      </w:r>
      <w:r w:rsidR="003A2487">
        <w:rPr>
          <w:rFonts w:ascii="Arial" w:hAnsi="Arial" w:cs="Arial"/>
        </w:rPr>
        <w:t xml:space="preserve"> </w:t>
      </w:r>
      <w:r w:rsidR="00B34004">
        <w:rPr>
          <w:rFonts w:ascii="Arial" w:hAnsi="Arial" w:cs="Arial"/>
        </w:rPr>
        <w:t xml:space="preserve">of </w:t>
      </w:r>
      <w:r w:rsidR="003A2487">
        <w:rPr>
          <w:rFonts w:ascii="Arial" w:hAnsi="Arial" w:cs="Arial"/>
        </w:rPr>
        <w:t>information</w:t>
      </w:r>
      <w:r w:rsidR="00AD665A">
        <w:rPr>
          <w:rFonts w:ascii="Arial" w:hAnsi="Arial" w:cs="Arial"/>
        </w:rPr>
        <w:t>,</w:t>
      </w:r>
      <w:r w:rsidR="003A2487">
        <w:rPr>
          <w:rFonts w:ascii="Arial" w:hAnsi="Arial" w:cs="Arial"/>
        </w:rPr>
        <w:t xml:space="preserve"> to inform judgements</w:t>
      </w:r>
      <w:r w:rsidR="00CB1858">
        <w:rPr>
          <w:rFonts w:ascii="Arial" w:hAnsi="Arial" w:cs="Arial"/>
        </w:rPr>
        <w:t>.</w:t>
      </w:r>
    </w:p>
    <w:p w14:paraId="5C68C54F" w14:textId="470C741E" w:rsidR="003A2487" w:rsidRDefault="00AD665A" w:rsidP="00556E35">
      <w:pPr>
        <w:pStyle w:val="ListParagraph"/>
        <w:numPr>
          <w:ilvl w:val="0"/>
          <w:numId w:val="12"/>
        </w:numPr>
        <w:spacing w:after="120" w:line="240" w:lineRule="auto"/>
        <w:ind w:right="260"/>
        <w:rPr>
          <w:rFonts w:ascii="Arial" w:hAnsi="Arial" w:cs="Arial"/>
        </w:rPr>
      </w:pPr>
      <w:r>
        <w:rPr>
          <w:rFonts w:ascii="Arial" w:hAnsi="Arial" w:cs="Arial"/>
        </w:rPr>
        <w:t>A</w:t>
      </w:r>
      <w:r w:rsidR="00AA6EF4">
        <w:rPr>
          <w:rFonts w:ascii="Arial" w:hAnsi="Arial" w:cs="Arial"/>
        </w:rPr>
        <w:t xml:space="preserve">nalyse </w:t>
      </w:r>
      <w:r w:rsidR="00B34004">
        <w:rPr>
          <w:rFonts w:ascii="Arial" w:hAnsi="Arial" w:cs="Arial"/>
        </w:rPr>
        <w:t xml:space="preserve">basic </w:t>
      </w:r>
      <w:r w:rsidR="003A2487">
        <w:rPr>
          <w:rFonts w:ascii="Arial" w:hAnsi="Arial" w:cs="Arial"/>
        </w:rPr>
        <w:t xml:space="preserve">information and </w:t>
      </w:r>
      <w:r>
        <w:rPr>
          <w:rFonts w:ascii="Arial" w:hAnsi="Arial" w:cs="Arial"/>
        </w:rPr>
        <w:t xml:space="preserve">then </w:t>
      </w:r>
      <w:r w:rsidR="003A2487">
        <w:rPr>
          <w:rFonts w:ascii="Arial" w:hAnsi="Arial" w:cs="Arial"/>
        </w:rPr>
        <w:t>communicate findings</w:t>
      </w:r>
      <w:r w:rsidR="00CB1858">
        <w:rPr>
          <w:rFonts w:ascii="Arial" w:hAnsi="Arial" w:cs="Arial"/>
        </w:rPr>
        <w:t>.</w:t>
      </w:r>
    </w:p>
    <w:p w14:paraId="60C1D3B1" w14:textId="77777777" w:rsidR="000C69DE" w:rsidRPr="000C69DE" w:rsidRDefault="000C69DE" w:rsidP="000C69DE">
      <w:pPr>
        <w:pStyle w:val="ListParagraph"/>
        <w:autoSpaceDE w:val="0"/>
        <w:autoSpaceDN w:val="0"/>
        <w:adjustRightInd w:val="0"/>
        <w:spacing w:before="60" w:after="60" w:line="240" w:lineRule="auto"/>
        <w:ind w:left="2160" w:right="260"/>
        <w:jc w:val="both"/>
        <w:rPr>
          <w:rFonts w:ascii="Arial" w:hAnsi="Arial" w:cs="Arial"/>
        </w:rPr>
      </w:pPr>
    </w:p>
    <w:p w14:paraId="0CBBC96E" w14:textId="2CBF94C2" w:rsidR="009A2D37" w:rsidRPr="00B554D8" w:rsidRDefault="00FD57AB" w:rsidP="00FD57AB">
      <w:pPr>
        <w:pStyle w:val="ListParagraph"/>
        <w:numPr>
          <w:ilvl w:val="0"/>
          <w:numId w:val="1"/>
        </w:numPr>
        <w:autoSpaceDE w:val="0"/>
        <w:autoSpaceDN w:val="0"/>
        <w:adjustRightInd w:val="0"/>
        <w:spacing w:before="60" w:after="60" w:line="240" w:lineRule="auto"/>
        <w:jc w:val="both"/>
        <w:rPr>
          <w:rFonts w:ascii="Arial" w:hAnsi="Arial" w:cs="Arial"/>
        </w:rPr>
      </w:pPr>
      <w:r>
        <w:rPr>
          <w:rFonts w:ascii="Arial" w:hAnsi="Arial" w:cs="Arial"/>
          <w:b/>
        </w:rPr>
        <w:t xml:space="preserve">  </w:t>
      </w:r>
      <w:r w:rsidR="001451ED" w:rsidRPr="00FD57AB">
        <w:rPr>
          <w:rFonts w:ascii="Arial" w:hAnsi="Arial" w:cs="Arial"/>
          <w:b/>
        </w:rPr>
        <w:t xml:space="preserve"> </w:t>
      </w:r>
      <w:r w:rsidR="009A2D37" w:rsidRPr="00FD57AB">
        <w:rPr>
          <w:rFonts w:ascii="Arial" w:hAnsi="Arial" w:cs="Arial"/>
          <w:b/>
        </w:rPr>
        <w:t>A synopsis of the curriculum</w:t>
      </w:r>
    </w:p>
    <w:p w14:paraId="4CBA8EAC" w14:textId="77777777" w:rsidR="00B554D8" w:rsidRPr="00B554D8" w:rsidRDefault="00B554D8" w:rsidP="00B554D8">
      <w:pPr>
        <w:pStyle w:val="ListParagraph"/>
        <w:autoSpaceDE w:val="0"/>
        <w:autoSpaceDN w:val="0"/>
        <w:adjustRightInd w:val="0"/>
        <w:spacing w:before="60" w:after="60" w:line="240" w:lineRule="auto"/>
        <w:ind w:left="360"/>
        <w:jc w:val="both"/>
        <w:rPr>
          <w:rFonts w:ascii="Arial" w:hAnsi="Arial" w:cs="Arial"/>
        </w:rPr>
      </w:pPr>
    </w:p>
    <w:p w14:paraId="113EB21C" w14:textId="033825E8" w:rsidR="00B554D8" w:rsidRPr="00FD57AB" w:rsidRDefault="00B554D8" w:rsidP="00130C13">
      <w:pPr>
        <w:tabs>
          <w:tab w:val="left" w:pos="426"/>
          <w:tab w:val="left" w:pos="1701"/>
        </w:tabs>
        <w:ind w:left="426"/>
        <w:rPr>
          <w:rFonts w:ascii="Arial" w:hAnsi="Arial" w:cs="Arial"/>
        </w:rPr>
      </w:pPr>
      <w:r>
        <w:rPr>
          <w:rFonts w:ascii="Arial" w:hAnsi="Arial" w:cs="Arial"/>
          <w:b/>
        </w:rPr>
        <w:t xml:space="preserve"> </w:t>
      </w:r>
      <w:r w:rsidR="00130C13" w:rsidRPr="00130C13">
        <w:rPr>
          <w:rFonts w:ascii="Arial" w:hAnsi="Arial" w:cs="Arial"/>
        </w:rPr>
        <w:t>T</w:t>
      </w:r>
      <w:r w:rsidRPr="00130C13">
        <w:rPr>
          <w:rFonts w:ascii="Arial" w:hAnsi="Arial" w:cs="Arial"/>
        </w:rPr>
        <w:t>h</w:t>
      </w:r>
      <w:r w:rsidRPr="00FD57AB">
        <w:rPr>
          <w:rFonts w:ascii="Arial" w:hAnsi="Arial" w:cs="Arial"/>
        </w:rPr>
        <w:t xml:space="preserve">is module introduces and explores the principles and process of procurement, including </w:t>
      </w:r>
      <w:r>
        <w:rPr>
          <w:rFonts w:ascii="Arial" w:hAnsi="Arial" w:cs="Arial"/>
        </w:rPr>
        <w:t>regulatory</w:t>
      </w:r>
      <w:r w:rsidR="00130C13">
        <w:rPr>
          <w:rFonts w:ascii="Arial" w:hAnsi="Arial" w:cs="Arial"/>
        </w:rPr>
        <w:t xml:space="preserve">                                                       </w:t>
      </w:r>
      <w:r>
        <w:rPr>
          <w:rFonts w:ascii="Arial" w:hAnsi="Arial" w:cs="Arial"/>
        </w:rPr>
        <w:t xml:space="preserve">                    </w:t>
      </w:r>
      <w:r w:rsidR="00130C13">
        <w:rPr>
          <w:rFonts w:ascii="Arial" w:hAnsi="Arial" w:cs="Arial"/>
        </w:rPr>
        <w:t xml:space="preserve">  f</w:t>
      </w:r>
      <w:r w:rsidRPr="00FD57AB">
        <w:rPr>
          <w:rFonts w:ascii="Arial" w:hAnsi="Arial" w:cs="Arial"/>
        </w:rPr>
        <w:t>rameworks and methodologies. It explores the structure and requirements of the procurement and tendering process, and the ways in w</w:t>
      </w:r>
      <w:r w:rsidR="00B15D63">
        <w:rPr>
          <w:rFonts w:ascii="Arial" w:hAnsi="Arial" w:cs="Arial"/>
        </w:rPr>
        <w:t>hich bids are prepared, solici</w:t>
      </w:r>
      <w:r w:rsidRPr="00FD57AB">
        <w:rPr>
          <w:rFonts w:ascii="Arial" w:hAnsi="Arial" w:cs="Arial"/>
        </w:rPr>
        <w:t>ted</w:t>
      </w:r>
      <w:r w:rsidR="00B15D63">
        <w:rPr>
          <w:rFonts w:ascii="Arial" w:hAnsi="Arial" w:cs="Arial"/>
        </w:rPr>
        <w:t>,</w:t>
      </w:r>
      <w:r w:rsidRPr="00FD57AB">
        <w:rPr>
          <w:rFonts w:ascii="Arial" w:hAnsi="Arial" w:cs="Arial"/>
        </w:rPr>
        <w:t xml:space="preserve"> evaluated, responded to and contractors selected. The module also examines commonly used contractual agreements and the ethical and legislative factors that impact on the procurement and tendering processes.</w:t>
      </w:r>
    </w:p>
    <w:p w14:paraId="4C84CAC6" w14:textId="51F462A0" w:rsidR="00B554D8" w:rsidRPr="00B554D8" w:rsidRDefault="00B554D8" w:rsidP="00B554D8">
      <w:pPr>
        <w:pStyle w:val="ListParagraph"/>
        <w:autoSpaceDE w:val="0"/>
        <w:autoSpaceDN w:val="0"/>
        <w:adjustRightInd w:val="0"/>
        <w:spacing w:before="60" w:after="60" w:line="240" w:lineRule="auto"/>
        <w:ind w:left="360"/>
        <w:jc w:val="both"/>
        <w:rPr>
          <w:rFonts w:ascii="Arial" w:hAnsi="Arial" w:cs="Arial"/>
        </w:rPr>
      </w:pPr>
    </w:p>
    <w:p w14:paraId="20A4B95F" w14:textId="77777777" w:rsidR="00B554D8" w:rsidRPr="00B554D8" w:rsidRDefault="00B554D8" w:rsidP="00B554D8">
      <w:pPr>
        <w:pStyle w:val="ListParagraph"/>
        <w:autoSpaceDE w:val="0"/>
        <w:autoSpaceDN w:val="0"/>
        <w:adjustRightInd w:val="0"/>
        <w:spacing w:before="60" w:after="60" w:line="240" w:lineRule="auto"/>
        <w:ind w:left="360"/>
        <w:jc w:val="both"/>
        <w:rPr>
          <w:rFonts w:ascii="Arial" w:hAnsi="Arial" w:cs="Arial"/>
        </w:rPr>
      </w:pPr>
    </w:p>
    <w:p w14:paraId="6546C29C" w14:textId="709F66A4" w:rsidR="001451ED" w:rsidRDefault="001451ED" w:rsidP="00753935">
      <w:pPr>
        <w:spacing w:after="120" w:line="240" w:lineRule="auto"/>
        <w:ind w:right="260"/>
        <w:jc w:val="both"/>
        <w:rPr>
          <w:rFonts w:ascii="Arial" w:hAnsi="Arial" w:cs="Arial"/>
          <w:b/>
        </w:rPr>
      </w:pPr>
    </w:p>
    <w:p w14:paraId="2E31A53B" w14:textId="77777777" w:rsidR="00FD57AB" w:rsidRPr="00753935" w:rsidRDefault="00FD57AB" w:rsidP="00753935">
      <w:pPr>
        <w:spacing w:after="120" w:line="240" w:lineRule="auto"/>
        <w:ind w:right="260"/>
        <w:jc w:val="both"/>
        <w:rPr>
          <w:rFonts w:ascii="Arial" w:hAnsi="Arial" w:cs="Arial"/>
          <w:b/>
        </w:rPr>
      </w:pPr>
    </w:p>
    <w:p w14:paraId="19CDE653" w14:textId="77777777" w:rsidR="003A03D5" w:rsidRDefault="003A03D5" w:rsidP="001451ED">
      <w:pPr>
        <w:pStyle w:val="ListParagraph"/>
        <w:spacing w:after="120" w:line="240" w:lineRule="auto"/>
        <w:ind w:right="260"/>
        <w:jc w:val="both"/>
        <w:rPr>
          <w:rFonts w:ascii="Arial" w:hAnsi="Arial" w:cs="Arial"/>
          <w:b/>
        </w:rPr>
      </w:pPr>
    </w:p>
    <w:p w14:paraId="1ED5BC91" w14:textId="0B09AC3D" w:rsidR="009A2D37" w:rsidRDefault="00883204" w:rsidP="001451ED">
      <w:pPr>
        <w:pStyle w:val="ListParagraph"/>
        <w:numPr>
          <w:ilvl w:val="0"/>
          <w:numId w:val="1"/>
        </w:numPr>
        <w:spacing w:after="120" w:line="240" w:lineRule="auto"/>
        <w:ind w:right="260"/>
        <w:jc w:val="both"/>
        <w:rPr>
          <w:rFonts w:ascii="Arial" w:hAnsi="Arial" w:cs="Arial"/>
          <w:b/>
        </w:rPr>
      </w:pPr>
      <w:r w:rsidRPr="001451ED">
        <w:rPr>
          <w:rFonts w:ascii="Arial" w:hAnsi="Arial" w:cs="Arial"/>
          <w:b/>
        </w:rPr>
        <w:t>Reading l</w:t>
      </w:r>
      <w:r w:rsidR="009A2D37" w:rsidRPr="001451ED">
        <w:rPr>
          <w:rFonts w:ascii="Arial" w:hAnsi="Arial" w:cs="Arial"/>
          <w:b/>
        </w:rPr>
        <w:t xml:space="preserve">ist </w:t>
      </w:r>
      <w:r w:rsidR="00274ED7" w:rsidRPr="001451ED">
        <w:rPr>
          <w:rFonts w:ascii="Arial" w:hAnsi="Arial" w:cs="Arial"/>
          <w:b/>
        </w:rPr>
        <w:t>(Indicative list, current at time of publication. Reading lists will be published annually)</w:t>
      </w:r>
    </w:p>
    <w:p w14:paraId="66D953CE" w14:textId="77777777" w:rsidR="00FD57AB" w:rsidRDefault="00A82306" w:rsidP="00FD57AB">
      <w:pPr>
        <w:spacing w:after="100" w:afterAutospacing="1"/>
        <w:ind w:left="360"/>
        <w:outlineLvl w:val="0"/>
        <w:rPr>
          <w:rFonts w:ascii="Arial" w:hAnsi="Arial" w:cs="Arial"/>
        </w:rPr>
      </w:pPr>
      <w:r w:rsidRPr="00FD57AB">
        <w:rPr>
          <w:rFonts w:ascii="Arial" w:eastAsia="Times New Roman" w:hAnsi="Arial" w:cs="Arial"/>
          <w:bCs/>
          <w:kern w:val="36"/>
        </w:rPr>
        <w:t>Hackett, M. (2016).</w:t>
      </w:r>
      <w:r w:rsidRPr="00FD57AB">
        <w:rPr>
          <w:rFonts w:ascii="Arial" w:eastAsia="Times New Roman" w:hAnsi="Arial" w:cs="Arial"/>
          <w:b/>
          <w:bCs/>
          <w:kern w:val="36"/>
        </w:rPr>
        <w:t xml:space="preserve"> </w:t>
      </w:r>
      <w:r w:rsidR="003A03D5" w:rsidRPr="00FD57AB">
        <w:rPr>
          <w:rFonts w:ascii="Arial" w:eastAsia="Times New Roman" w:hAnsi="Arial" w:cs="Arial"/>
          <w:bCs/>
          <w:i/>
          <w:kern w:val="36"/>
        </w:rPr>
        <w:t>The Aqua Group Guide to Procurement, Tendering and Contract Administration</w:t>
      </w:r>
      <w:r w:rsidRPr="00FD57AB">
        <w:rPr>
          <w:rFonts w:ascii="Arial" w:eastAsia="Times New Roman" w:hAnsi="Arial" w:cs="Arial"/>
          <w:bCs/>
          <w:i/>
          <w:kern w:val="36"/>
        </w:rPr>
        <w:t>.</w:t>
      </w:r>
      <w:r w:rsidR="003A03D5" w:rsidRPr="00FD57AB">
        <w:rPr>
          <w:rFonts w:ascii="Arial" w:eastAsia="Times New Roman" w:hAnsi="Arial" w:cs="Arial"/>
          <w:bCs/>
          <w:i/>
          <w:kern w:val="36"/>
        </w:rPr>
        <w:t xml:space="preserve"> </w:t>
      </w:r>
      <w:r w:rsidR="00FD57AB">
        <w:rPr>
          <w:rFonts w:ascii="Arial" w:eastAsia="Times New Roman" w:hAnsi="Arial" w:cs="Arial"/>
          <w:bCs/>
          <w:i/>
          <w:kern w:val="36"/>
        </w:rPr>
        <w:t xml:space="preserve">    </w:t>
      </w:r>
      <w:r w:rsidRPr="00FD57AB">
        <w:rPr>
          <w:rFonts w:ascii="Arial" w:hAnsi="Arial" w:cs="Arial"/>
        </w:rPr>
        <w:t>Wiley-Blackwell</w:t>
      </w:r>
    </w:p>
    <w:p w14:paraId="0C53EB70" w14:textId="0D7BF100" w:rsidR="003A03D5" w:rsidRPr="00FD57AB" w:rsidRDefault="00A82306" w:rsidP="00FD57AB">
      <w:pPr>
        <w:spacing w:after="100" w:afterAutospacing="1"/>
        <w:ind w:left="360"/>
        <w:outlineLvl w:val="0"/>
        <w:rPr>
          <w:rFonts w:ascii="Arial" w:eastAsia="Times New Roman" w:hAnsi="Arial" w:cs="Arial"/>
        </w:rPr>
      </w:pPr>
      <w:r w:rsidRPr="00FD57AB">
        <w:rPr>
          <w:rFonts w:ascii="Arial" w:eastAsia="Times New Roman" w:hAnsi="Arial" w:cs="Arial"/>
          <w:bCs/>
          <w:kern w:val="36"/>
        </w:rPr>
        <w:t>Brook, M.</w:t>
      </w:r>
      <w:r w:rsidRPr="00FD57AB">
        <w:rPr>
          <w:rFonts w:ascii="Arial" w:eastAsia="Times New Roman" w:hAnsi="Arial" w:cs="Arial"/>
          <w:b/>
          <w:bCs/>
          <w:kern w:val="36"/>
        </w:rPr>
        <w:t xml:space="preserve"> </w:t>
      </w:r>
      <w:r w:rsidRPr="00B15D63">
        <w:rPr>
          <w:rFonts w:ascii="Arial" w:eastAsia="Times New Roman" w:hAnsi="Arial" w:cs="Arial"/>
          <w:bCs/>
          <w:kern w:val="36"/>
        </w:rPr>
        <w:t xml:space="preserve">(2016). </w:t>
      </w:r>
      <w:r w:rsidR="003A03D5" w:rsidRPr="00FD57AB">
        <w:rPr>
          <w:rFonts w:ascii="Arial" w:eastAsia="Times New Roman" w:hAnsi="Arial" w:cs="Arial"/>
          <w:bCs/>
          <w:i/>
          <w:kern w:val="36"/>
        </w:rPr>
        <w:t>Estimating and Tendering for Construction Work</w:t>
      </w:r>
      <w:r w:rsidRPr="00FD57AB">
        <w:rPr>
          <w:rFonts w:ascii="Arial" w:eastAsia="Times New Roman" w:hAnsi="Arial" w:cs="Arial"/>
          <w:bCs/>
          <w:kern w:val="36"/>
        </w:rPr>
        <w:t xml:space="preserve">. </w:t>
      </w:r>
      <w:r w:rsidR="003A03D5" w:rsidRPr="00FD57AB">
        <w:rPr>
          <w:rFonts w:ascii="Arial" w:hAnsi="Arial" w:cs="Arial"/>
        </w:rPr>
        <w:t>Routledge</w:t>
      </w:r>
    </w:p>
    <w:p w14:paraId="0D21487A" w14:textId="77777777" w:rsidR="003A03D5" w:rsidRPr="001451ED" w:rsidRDefault="003A03D5" w:rsidP="003A03D5">
      <w:pPr>
        <w:pStyle w:val="ListParagraph"/>
        <w:spacing w:after="120" w:line="240" w:lineRule="auto"/>
        <w:ind w:right="260"/>
        <w:jc w:val="both"/>
        <w:rPr>
          <w:rFonts w:ascii="Arial" w:hAnsi="Arial" w:cs="Arial"/>
          <w:b/>
        </w:rPr>
      </w:pPr>
    </w:p>
    <w:p w14:paraId="6885B20E" w14:textId="77777777" w:rsidR="00883204" w:rsidRPr="00883204" w:rsidRDefault="009A2D37" w:rsidP="001451ED">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3105A8" w14:textId="30BD3136" w:rsidR="00A82306" w:rsidRDefault="00A82306" w:rsidP="00B554D8">
      <w:pPr>
        <w:spacing w:after="120" w:line="240" w:lineRule="auto"/>
        <w:ind w:left="360" w:right="260"/>
        <w:rPr>
          <w:rFonts w:ascii="Arial" w:eastAsia="Times New Roman" w:hAnsi="Arial" w:cs="Arial"/>
          <w:color w:val="000000"/>
          <w:lang w:eastAsia="en-US"/>
        </w:rPr>
      </w:pPr>
      <w:r w:rsidRPr="00B554D8">
        <w:rPr>
          <w:rFonts w:ascii="Arial" w:eastAsia="Times New Roman" w:hAnsi="Arial" w:cs="Arial"/>
          <w:color w:val="000000"/>
          <w:lang w:eastAsia="en-US"/>
        </w:rPr>
        <w:t>The total study time for this module is 150 hours incorporating online e-learning, work-based experience and private study.</w:t>
      </w:r>
    </w:p>
    <w:p w14:paraId="5AD8D58D" w14:textId="783D30C0" w:rsidR="00A82306" w:rsidRPr="00A12D1A" w:rsidRDefault="00A82306" w:rsidP="00B554D8">
      <w:pPr>
        <w:spacing w:after="120" w:line="240" w:lineRule="auto"/>
        <w:ind w:left="360" w:right="260"/>
        <w:rPr>
          <w:rFonts w:ascii="Calibri" w:eastAsia="Times New Roman" w:hAnsi="Calibri" w:cs="Calibri"/>
          <w:color w:val="000000"/>
          <w:lang w:eastAsia="en-US"/>
        </w:rPr>
      </w:pPr>
      <w:r w:rsidRPr="00B554D8">
        <w:rPr>
          <w:rFonts w:ascii="Arial" w:eastAsia="Times New Roman" w:hAnsi="Arial" w:cs="Arial"/>
          <w:color w:val="000000"/>
          <w:lang w:eastAsia="en-US"/>
        </w:rPr>
        <w:t xml:space="preserve">Teaching is delivered as a </w:t>
      </w:r>
      <w:r w:rsidR="00D25748">
        <w:rPr>
          <w:rFonts w:ascii="Arial" w:eastAsia="Times New Roman" w:hAnsi="Arial" w:cs="Arial"/>
          <w:color w:val="000000"/>
          <w:lang w:eastAsia="en-US"/>
        </w:rPr>
        <w:t>distance</w:t>
      </w:r>
      <w:r w:rsidR="00D25748" w:rsidRPr="00B554D8">
        <w:rPr>
          <w:rFonts w:ascii="Arial" w:eastAsia="Times New Roman" w:hAnsi="Arial" w:cs="Arial"/>
          <w:color w:val="000000"/>
          <w:lang w:eastAsia="en-US"/>
        </w:rPr>
        <w:t xml:space="preserve"> </w:t>
      </w:r>
      <w:r w:rsidRPr="00B554D8">
        <w:rPr>
          <w:rFonts w:ascii="Arial" w:eastAsia="Times New Roman" w:hAnsi="Arial" w:cs="Arial"/>
          <w:color w:val="000000"/>
          <w:lang w:eastAsia="en-US"/>
        </w:rPr>
        <w:t>le</w:t>
      </w:r>
      <w:r w:rsidR="00C85257">
        <w:rPr>
          <w:rFonts w:ascii="Arial" w:eastAsia="Times New Roman" w:hAnsi="Arial" w:cs="Arial"/>
          <w:color w:val="000000"/>
          <w:lang w:eastAsia="en-US"/>
        </w:rPr>
        <w:t>arning approach. VLE-delivered e</w:t>
      </w:r>
      <w:r w:rsidRPr="00B554D8">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4B857589" w14:textId="77777777" w:rsidR="00A82306" w:rsidRPr="00B554D8" w:rsidRDefault="00A82306" w:rsidP="00B554D8">
      <w:pPr>
        <w:spacing w:after="120" w:line="240" w:lineRule="auto"/>
        <w:ind w:left="360" w:right="260"/>
        <w:rPr>
          <w:rFonts w:ascii="Arial" w:eastAsia="Times New Roman" w:hAnsi="Arial" w:cs="Arial"/>
          <w:color w:val="000000"/>
          <w:lang w:eastAsia="en-US"/>
        </w:rPr>
      </w:pPr>
      <w:r w:rsidRPr="00B554D8">
        <w:rPr>
          <w:rFonts w:ascii="Arial" w:eastAsia="Times New Roman" w:hAnsi="Arial" w:cs="Arial"/>
          <w:color w:val="000000"/>
          <w:lang w:eastAsia="en-US"/>
        </w:rPr>
        <w:t>Work-based experience serves to reinforce and provide real-life context to the material being delivered in the module.</w:t>
      </w:r>
    </w:p>
    <w:p w14:paraId="0BF64844" w14:textId="3BFCCED0" w:rsidR="00A82306" w:rsidRDefault="00A82306" w:rsidP="00B554D8">
      <w:pPr>
        <w:spacing w:after="120" w:line="240" w:lineRule="auto"/>
        <w:ind w:left="360" w:right="260"/>
        <w:rPr>
          <w:rFonts w:ascii="Arial" w:eastAsia="Times New Roman" w:hAnsi="Arial" w:cs="Arial"/>
          <w:color w:val="000000"/>
          <w:lang w:eastAsia="en-US"/>
        </w:rPr>
      </w:pPr>
      <w:r w:rsidRPr="00B554D8">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6608F255" w14:textId="36B020EA" w:rsidR="00BB4501" w:rsidRPr="005638BA" w:rsidRDefault="00BB4501" w:rsidP="0042363D">
      <w:pPr>
        <w:pStyle w:val="ListParagraph"/>
        <w:numPr>
          <w:ilvl w:val="0"/>
          <w:numId w:val="1"/>
        </w:numPr>
        <w:spacing w:after="120" w:line="240" w:lineRule="auto"/>
        <w:ind w:left="426" w:right="260"/>
        <w:rPr>
          <w:rFonts w:ascii="Arial" w:hAnsi="Arial" w:cs="Arial"/>
        </w:rPr>
      </w:pPr>
      <w:r w:rsidRPr="00BB4501">
        <w:rPr>
          <w:rFonts w:ascii="Arial" w:eastAsia="Times New Roman" w:hAnsi="Arial" w:cs="Arial"/>
          <w:b/>
          <w:color w:val="000000"/>
          <w:lang w:eastAsia="en-US"/>
        </w:rPr>
        <w:t>Assessment methods</w:t>
      </w:r>
    </w:p>
    <w:p w14:paraId="1DEB92F1" w14:textId="77777777" w:rsidR="005638BA" w:rsidRPr="00BB4501" w:rsidRDefault="005638BA" w:rsidP="005638BA">
      <w:pPr>
        <w:pStyle w:val="ListParagraph"/>
        <w:spacing w:after="120" w:line="240" w:lineRule="auto"/>
        <w:ind w:left="426" w:right="260"/>
        <w:rPr>
          <w:rFonts w:ascii="Arial" w:hAnsi="Arial" w:cs="Arial"/>
        </w:rPr>
      </w:pPr>
    </w:p>
    <w:p w14:paraId="4DA89D63" w14:textId="5EA87A1C" w:rsidR="00AD665A" w:rsidRPr="008C517D" w:rsidRDefault="00AD665A" w:rsidP="008C517D">
      <w:pPr>
        <w:pStyle w:val="ListParagraph"/>
        <w:numPr>
          <w:ilvl w:val="1"/>
          <w:numId w:val="17"/>
        </w:numPr>
        <w:spacing w:after="120" w:line="240" w:lineRule="auto"/>
        <w:ind w:right="260"/>
        <w:rPr>
          <w:rFonts w:ascii="Arial" w:hAnsi="Arial" w:cs="Arial"/>
        </w:rPr>
      </w:pPr>
      <w:r w:rsidRPr="008C517D">
        <w:rPr>
          <w:rFonts w:ascii="Arial" w:hAnsi="Arial" w:cs="Arial"/>
        </w:rPr>
        <w:t>Main assessment method:</w:t>
      </w:r>
    </w:p>
    <w:p w14:paraId="6553DE03" w14:textId="3B625E4D" w:rsidR="00AD665A" w:rsidRDefault="008C517D" w:rsidP="00AD665A">
      <w:pPr>
        <w:pStyle w:val="ListParagraph"/>
        <w:spacing w:after="120" w:line="240" w:lineRule="auto"/>
        <w:ind w:left="786" w:right="260"/>
        <w:rPr>
          <w:rFonts w:ascii="Arial" w:hAnsi="Arial" w:cs="Arial"/>
        </w:rPr>
      </w:pPr>
      <w:r>
        <w:rPr>
          <w:rFonts w:ascii="Arial" w:hAnsi="Arial" w:cs="Arial"/>
        </w:rPr>
        <w:t xml:space="preserve">           </w:t>
      </w:r>
      <w:r w:rsidR="00AD665A">
        <w:rPr>
          <w:rFonts w:ascii="Arial" w:hAnsi="Arial" w:cs="Arial"/>
        </w:rPr>
        <w:t>Report 20% - 500 words</w:t>
      </w:r>
    </w:p>
    <w:p w14:paraId="6739E0F0" w14:textId="5114AF05" w:rsidR="00BB4501" w:rsidRDefault="008C517D" w:rsidP="00AD665A">
      <w:pPr>
        <w:pStyle w:val="ListParagraph"/>
        <w:spacing w:after="120" w:line="240" w:lineRule="auto"/>
        <w:ind w:left="786" w:right="260"/>
        <w:rPr>
          <w:rFonts w:ascii="Arial" w:hAnsi="Arial" w:cs="Arial"/>
        </w:rPr>
      </w:pPr>
      <w:r>
        <w:rPr>
          <w:rFonts w:ascii="Arial" w:hAnsi="Arial" w:cs="Arial"/>
        </w:rPr>
        <w:t xml:space="preserve">           </w:t>
      </w:r>
      <w:r w:rsidR="00946726" w:rsidRPr="00BB4501">
        <w:rPr>
          <w:rFonts w:ascii="Arial" w:hAnsi="Arial" w:cs="Arial"/>
        </w:rPr>
        <w:t>R</w:t>
      </w:r>
      <w:r w:rsidR="00992443" w:rsidRPr="00BB4501">
        <w:rPr>
          <w:rFonts w:ascii="Arial" w:hAnsi="Arial" w:cs="Arial"/>
        </w:rPr>
        <w:t>eport</w:t>
      </w:r>
      <w:r w:rsidR="00AD665A">
        <w:rPr>
          <w:rFonts w:ascii="Arial" w:hAnsi="Arial" w:cs="Arial"/>
        </w:rPr>
        <w:t xml:space="preserve"> 8</w:t>
      </w:r>
      <w:r w:rsidR="002049BE" w:rsidRPr="00BB4501">
        <w:rPr>
          <w:rFonts w:ascii="Arial" w:hAnsi="Arial" w:cs="Arial"/>
        </w:rPr>
        <w:t>0%</w:t>
      </w:r>
      <w:r w:rsidR="00CB1858">
        <w:rPr>
          <w:rFonts w:ascii="Arial" w:hAnsi="Arial" w:cs="Arial"/>
        </w:rPr>
        <w:t xml:space="preserve"> - 2500 words</w:t>
      </w:r>
    </w:p>
    <w:p w14:paraId="6E8AA69A" w14:textId="77777777" w:rsidR="005638BA" w:rsidRDefault="005638BA" w:rsidP="00BB4501">
      <w:pPr>
        <w:pStyle w:val="ListParagraph"/>
        <w:spacing w:after="120" w:line="240" w:lineRule="auto"/>
        <w:ind w:left="426" w:right="260"/>
        <w:rPr>
          <w:rFonts w:ascii="Arial" w:hAnsi="Arial" w:cs="Arial"/>
        </w:rPr>
      </w:pPr>
    </w:p>
    <w:p w14:paraId="5361EDE6" w14:textId="5F8AA191" w:rsidR="00224644" w:rsidRPr="008C517D" w:rsidRDefault="00AC7F3A" w:rsidP="008C517D">
      <w:pPr>
        <w:pStyle w:val="ListParagraph"/>
        <w:numPr>
          <w:ilvl w:val="1"/>
          <w:numId w:val="17"/>
        </w:numPr>
        <w:spacing w:after="120" w:line="240" w:lineRule="auto"/>
        <w:ind w:right="260"/>
        <w:rPr>
          <w:rFonts w:ascii="Arial" w:hAnsi="Arial" w:cs="Arial"/>
        </w:rPr>
      </w:pPr>
      <w:r w:rsidRPr="008C517D">
        <w:rPr>
          <w:rFonts w:ascii="Arial" w:hAnsi="Arial" w:cs="Arial"/>
          <w:iCs/>
        </w:rPr>
        <w:t xml:space="preserve"> </w:t>
      </w:r>
      <w:r w:rsidR="00AD665A" w:rsidRPr="008C517D">
        <w:rPr>
          <w:rFonts w:ascii="Arial" w:hAnsi="Arial" w:cs="Arial"/>
          <w:iCs/>
        </w:rPr>
        <w:t>Reassessment method:</w:t>
      </w:r>
      <w:r w:rsidR="00696FF5" w:rsidRPr="008C517D">
        <w:rPr>
          <w:rFonts w:ascii="Arial" w:hAnsi="Arial" w:cs="Arial"/>
          <w:iCs/>
        </w:rPr>
        <w:t xml:space="preserve"> </w:t>
      </w:r>
    </w:p>
    <w:p w14:paraId="4C605C3B" w14:textId="61C41D26" w:rsidR="00C57028" w:rsidRPr="00224644" w:rsidRDefault="00BB4501" w:rsidP="00224644">
      <w:pPr>
        <w:pStyle w:val="ListParagraph"/>
        <w:spacing w:after="120" w:line="240" w:lineRule="auto"/>
        <w:ind w:right="260"/>
        <w:jc w:val="both"/>
        <w:rPr>
          <w:rFonts w:ascii="Arial" w:hAnsi="Arial" w:cs="Arial"/>
          <w:iCs/>
        </w:rPr>
      </w:pPr>
      <w:r>
        <w:rPr>
          <w:rFonts w:ascii="Arial" w:hAnsi="Arial" w:cs="Arial"/>
          <w:iCs/>
        </w:rPr>
        <w:t xml:space="preserve">   </w:t>
      </w:r>
      <w:r w:rsidR="008C517D">
        <w:rPr>
          <w:rFonts w:ascii="Arial" w:hAnsi="Arial" w:cs="Arial"/>
          <w:iCs/>
        </w:rPr>
        <w:t xml:space="preserve">          </w:t>
      </w:r>
      <w:r w:rsidR="00951173" w:rsidRPr="00224644">
        <w:rPr>
          <w:rFonts w:ascii="Arial" w:hAnsi="Arial" w:cs="Arial"/>
          <w:iCs/>
        </w:rPr>
        <w:t>Like for like</w:t>
      </w:r>
    </w:p>
    <w:p w14:paraId="6CBCF474" w14:textId="5A1EB153" w:rsidR="00B554D8" w:rsidRDefault="00B554D8" w:rsidP="00B554D8">
      <w:pPr>
        <w:spacing w:after="120" w:line="240" w:lineRule="auto"/>
        <w:ind w:right="260"/>
        <w:jc w:val="both"/>
        <w:rPr>
          <w:rFonts w:ascii="Arial" w:hAnsi="Arial" w:cs="Arial"/>
          <w:iCs/>
        </w:rPr>
      </w:pPr>
    </w:p>
    <w:p w14:paraId="6685B09D" w14:textId="4EE9D18E" w:rsidR="00B554D8" w:rsidRDefault="00B554D8" w:rsidP="00B554D8">
      <w:pPr>
        <w:spacing w:after="120" w:line="240" w:lineRule="auto"/>
        <w:ind w:right="260"/>
        <w:jc w:val="both"/>
        <w:rPr>
          <w:rFonts w:ascii="Arial" w:hAnsi="Arial" w:cs="Arial"/>
          <w:iCs/>
        </w:rPr>
      </w:pPr>
    </w:p>
    <w:p w14:paraId="7B19250D" w14:textId="22322B3A" w:rsidR="00B554D8" w:rsidRDefault="00B554D8" w:rsidP="00B554D8">
      <w:pPr>
        <w:spacing w:after="120" w:line="240" w:lineRule="auto"/>
        <w:ind w:right="260"/>
        <w:jc w:val="both"/>
        <w:rPr>
          <w:rFonts w:ascii="Arial" w:hAnsi="Arial" w:cs="Arial"/>
          <w:iCs/>
        </w:rPr>
      </w:pPr>
    </w:p>
    <w:p w14:paraId="79B12676" w14:textId="7C673CF1" w:rsidR="00B554D8" w:rsidRDefault="00B554D8" w:rsidP="00B554D8">
      <w:pPr>
        <w:spacing w:after="120" w:line="240" w:lineRule="auto"/>
        <w:ind w:right="260"/>
        <w:jc w:val="both"/>
        <w:rPr>
          <w:rFonts w:ascii="Arial" w:hAnsi="Arial" w:cs="Arial"/>
          <w:iCs/>
        </w:rPr>
      </w:pPr>
    </w:p>
    <w:p w14:paraId="1F99EB07" w14:textId="2F297482" w:rsidR="00B554D8" w:rsidRDefault="00B554D8" w:rsidP="00B554D8">
      <w:pPr>
        <w:spacing w:after="120" w:line="240" w:lineRule="auto"/>
        <w:ind w:right="260"/>
        <w:jc w:val="both"/>
        <w:rPr>
          <w:rFonts w:ascii="Arial" w:hAnsi="Arial" w:cs="Arial"/>
          <w:iCs/>
        </w:rPr>
      </w:pPr>
    </w:p>
    <w:p w14:paraId="64677877" w14:textId="009D8673" w:rsidR="00B554D8" w:rsidRDefault="00B554D8" w:rsidP="00B554D8">
      <w:pPr>
        <w:spacing w:after="120" w:line="240" w:lineRule="auto"/>
        <w:ind w:right="260"/>
        <w:jc w:val="both"/>
        <w:rPr>
          <w:rFonts w:ascii="Arial" w:hAnsi="Arial" w:cs="Arial"/>
          <w:iCs/>
        </w:rPr>
      </w:pPr>
    </w:p>
    <w:p w14:paraId="363BAAAB" w14:textId="77777777" w:rsidR="00224644" w:rsidRDefault="00224644" w:rsidP="00B554D8">
      <w:pPr>
        <w:spacing w:after="120" w:line="240" w:lineRule="auto"/>
        <w:ind w:right="260"/>
        <w:jc w:val="both"/>
        <w:rPr>
          <w:rFonts w:ascii="Arial" w:hAnsi="Arial" w:cs="Arial"/>
          <w:iCs/>
        </w:rPr>
      </w:pPr>
    </w:p>
    <w:p w14:paraId="77DD8AC5" w14:textId="6D16A3B1" w:rsidR="00B554D8" w:rsidRDefault="00B554D8" w:rsidP="00B554D8">
      <w:pPr>
        <w:spacing w:after="120" w:line="240" w:lineRule="auto"/>
        <w:ind w:right="260"/>
        <w:jc w:val="both"/>
        <w:rPr>
          <w:rFonts w:ascii="Arial" w:hAnsi="Arial" w:cs="Arial"/>
          <w:iCs/>
        </w:rPr>
      </w:pPr>
    </w:p>
    <w:p w14:paraId="1892BB2F" w14:textId="77777777" w:rsidR="00BB4501" w:rsidRDefault="00BB4501" w:rsidP="00B554D8">
      <w:pPr>
        <w:spacing w:after="120" w:line="240" w:lineRule="auto"/>
        <w:ind w:right="260"/>
        <w:jc w:val="both"/>
        <w:rPr>
          <w:rFonts w:ascii="Arial" w:hAnsi="Arial" w:cs="Arial"/>
          <w:iCs/>
        </w:rPr>
      </w:pPr>
    </w:p>
    <w:p w14:paraId="52BFEE8E" w14:textId="1AD0BB10" w:rsidR="00B554D8" w:rsidRDefault="00B554D8" w:rsidP="00B554D8">
      <w:pPr>
        <w:spacing w:after="120" w:line="240" w:lineRule="auto"/>
        <w:ind w:right="260"/>
        <w:jc w:val="both"/>
        <w:rPr>
          <w:rFonts w:ascii="Arial" w:hAnsi="Arial" w:cs="Arial"/>
          <w:iCs/>
        </w:rPr>
      </w:pPr>
    </w:p>
    <w:p w14:paraId="54A527D5" w14:textId="62B2DEDD" w:rsidR="00B554D8" w:rsidRDefault="00B554D8" w:rsidP="00B554D8">
      <w:pPr>
        <w:spacing w:after="120" w:line="240" w:lineRule="auto"/>
        <w:ind w:right="260"/>
        <w:jc w:val="both"/>
        <w:rPr>
          <w:rFonts w:ascii="Arial" w:hAnsi="Arial" w:cs="Arial"/>
          <w:iCs/>
        </w:rPr>
      </w:pPr>
    </w:p>
    <w:p w14:paraId="031CB7E7" w14:textId="77777777" w:rsidR="00B554D8" w:rsidRPr="00951173" w:rsidRDefault="00B554D8" w:rsidP="00B554D8">
      <w:pPr>
        <w:spacing w:after="120" w:line="240" w:lineRule="auto"/>
        <w:ind w:right="260"/>
        <w:jc w:val="both"/>
        <w:rPr>
          <w:rFonts w:ascii="Arial" w:hAnsi="Arial" w:cs="Arial"/>
          <w:b/>
          <w:iCs/>
        </w:rPr>
      </w:pPr>
    </w:p>
    <w:p w14:paraId="27BF32B4" w14:textId="20DECD9A" w:rsidR="00696FF5" w:rsidRDefault="00696FF5" w:rsidP="00302082">
      <w:pPr>
        <w:spacing w:after="120" w:line="240" w:lineRule="auto"/>
        <w:ind w:left="426" w:right="260"/>
        <w:rPr>
          <w:rFonts w:ascii="Arial" w:hAnsi="Arial" w:cs="Arial"/>
          <w:b/>
          <w:i/>
          <w:iCs/>
        </w:rPr>
      </w:pPr>
    </w:p>
    <w:p w14:paraId="1E82570D" w14:textId="63E4A7ED" w:rsidR="00B554D8" w:rsidRDefault="00B554D8" w:rsidP="00302082">
      <w:pPr>
        <w:spacing w:after="120" w:line="240" w:lineRule="auto"/>
        <w:ind w:left="426" w:right="260"/>
        <w:rPr>
          <w:rFonts w:ascii="Arial" w:hAnsi="Arial" w:cs="Arial"/>
          <w:b/>
          <w:i/>
          <w:iCs/>
        </w:rPr>
      </w:pPr>
    </w:p>
    <w:p w14:paraId="560B0A6F" w14:textId="0A839CD0" w:rsidR="00B554D8" w:rsidRDefault="00B554D8" w:rsidP="00302082">
      <w:pPr>
        <w:spacing w:after="120" w:line="240" w:lineRule="auto"/>
        <w:ind w:left="426" w:right="260"/>
        <w:rPr>
          <w:rFonts w:ascii="Arial" w:hAnsi="Arial" w:cs="Arial"/>
          <w:b/>
          <w:i/>
          <w:iCs/>
        </w:rPr>
      </w:pPr>
    </w:p>
    <w:p w14:paraId="762397EC" w14:textId="77777777" w:rsidR="00B554D8" w:rsidRDefault="00B554D8" w:rsidP="00302082">
      <w:pPr>
        <w:spacing w:after="120" w:line="240" w:lineRule="auto"/>
        <w:ind w:left="426" w:right="260"/>
        <w:rPr>
          <w:rFonts w:ascii="Arial" w:hAnsi="Arial" w:cs="Arial"/>
          <w:b/>
          <w:i/>
          <w:iCs/>
        </w:rPr>
      </w:pPr>
    </w:p>
    <w:p w14:paraId="561F1796" w14:textId="77777777" w:rsidR="007D31B5" w:rsidRDefault="007D31B5" w:rsidP="001451ED">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30074FB4" w:rsidR="007D31B5" w:rsidRDefault="007D31B5" w:rsidP="007D31B5">
      <w:pPr>
        <w:spacing w:after="120" w:line="240" w:lineRule="auto"/>
        <w:ind w:left="567" w:right="261"/>
        <w:jc w:val="both"/>
        <w:rPr>
          <w:rFonts w:ascii="Arial" w:hAnsi="Arial" w:cs="Arial"/>
          <w:i/>
          <w:iCs/>
        </w:rPr>
      </w:pPr>
    </w:p>
    <w:tbl>
      <w:tblPr>
        <w:tblStyle w:val="TableGrid"/>
        <w:tblpPr w:leftFromText="180" w:rightFromText="180" w:vertAnchor="text" w:horzAnchor="margin" w:tblpXSpec="center" w:tblpY="59"/>
        <w:tblW w:w="796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AD665A" w:rsidRPr="00302082" w14:paraId="5E5F489C" w14:textId="77777777" w:rsidTr="00AD665A">
        <w:tc>
          <w:tcPr>
            <w:tcW w:w="1730" w:type="dxa"/>
            <w:shd w:val="clear" w:color="auto" w:fill="D9D9D9" w:themeFill="background1" w:themeFillShade="D9"/>
          </w:tcPr>
          <w:p w14:paraId="31BF818C" w14:textId="77777777" w:rsidR="00AD665A" w:rsidRPr="006F3C3B" w:rsidRDefault="00AD665A" w:rsidP="00224644">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51F97E0F" w14:textId="77777777" w:rsidR="00AD665A" w:rsidRPr="006F3C3B" w:rsidRDefault="00AD665A" w:rsidP="00224644">
            <w:pPr>
              <w:spacing w:after="120"/>
              <w:rPr>
                <w:rFonts w:ascii="Arial" w:hAnsi="Arial" w:cs="Arial"/>
                <w:i/>
                <w:sz w:val="20"/>
                <w:szCs w:val="20"/>
              </w:rPr>
            </w:pPr>
            <w:r w:rsidRPr="006F3C3B">
              <w:rPr>
                <w:rFonts w:ascii="Arial" w:hAnsi="Arial" w:cs="Arial"/>
                <w:i/>
                <w:sz w:val="20"/>
                <w:szCs w:val="20"/>
              </w:rPr>
              <w:t>8.1</w:t>
            </w:r>
          </w:p>
        </w:tc>
        <w:tc>
          <w:tcPr>
            <w:tcW w:w="567" w:type="dxa"/>
          </w:tcPr>
          <w:p w14:paraId="6B65E608" w14:textId="77777777" w:rsidR="00AD665A" w:rsidRPr="006F3C3B" w:rsidRDefault="00AD665A" w:rsidP="00224644">
            <w:pPr>
              <w:spacing w:after="120"/>
              <w:rPr>
                <w:rFonts w:ascii="Arial" w:hAnsi="Arial" w:cs="Arial"/>
                <w:i/>
                <w:sz w:val="20"/>
                <w:szCs w:val="20"/>
              </w:rPr>
            </w:pPr>
            <w:r w:rsidRPr="006F3C3B">
              <w:rPr>
                <w:rFonts w:ascii="Arial" w:hAnsi="Arial" w:cs="Arial"/>
                <w:i/>
                <w:sz w:val="20"/>
                <w:szCs w:val="20"/>
              </w:rPr>
              <w:t>8.2</w:t>
            </w:r>
          </w:p>
        </w:tc>
        <w:tc>
          <w:tcPr>
            <w:tcW w:w="567" w:type="dxa"/>
          </w:tcPr>
          <w:p w14:paraId="3F369FEA" w14:textId="77777777" w:rsidR="00AD665A" w:rsidRPr="006F3C3B" w:rsidRDefault="00AD665A" w:rsidP="00224644">
            <w:pPr>
              <w:spacing w:after="120"/>
              <w:rPr>
                <w:rFonts w:ascii="Arial" w:hAnsi="Arial" w:cs="Arial"/>
                <w:i/>
                <w:sz w:val="20"/>
                <w:szCs w:val="20"/>
              </w:rPr>
            </w:pPr>
            <w:r w:rsidRPr="006F3C3B">
              <w:rPr>
                <w:rFonts w:ascii="Arial" w:hAnsi="Arial" w:cs="Arial"/>
                <w:i/>
                <w:sz w:val="20"/>
                <w:szCs w:val="20"/>
              </w:rPr>
              <w:t>8.3</w:t>
            </w:r>
          </w:p>
        </w:tc>
        <w:tc>
          <w:tcPr>
            <w:tcW w:w="567" w:type="dxa"/>
          </w:tcPr>
          <w:p w14:paraId="2DA1BA23" w14:textId="77777777" w:rsidR="00AD665A" w:rsidRPr="006F3C3B" w:rsidRDefault="00AD665A" w:rsidP="00224644">
            <w:pPr>
              <w:spacing w:after="120"/>
              <w:rPr>
                <w:rFonts w:ascii="Arial" w:hAnsi="Arial" w:cs="Arial"/>
                <w:i/>
                <w:sz w:val="20"/>
                <w:szCs w:val="20"/>
              </w:rPr>
            </w:pPr>
            <w:r>
              <w:rPr>
                <w:rFonts w:ascii="Arial" w:hAnsi="Arial" w:cs="Arial"/>
                <w:i/>
                <w:sz w:val="20"/>
                <w:szCs w:val="20"/>
              </w:rPr>
              <w:t>8.4</w:t>
            </w:r>
          </w:p>
        </w:tc>
        <w:tc>
          <w:tcPr>
            <w:tcW w:w="567" w:type="dxa"/>
          </w:tcPr>
          <w:p w14:paraId="306E9A4C" w14:textId="77777777" w:rsidR="00AD665A" w:rsidRPr="006F3C3B" w:rsidRDefault="00AD665A" w:rsidP="00224644">
            <w:pPr>
              <w:spacing w:after="120"/>
              <w:rPr>
                <w:rFonts w:ascii="Arial" w:hAnsi="Arial" w:cs="Arial"/>
                <w:i/>
                <w:sz w:val="20"/>
                <w:szCs w:val="20"/>
              </w:rPr>
            </w:pPr>
            <w:r>
              <w:rPr>
                <w:rFonts w:ascii="Arial" w:hAnsi="Arial" w:cs="Arial"/>
                <w:i/>
                <w:sz w:val="20"/>
                <w:szCs w:val="20"/>
              </w:rPr>
              <w:t>8.5</w:t>
            </w:r>
          </w:p>
        </w:tc>
        <w:tc>
          <w:tcPr>
            <w:tcW w:w="567" w:type="dxa"/>
          </w:tcPr>
          <w:p w14:paraId="1E221753" w14:textId="77777777" w:rsidR="00AD665A" w:rsidRPr="006F3C3B" w:rsidRDefault="00AD665A" w:rsidP="00224644">
            <w:pPr>
              <w:spacing w:after="120"/>
              <w:rPr>
                <w:rFonts w:ascii="Arial" w:hAnsi="Arial" w:cs="Arial"/>
                <w:i/>
                <w:sz w:val="20"/>
                <w:szCs w:val="20"/>
              </w:rPr>
            </w:pPr>
            <w:r>
              <w:rPr>
                <w:rFonts w:ascii="Arial" w:hAnsi="Arial" w:cs="Arial"/>
                <w:i/>
                <w:sz w:val="20"/>
                <w:szCs w:val="20"/>
              </w:rPr>
              <w:t>8.6</w:t>
            </w:r>
          </w:p>
        </w:tc>
        <w:tc>
          <w:tcPr>
            <w:tcW w:w="567" w:type="dxa"/>
          </w:tcPr>
          <w:p w14:paraId="1CE58A18" w14:textId="77777777" w:rsidR="00AD665A" w:rsidRPr="006F3C3B" w:rsidRDefault="00AD665A" w:rsidP="00224644">
            <w:pPr>
              <w:spacing w:after="120"/>
              <w:rPr>
                <w:rFonts w:ascii="Arial" w:hAnsi="Arial" w:cs="Arial"/>
                <w:i/>
                <w:sz w:val="20"/>
                <w:szCs w:val="20"/>
              </w:rPr>
            </w:pPr>
            <w:r>
              <w:rPr>
                <w:rFonts w:ascii="Arial" w:hAnsi="Arial" w:cs="Arial"/>
                <w:i/>
                <w:sz w:val="20"/>
                <w:szCs w:val="20"/>
              </w:rPr>
              <w:t>8.7</w:t>
            </w:r>
          </w:p>
        </w:tc>
        <w:tc>
          <w:tcPr>
            <w:tcW w:w="567" w:type="dxa"/>
          </w:tcPr>
          <w:p w14:paraId="2CEF8460" w14:textId="77777777" w:rsidR="00AD665A" w:rsidRPr="006F3C3B" w:rsidRDefault="00AD665A" w:rsidP="00224644">
            <w:pPr>
              <w:spacing w:after="120"/>
              <w:rPr>
                <w:rFonts w:ascii="Arial" w:hAnsi="Arial" w:cs="Arial"/>
                <w:i/>
                <w:sz w:val="20"/>
                <w:szCs w:val="20"/>
              </w:rPr>
            </w:pPr>
            <w:r w:rsidRPr="006F3C3B">
              <w:rPr>
                <w:rFonts w:ascii="Arial" w:hAnsi="Arial" w:cs="Arial"/>
                <w:i/>
                <w:sz w:val="20"/>
                <w:szCs w:val="20"/>
              </w:rPr>
              <w:t>9.1</w:t>
            </w:r>
          </w:p>
        </w:tc>
        <w:tc>
          <w:tcPr>
            <w:tcW w:w="567" w:type="dxa"/>
          </w:tcPr>
          <w:p w14:paraId="7BB61F8D" w14:textId="77777777" w:rsidR="00AD665A" w:rsidRPr="006F3C3B" w:rsidRDefault="00AD665A" w:rsidP="00224644">
            <w:pPr>
              <w:spacing w:after="120"/>
              <w:rPr>
                <w:rFonts w:ascii="Arial" w:hAnsi="Arial" w:cs="Arial"/>
                <w:i/>
                <w:sz w:val="20"/>
                <w:szCs w:val="20"/>
              </w:rPr>
            </w:pPr>
            <w:r w:rsidRPr="006F3C3B">
              <w:rPr>
                <w:rFonts w:ascii="Arial" w:hAnsi="Arial" w:cs="Arial"/>
                <w:i/>
                <w:sz w:val="20"/>
                <w:szCs w:val="20"/>
              </w:rPr>
              <w:t>9.2</w:t>
            </w:r>
          </w:p>
        </w:tc>
        <w:tc>
          <w:tcPr>
            <w:tcW w:w="567" w:type="dxa"/>
          </w:tcPr>
          <w:p w14:paraId="14E56BC5" w14:textId="77777777" w:rsidR="00AD665A" w:rsidRPr="006F3C3B" w:rsidRDefault="00AD665A" w:rsidP="00224644">
            <w:pPr>
              <w:spacing w:after="120"/>
              <w:rPr>
                <w:rFonts w:ascii="Arial" w:hAnsi="Arial" w:cs="Arial"/>
                <w:i/>
                <w:sz w:val="20"/>
                <w:szCs w:val="20"/>
              </w:rPr>
            </w:pPr>
            <w:r w:rsidRPr="006F3C3B">
              <w:rPr>
                <w:rFonts w:ascii="Arial" w:hAnsi="Arial" w:cs="Arial"/>
                <w:i/>
                <w:sz w:val="20"/>
                <w:szCs w:val="20"/>
              </w:rPr>
              <w:t>9.3</w:t>
            </w:r>
          </w:p>
        </w:tc>
        <w:tc>
          <w:tcPr>
            <w:tcW w:w="567" w:type="dxa"/>
          </w:tcPr>
          <w:p w14:paraId="40642EAC" w14:textId="77777777" w:rsidR="00AD665A" w:rsidRPr="006F3C3B" w:rsidRDefault="00AD665A" w:rsidP="00224644">
            <w:pPr>
              <w:spacing w:after="120"/>
              <w:rPr>
                <w:rFonts w:ascii="Arial" w:hAnsi="Arial" w:cs="Arial"/>
                <w:i/>
                <w:sz w:val="20"/>
                <w:szCs w:val="20"/>
              </w:rPr>
            </w:pPr>
            <w:r>
              <w:rPr>
                <w:rFonts w:ascii="Arial" w:hAnsi="Arial" w:cs="Arial"/>
                <w:i/>
                <w:sz w:val="20"/>
                <w:szCs w:val="20"/>
              </w:rPr>
              <w:t>9.4</w:t>
            </w:r>
          </w:p>
        </w:tc>
      </w:tr>
      <w:tr w:rsidR="00AD665A" w:rsidRPr="00302082" w14:paraId="6D9DD091" w14:textId="77777777" w:rsidTr="00AD665A">
        <w:tc>
          <w:tcPr>
            <w:tcW w:w="1730" w:type="dxa"/>
            <w:shd w:val="clear" w:color="auto" w:fill="D9D9D9" w:themeFill="background1" w:themeFillShade="D9"/>
          </w:tcPr>
          <w:p w14:paraId="0871777F" w14:textId="77777777" w:rsidR="00AD665A" w:rsidRPr="006F3C3B" w:rsidRDefault="00AD665A" w:rsidP="00224644">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58566E1D" w14:textId="77777777" w:rsidR="00AD665A" w:rsidRPr="006F3C3B" w:rsidRDefault="00AD665A" w:rsidP="00224644">
            <w:pPr>
              <w:spacing w:after="120"/>
              <w:rPr>
                <w:rFonts w:ascii="Arial" w:hAnsi="Arial" w:cs="Arial"/>
                <w:b/>
                <w:sz w:val="20"/>
                <w:szCs w:val="20"/>
              </w:rPr>
            </w:pPr>
          </w:p>
        </w:tc>
        <w:tc>
          <w:tcPr>
            <w:tcW w:w="567" w:type="dxa"/>
          </w:tcPr>
          <w:p w14:paraId="06CB38F0" w14:textId="77777777" w:rsidR="00AD665A" w:rsidRPr="006F3C3B" w:rsidRDefault="00AD665A" w:rsidP="00224644">
            <w:pPr>
              <w:spacing w:after="120"/>
              <w:rPr>
                <w:rFonts w:ascii="Arial" w:hAnsi="Arial" w:cs="Arial"/>
                <w:b/>
                <w:sz w:val="20"/>
                <w:szCs w:val="20"/>
              </w:rPr>
            </w:pPr>
          </w:p>
        </w:tc>
        <w:tc>
          <w:tcPr>
            <w:tcW w:w="567" w:type="dxa"/>
          </w:tcPr>
          <w:p w14:paraId="3D53FFF7" w14:textId="77777777" w:rsidR="00AD665A" w:rsidRPr="006F3C3B" w:rsidRDefault="00AD665A" w:rsidP="00224644">
            <w:pPr>
              <w:spacing w:after="120"/>
              <w:rPr>
                <w:rFonts w:ascii="Arial" w:hAnsi="Arial" w:cs="Arial"/>
                <w:b/>
                <w:sz w:val="20"/>
                <w:szCs w:val="20"/>
              </w:rPr>
            </w:pPr>
          </w:p>
        </w:tc>
        <w:tc>
          <w:tcPr>
            <w:tcW w:w="567" w:type="dxa"/>
          </w:tcPr>
          <w:p w14:paraId="5A8F8A16" w14:textId="77777777" w:rsidR="00AD665A" w:rsidRPr="006F3C3B" w:rsidRDefault="00AD665A" w:rsidP="00224644">
            <w:pPr>
              <w:spacing w:after="120"/>
              <w:rPr>
                <w:rFonts w:ascii="Arial" w:hAnsi="Arial" w:cs="Arial"/>
                <w:b/>
                <w:sz w:val="20"/>
                <w:szCs w:val="20"/>
              </w:rPr>
            </w:pPr>
          </w:p>
        </w:tc>
        <w:tc>
          <w:tcPr>
            <w:tcW w:w="567" w:type="dxa"/>
          </w:tcPr>
          <w:p w14:paraId="4FB14249" w14:textId="77777777" w:rsidR="00AD665A" w:rsidRPr="006F3C3B" w:rsidRDefault="00AD665A" w:rsidP="00224644">
            <w:pPr>
              <w:spacing w:after="120"/>
              <w:rPr>
                <w:rFonts w:ascii="Arial" w:hAnsi="Arial" w:cs="Arial"/>
                <w:b/>
                <w:sz w:val="20"/>
                <w:szCs w:val="20"/>
              </w:rPr>
            </w:pPr>
          </w:p>
        </w:tc>
        <w:tc>
          <w:tcPr>
            <w:tcW w:w="567" w:type="dxa"/>
          </w:tcPr>
          <w:p w14:paraId="5E48D19F" w14:textId="77777777" w:rsidR="00AD665A" w:rsidRPr="006F3C3B" w:rsidRDefault="00AD665A" w:rsidP="00224644">
            <w:pPr>
              <w:spacing w:after="120"/>
              <w:rPr>
                <w:rFonts w:ascii="Arial" w:hAnsi="Arial" w:cs="Arial"/>
                <w:b/>
                <w:sz w:val="20"/>
                <w:szCs w:val="20"/>
              </w:rPr>
            </w:pPr>
          </w:p>
        </w:tc>
        <w:tc>
          <w:tcPr>
            <w:tcW w:w="567" w:type="dxa"/>
          </w:tcPr>
          <w:p w14:paraId="2A9E9834" w14:textId="77777777" w:rsidR="00AD665A" w:rsidRPr="006F3C3B" w:rsidRDefault="00AD665A" w:rsidP="00224644">
            <w:pPr>
              <w:spacing w:after="120"/>
              <w:rPr>
                <w:rFonts w:ascii="Arial" w:hAnsi="Arial" w:cs="Arial"/>
                <w:b/>
                <w:sz w:val="20"/>
                <w:szCs w:val="20"/>
              </w:rPr>
            </w:pPr>
          </w:p>
        </w:tc>
        <w:tc>
          <w:tcPr>
            <w:tcW w:w="567" w:type="dxa"/>
          </w:tcPr>
          <w:p w14:paraId="2141DBC2" w14:textId="77777777" w:rsidR="00AD665A" w:rsidRPr="006F3C3B" w:rsidRDefault="00AD665A" w:rsidP="00224644">
            <w:pPr>
              <w:spacing w:after="120"/>
              <w:rPr>
                <w:rFonts w:ascii="Arial" w:hAnsi="Arial" w:cs="Arial"/>
                <w:b/>
                <w:sz w:val="20"/>
                <w:szCs w:val="20"/>
              </w:rPr>
            </w:pPr>
          </w:p>
        </w:tc>
        <w:tc>
          <w:tcPr>
            <w:tcW w:w="567" w:type="dxa"/>
          </w:tcPr>
          <w:p w14:paraId="76986549" w14:textId="77777777" w:rsidR="00AD665A" w:rsidRPr="006F3C3B" w:rsidRDefault="00AD665A" w:rsidP="00224644">
            <w:pPr>
              <w:spacing w:after="120"/>
              <w:rPr>
                <w:rFonts w:ascii="Arial" w:hAnsi="Arial" w:cs="Arial"/>
                <w:b/>
                <w:sz w:val="20"/>
                <w:szCs w:val="20"/>
              </w:rPr>
            </w:pPr>
          </w:p>
        </w:tc>
        <w:tc>
          <w:tcPr>
            <w:tcW w:w="567" w:type="dxa"/>
          </w:tcPr>
          <w:p w14:paraId="4F728A1E" w14:textId="77777777" w:rsidR="00AD665A" w:rsidRPr="006F3C3B" w:rsidRDefault="00AD665A" w:rsidP="00224644">
            <w:pPr>
              <w:spacing w:after="120"/>
              <w:rPr>
                <w:rFonts w:ascii="Arial" w:hAnsi="Arial" w:cs="Arial"/>
                <w:b/>
                <w:sz w:val="20"/>
                <w:szCs w:val="20"/>
              </w:rPr>
            </w:pPr>
          </w:p>
        </w:tc>
        <w:tc>
          <w:tcPr>
            <w:tcW w:w="567" w:type="dxa"/>
          </w:tcPr>
          <w:p w14:paraId="7829909D" w14:textId="77777777" w:rsidR="00AD665A" w:rsidRPr="006F3C3B" w:rsidRDefault="00AD665A" w:rsidP="00224644">
            <w:pPr>
              <w:spacing w:after="120"/>
              <w:rPr>
                <w:rFonts w:ascii="Arial" w:hAnsi="Arial" w:cs="Arial"/>
                <w:b/>
                <w:sz w:val="20"/>
                <w:szCs w:val="20"/>
              </w:rPr>
            </w:pPr>
          </w:p>
        </w:tc>
      </w:tr>
      <w:tr w:rsidR="00AD665A" w:rsidRPr="00302082" w14:paraId="2D3F6BED" w14:textId="77777777" w:rsidTr="00AD665A">
        <w:tc>
          <w:tcPr>
            <w:tcW w:w="1730" w:type="dxa"/>
          </w:tcPr>
          <w:p w14:paraId="5A573C7E" w14:textId="77777777" w:rsidR="00AD665A" w:rsidRPr="006F3C3B" w:rsidRDefault="00AD665A" w:rsidP="00224644">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04DEBCF5"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7003C0BE"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B062CA3"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16EB4D8C"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C0AAFA7"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21017190"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4F6E5743"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71676C9"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13D7E7DF"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CE70A3C"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268090CA" w14:textId="77777777" w:rsidR="00AD665A" w:rsidRDefault="00AD665A" w:rsidP="00224644">
            <w:pPr>
              <w:spacing w:after="120"/>
              <w:rPr>
                <w:rFonts w:ascii="Arial" w:hAnsi="Arial" w:cs="Arial"/>
                <w:b/>
                <w:sz w:val="20"/>
                <w:szCs w:val="20"/>
              </w:rPr>
            </w:pPr>
            <w:r>
              <w:rPr>
                <w:rFonts w:ascii="Arial" w:hAnsi="Arial" w:cs="Arial"/>
                <w:b/>
                <w:sz w:val="20"/>
                <w:szCs w:val="20"/>
              </w:rPr>
              <w:t>x</w:t>
            </w:r>
          </w:p>
        </w:tc>
      </w:tr>
      <w:tr w:rsidR="00AD665A" w:rsidRPr="00302082" w14:paraId="1D96C5D4" w14:textId="77777777" w:rsidTr="00AD665A">
        <w:tc>
          <w:tcPr>
            <w:tcW w:w="1730" w:type="dxa"/>
          </w:tcPr>
          <w:p w14:paraId="751C3511" w14:textId="77777777" w:rsidR="00AD665A" w:rsidRPr="002049BE" w:rsidRDefault="00AD665A" w:rsidP="00224644">
            <w:pPr>
              <w:spacing w:after="120"/>
              <w:rPr>
                <w:rFonts w:ascii="Arial" w:hAnsi="Arial" w:cs="Arial"/>
                <w:sz w:val="20"/>
                <w:szCs w:val="20"/>
              </w:rPr>
            </w:pPr>
            <w:r w:rsidRPr="002049BE">
              <w:rPr>
                <w:rFonts w:ascii="Arial" w:hAnsi="Arial" w:cs="Arial"/>
                <w:sz w:val="20"/>
                <w:szCs w:val="20"/>
              </w:rPr>
              <w:t>Teaching</w:t>
            </w:r>
          </w:p>
        </w:tc>
        <w:tc>
          <w:tcPr>
            <w:tcW w:w="567" w:type="dxa"/>
          </w:tcPr>
          <w:p w14:paraId="4EDBE6DE"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6534B2C8"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31BB7E38"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00E602D7"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13079314"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24A216BF"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794F705E"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7796B993"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6C5A2287" w14:textId="77777777" w:rsidR="00AD665A" w:rsidRPr="006F3C3B" w:rsidRDefault="00AD665A" w:rsidP="00224644">
            <w:pPr>
              <w:spacing w:after="120"/>
              <w:rPr>
                <w:rFonts w:ascii="Arial" w:hAnsi="Arial" w:cs="Arial"/>
                <w:b/>
                <w:sz w:val="20"/>
                <w:szCs w:val="20"/>
              </w:rPr>
            </w:pPr>
          </w:p>
        </w:tc>
        <w:tc>
          <w:tcPr>
            <w:tcW w:w="567" w:type="dxa"/>
          </w:tcPr>
          <w:p w14:paraId="58EB850F" w14:textId="77777777" w:rsidR="00AD665A" w:rsidRPr="006F3C3B" w:rsidRDefault="00AD665A" w:rsidP="00224644">
            <w:pPr>
              <w:spacing w:after="120"/>
              <w:rPr>
                <w:rFonts w:ascii="Arial" w:hAnsi="Arial" w:cs="Arial"/>
                <w:b/>
                <w:sz w:val="20"/>
                <w:szCs w:val="20"/>
              </w:rPr>
            </w:pPr>
          </w:p>
        </w:tc>
        <w:tc>
          <w:tcPr>
            <w:tcW w:w="567" w:type="dxa"/>
          </w:tcPr>
          <w:p w14:paraId="5E5C7F91" w14:textId="77777777" w:rsidR="00AD665A" w:rsidRDefault="00AD665A" w:rsidP="00224644">
            <w:pPr>
              <w:spacing w:after="120"/>
              <w:rPr>
                <w:rFonts w:ascii="Arial" w:hAnsi="Arial" w:cs="Arial"/>
                <w:b/>
                <w:sz w:val="20"/>
                <w:szCs w:val="20"/>
              </w:rPr>
            </w:pPr>
          </w:p>
        </w:tc>
      </w:tr>
      <w:tr w:rsidR="00AD665A" w:rsidRPr="00302082" w14:paraId="0433A17E" w14:textId="77777777" w:rsidTr="00AD665A">
        <w:tc>
          <w:tcPr>
            <w:tcW w:w="1730" w:type="dxa"/>
          </w:tcPr>
          <w:p w14:paraId="3C301BED" w14:textId="77777777" w:rsidR="00AD665A" w:rsidRPr="002049BE" w:rsidRDefault="00AD665A" w:rsidP="00224644">
            <w:pPr>
              <w:spacing w:after="120"/>
              <w:rPr>
                <w:rFonts w:ascii="Arial" w:hAnsi="Arial" w:cs="Arial"/>
                <w:sz w:val="20"/>
                <w:szCs w:val="20"/>
              </w:rPr>
            </w:pPr>
            <w:r w:rsidRPr="002049BE">
              <w:rPr>
                <w:rFonts w:ascii="Arial" w:hAnsi="Arial" w:cs="Arial"/>
                <w:sz w:val="20"/>
                <w:szCs w:val="20"/>
              </w:rPr>
              <w:t>Work based experience</w:t>
            </w:r>
          </w:p>
        </w:tc>
        <w:tc>
          <w:tcPr>
            <w:tcW w:w="567" w:type="dxa"/>
          </w:tcPr>
          <w:p w14:paraId="70B6ECF0" w14:textId="77777777" w:rsidR="00AD665A" w:rsidRPr="006F3C3B" w:rsidRDefault="00AD665A" w:rsidP="00224644">
            <w:pPr>
              <w:spacing w:after="120"/>
              <w:rPr>
                <w:rFonts w:ascii="Arial" w:hAnsi="Arial" w:cs="Arial"/>
                <w:b/>
                <w:sz w:val="20"/>
                <w:szCs w:val="20"/>
              </w:rPr>
            </w:pPr>
          </w:p>
        </w:tc>
        <w:tc>
          <w:tcPr>
            <w:tcW w:w="567" w:type="dxa"/>
          </w:tcPr>
          <w:p w14:paraId="34ACB557" w14:textId="77777777" w:rsidR="00AD665A" w:rsidRPr="006F3C3B" w:rsidRDefault="00AD665A" w:rsidP="00224644">
            <w:pPr>
              <w:spacing w:after="120"/>
              <w:rPr>
                <w:rFonts w:ascii="Arial" w:hAnsi="Arial" w:cs="Arial"/>
                <w:b/>
                <w:sz w:val="20"/>
                <w:szCs w:val="20"/>
              </w:rPr>
            </w:pPr>
          </w:p>
        </w:tc>
        <w:tc>
          <w:tcPr>
            <w:tcW w:w="567" w:type="dxa"/>
          </w:tcPr>
          <w:p w14:paraId="60B591B6" w14:textId="7F320C5C"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30A3DB6B" w14:textId="77777777" w:rsidR="00AD665A" w:rsidRPr="006F3C3B" w:rsidRDefault="00AD665A" w:rsidP="00224644">
            <w:pPr>
              <w:spacing w:after="120"/>
              <w:rPr>
                <w:rFonts w:ascii="Arial" w:hAnsi="Arial" w:cs="Arial"/>
                <w:b/>
                <w:sz w:val="20"/>
                <w:szCs w:val="20"/>
              </w:rPr>
            </w:pPr>
          </w:p>
        </w:tc>
        <w:tc>
          <w:tcPr>
            <w:tcW w:w="567" w:type="dxa"/>
          </w:tcPr>
          <w:p w14:paraId="19256BB8" w14:textId="501A8179"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4BA22F22" w14:textId="77777777" w:rsidR="00AD665A" w:rsidRPr="006F3C3B" w:rsidRDefault="00AD665A" w:rsidP="00224644">
            <w:pPr>
              <w:spacing w:after="120"/>
              <w:rPr>
                <w:rFonts w:ascii="Arial" w:hAnsi="Arial" w:cs="Arial"/>
                <w:b/>
                <w:sz w:val="20"/>
                <w:szCs w:val="20"/>
              </w:rPr>
            </w:pPr>
          </w:p>
        </w:tc>
        <w:tc>
          <w:tcPr>
            <w:tcW w:w="567" w:type="dxa"/>
          </w:tcPr>
          <w:p w14:paraId="27F71B85" w14:textId="77777777" w:rsidR="00AD665A" w:rsidRPr="006F3C3B" w:rsidRDefault="00AD665A" w:rsidP="00224644">
            <w:pPr>
              <w:spacing w:after="120"/>
              <w:rPr>
                <w:rFonts w:ascii="Arial" w:hAnsi="Arial" w:cs="Arial"/>
                <w:b/>
                <w:sz w:val="20"/>
                <w:szCs w:val="20"/>
              </w:rPr>
            </w:pPr>
          </w:p>
        </w:tc>
        <w:tc>
          <w:tcPr>
            <w:tcW w:w="567" w:type="dxa"/>
          </w:tcPr>
          <w:p w14:paraId="4DE793EF" w14:textId="057FC981"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482310C4" w14:textId="4E5D3FD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0446F9FC" w14:textId="77777777" w:rsidR="00AD665A" w:rsidRPr="006F3C3B" w:rsidRDefault="00AD665A" w:rsidP="00224644">
            <w:pPr>
              <w:spacing w:after="120"/>
              <w:rPr>
                <w:rFonts w:ascii="Arial" w:hAnsi="Arial" w:cs="Arial"/>
                <w:b/>
                <w:sz w:val="20"/>
                <w:szCs w:val="20"/>
              </w:rPr>
            </w:pPr>
          </w:p>
        </w:tc>
        <w:tc>
          <w:tcPr>
            <w:tcW w:w="567" w:type="dxa"/>
          </w:tcPr>
          <w:p w14:paraId="31F0F6AA" w14:textId="77777777" w:rsidR="00AD665A" w:rsidRPr="006F3C3B" w:rsidRDefault="00AD665A" w:rsidP="00224644">
            <w:pPr>
              <w:spacing w:after="120"/>
              <w:rPr>
                <w:rFonts w:ascii="Arial" w:hAnsi="Arial" w:cs="Arial"/>
                <w:b/>
                <w:sz w:val="20"/>
                <w:szCs w:val="20"/>
              </w:rPr>
            </w:pPr>
          </w:p>
        </w:tc>
      </w:tr>
      <w:tr w:rsidR="00AD665A" w:rsidRPr="00302082" w14:paraId="64C5C702" w14:textId="77777777" w:rsidTr="00AD665A">
        <w:tc>
          <w:tcPr>
            <w:tcW w:w="1730" w:type="dxa"/>
            <w:shd w:val="clear" w:color="auto" w:fill="D9D9D9" w:themeFill="background1" w:themeFillShade="D9"/>
          </w:tcPr>
          <w:p w14:paraId="4BC7080F" w14:textId="77777777" w:rsidR="00AD665A" w:rsidRPr="006F3C3B" w:rsidRDefault="00AD665A" w:rsidP="00224644">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2187FB47" w14:textId="77777777" w:rsidR="00AD665A" w:rsidRPr="006F3C3B" w:rsidRDefault="00AD665A" w:rsidP="00224644">
            <w:pPr>
              <w:spacing w:after="120"/>
              <w:rPr>
                <w:rFonts w:ascii="Arial" w:hAnsi="Arial" w:cs="Arial"/>
                <w:b/>
                <w:sz w:val="20"/>
                <w:szCs w:val="20"/>
              </w:rPr>
            </w:pPr>
          </w:p>
        </w:tc>
        <w:tc>
          <w:tcPr>
            <w:tcW w:w="567" w:type="dxa"/>
          </w:tcPr>
          <w:p w14:paraId="78BF8AC3" w14:textId="77777777" w:rsidR="00AD665A" w:rsidRPr="006F3C3B" w:rsidRDefault="00AD665A" w:rsidP="00224644">
            <w:pPr>
              <w:spacing w:after="120"/>
              <w:rPr>
                <w:rFonts w:ascii="Arial" w:hAnsi="Arial" w:cs="Arial"/>
                <w:b/>
                <w:sz w:val="20"/>
                <w:szCs w:val="20"/>
              </w:rPr>
            </w:pPr>
          </w:p>
        </w:tc>
        <w:tc>
          <w:tcPr>
            <w:tcW w:w="567" w:type="dxa"/>
          </w:tcPr>
          <w:p w14:paraId="673B4EFA" w14:textId="77777777" w:rsidR="00AD665A" w:rsidRPr="006F3C3B" w:rsidRDefault="00AD665A" w:rsidP="00224644">
            <w:pPr>
              <w:spacing w:after="120"/>
              <w:rPr>
                <w:rFonts w:ascii="Arial" w:hAnsi="Arial" w:cs="Arial"/>
                <w:b/>
                <w:sz w:val="20"/>
                <w:szCs w:val="20"/>
              </w:rPr>
            </w:pPr>
          </w:p>
        </w:tc>
        <w:tc>
          <w:tcPr>
            <w:tcW w:w="567" w:type="dxa"/>
          </w:tcPr>
          <w:p w14:paraId="6951BBA3" w14:textId="77777777" w:rsidR="00AD665A" w:rsidRPr="006F3C3B" w:rsidRDefault="00AD665A" w:rsidP="00224644">
            <w:pPr>
              <w:spacing w:after="120"/>
              <w:rPr>
                <w:rFonts w:ascii="Arial" w:hAnsi="Arial" w:cs="Arial"/>
                <w:b/>
                <w:sz w:val="20"/>
                <w:szCs w:val="20"/>
              </w:rPr>
            </w:pPr>
          </w:p>
        </w:tc>
        <w:tc>
          <w:tcPr>
            <w:tcW w:w="567" w:type="dxa"/>
          </w:tcPr>
          <w:p w14:paraId="7F984EDA" w14:textId="77777777" w:rsidR="00AD665A" w:rsidRPr="006F3C3B" w:rsidRDefault="00AD665A" w:rsidP="00224644">
            <w:pPr>
              <w:spacing w:after="120"/>
              <w:rPr>
                <w:rFonts w:ascii="Arial" w:hAnsi="Arial" w:cs="Arial"/>
                <w:b/>
                <w:sz w:val="20"/>
                <w:szCs w:val="20"/>
              </w:rPr>
            </w:pPr>
          </w:p>
        </w:tc>
        <w:tc>
          <w:tcPr>
            <w:tcW w:w="567" w:type="dxa"/>
          </w:tcPr>
          <w:p w14:paraId="1115FDF4" w14:textId="77777777" w:rsidR="00AD665A" w:rsidRPr="006F3C3B" w:rsidRDefault="00AD665A" w:rsidP="00224644">
            <w:pPr>
              <w:spacing w:after="120"/>
              <w:rPr>
                <w:rFonts w:ascii="Arial" w:hAnsi="Arial" w:cs="Arial"/>
                <w:b/>
                <w:sz w:val="20"/>
                <w:szCs w:val="20"/>
              </w:rPr>
            </w:pPr>
          </w:p>
        </w:tc>
        <w:tc>
          <w:tcPr>
            <w:tcW w:w="567" w:type="dxa"/>
          </w:tcPr>
          <w:p w14:paraId="13BC3DC1" w14:textId="77777777" w:rsidR="00AD665A" w:rsidRPr="006F3C3B" w:rsidRDefault="00AD665A" w:rsidP="00224644">
            <w:pPr>
              <w:spacing w:after="120"/>
              <w:rPr>
                <w:rFonts w:ascii="Arial" w:hAnsi="Arial" w:cs="Arial"/>
                <w:b/>
                <w:sz w:val="20"/>
                <w:szCs w:val="20"/>
              </w:rPr>
            </w:pPr>
          </w:p>
        </w:tc>
        <w:tc>
          <w:tcPr>
            <w:tcW w:w="567" w:type="dxa"/>
          </w:tcPr>
          <w:p w14:paraId="3799CCDC" w14:textId="77777777" w:rsidR="00AD665A" w:rsidRPr="006F3C3B" w:rsidRDefault="00AD665A" w:rsidP="00224644">
            <w:pPr>
              <w:spacing w:after="120"/>
              <w:rPr>
                <w:rFonts w:ascii="Arial" w:hAnsi="Arial" w:cs="Arial"/>
                <w:b/>
                <w:sz w:val="20"/>
                <w:szCs w:val="20"/>
              </w:rPr>
            </w:pPr>
          </w:p>
        </w:tc>
        <w:tc>
          <w:tcPr>
            <w:tcW w:w="567" w:type="dxa"/>
          </w:tcPr>
          <w:p w14:paraId="2254F328" w14:textId="77777777" w:rsidR="00AD665A" w:rsidRPr="006F3C3B" w:rsidRDefault="00AD665A" w:rsidP="00224644">
            <w:pPr>
              <w:spacing w:after="120"/>
              <w:rPr>
                <w:rFonts w:ascii="Arial" w:hAnsi="Arial" w:cs="Arial"/>
                <w:b/>
                <w:sz w:val="20"/>
                <w:szCs w:val="20"/>
              </w:rPr>
            </w:pPr>
          </w:p>
        </w:tc>
        <w:tc>
          <w:tcPr>
            <w:tcW w:w="567" w:type="dxa"/>
          </w:tcPr>
          <w:p w14:paraId="30011A34" w14:textId="77777777" w:rsidR="00AD665A" w:rsidRPr="006F3C3B" w:rsidRDefault="00AD665A" w:rsidP="00224644">
            <w:pPr>
              <w:spacing w:after="120"/>
              <w:rPr>
                <w:rFonts w:ascii="Arial" w:hAnsi="Arial" w:cs="Arial"/>
                <w:b/>
                <w:sz w:val="20"/>
                <w:szCs w:val="20"/>
              </w:rPr>
            </w:pPr>
          </w:p>
        </w:tc>
        <w:tc>
          <w:tcPr>
            <w:tcW w:w="567" w:type="dxa"/>
          </w:tcPr>
          <w:p w14:paraId="3556FA1C" w14:textId="77777777" w:rsidR="00AD665A" w:rsidRPr="006F3C3B" w:rsidRDefault="00AD665A" w:rsidP="00224644">
            <w:pPr>
              <w:spacing w:after="120"/>
              <w:rPr>
                <w:rFonts w:ascii="Arial" w:hAnsi="Arial" w:cs="Arial"/>
                <w:b/>
                <w:sz w:val="20"/>
                <w:szCs w:val="20"/>
              </w:rPr>
            </w:pPr>
          </w:p>
        </w:tc>
      </w:tr>
      <w:tr w:rsidR="00AD665A" w:rsidRPr="00302082" w14:paraId="5B142AE7" w14:textId="77777777" w:rsidTr="00AD665A">
        <w:tc>
          <w:tcPr>
            <w:tcW w:w="1730" w:type="dxa"/>
          </w:tcPr>
          <w:p w14:paraId="12707278" w14:textId="10CB90BE" w:rsidR="00AD665A" w:rsidRDefault="00AD665A" w:rsidP="00224644">
            <w:pPr>
              <w:spacing w:after="120"/>
              <w:rPr>
                <w:rFonts w:ascii="Arial" w:hAnsi="Arial" w:cs="Arial"/>
                <w:i/>
                <w:sz w:val="20"/>
                <w:szCs w:val="20"/>
              </w:rPr>
            </w:pPr>
            <w:r>
              <w:rPr>
                <w:rFonts w:ascii="Arial" w:hAnsi="Arial" w:cs="Arial"/>
                <w:i/>
                <w:sz w:val="20"/>
                <w:szCs w:val="20"/>
              </w:rPr>
              <w:t>Written Assignments</w:t>
            </w:r>
          </w:p>
          <w:p w14:paraId="7EE417CB" w14:textId="523C753B" w:rsidR="00AD665A" w:rsidRPr="006F3C3B" w:rsidRDefault="00AD665A" w:rsidP="00224644">
            <w:pPr>
              <w:spacing w:after="120"/>
              <w:rPr>
                <w:rFonts w:ascii="Arial" w:hAnsi="Arial" w:cs="Arial"/>
                <w:i/>
                <w:sz w:val="20"/>
                <w:szCs w:val="20"/>
              </w:rPr>
            </w:pPr>
          </w:p>
        </w:tc>
        <w:tc>
          <w:tcPr>
            <w:tcW w:w="567" w:type="dxa"/>
          </w:tcPr>
          <w:p w14:paraId="4DFF5560"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77B2102"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29AE4177"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1D122FC0"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DBE9118"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72D13655"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F1E5B4E" w14:textId="77777777" w:rsidR="00AD665A"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2AA1A610"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166C8EC7"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5DAE2F66" w14:textId="77777777" w:rsidR="00AD665A" w:rsidRPr="006F3C3B" w:rsidRDefault="00AD665A" w:rsidP="00224644">
            <w:pPr>
              <w:spacing w:after="120"/>
              <w:rPr>
                <w:rFonts w:ascii="Arial" w:hAnsi="Arial" w:cs="Arial"/>
                <w:b/>
                <w:sz w:val="20"/>
                <w:szCs w:val="20"/>
              </w:rPr>
            </w:pPr>
            <w:r>
              <w:rPr>
                <w:rFonts w:ascii="Arial" w:hAnsi="Arial" w:cs="Arial"/>
                <w:b/>
                <w:sz w:val="20"/>
                <w:szCs w:val="20"/>
              </w:rPr>
              <w:t>x</w:t>
            </w:r>
          </w:p>
        </w:tc>
        <w:tc>
          <w:tcPr>
            <w:tcW w:w="567" w:type="dxa"/>
          </w:tcPr>
          <w:p w14:paraId="7E5D445A" w14:textId="77777777" w:rsidR="00AD665A" w:rsidRDefault="00AD665A" w:rsidP="00224644">
            <w:pPr>
              <w:spacing w:after="120"/>
              <w:rPr>
                <w:rFonts w:ascii="Arial" w:hAnsi="Arial" w:cs="Arial"/>
                <w:b/>
                <w:sz w:val="20"/>
                <w:szCs w:val="20"/>
              </w:rPr>
            </w:pPr>
            <w:r>
              <w:rPr>
                <w:rFonts w:ascii="Arial" w:hAnsi="Arial" w:cs="Arial"/>
                <w:b/>
                <w:sz w:val="20"/>
                <w:szCs w:val="20"/>
              </w:rPr>
              <w:t>x</w:t>
            </w:r>
          </w:p>
        </w:tc>
      </w:tr>
    </w:tbl>
    <w:p w14:paraId="31A64637" w14:textId="7964D6B4" w:rsidR="00C80A3C" w:rsidRPr="00C57028" w:rsidRDefault="00C80A3C" w:rsidP="007D31B5">
      <w:pPr>
        <w:spacing w:after="120" w:line="240" w:lineRule="auto"/>
        <w:ind w:left="567" w:right="261"/>
        <w:jc w:val="both"/>
        <w:rPr>
          <w:rFonts w:ascii="Arial" w:hAnsi="Arial" w:cs="Arial"/>
          <w:i/>
          <w:iCs/>
        </w:rPr>
      </w:pPr>
    </w:p>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1451ED">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3E242E72" w:rsidR="00883204" w:rsidRPr="00D50113" w:rsidRDefault="00883204" w:rsidP="00B554D8">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00B554D8">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B554D8">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1E0C045E"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CB1858">
        <w:rPr>
          <w:rFonts w:ascii="Arial" w:hAnsi="Arial" w:cs="Arial"/>
          <w:bCs/>
        </w:rPr>
        <w:t>.</w:t>
      </w:r>
    </w:p>
    <w:p w14:paraId="7C306C7E" w14:textId="2AC99BB9"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CB1858">
        <w:rPr>
          <w:rFonts w:ascii="Arial" w:hAnsi="Arial" w:cs="Arial"/>
          <w:bCs/>
        </w:rPr>
        <w:t>.</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1451ED">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58B4C" w14:textId="0ECD6351" w:rsidR="009A2D37" w:rsidRDefault="00F72D7F" w:rsidP="00224644">
      <w:pPr>
        <w:spacing w:after="120" w:line="240" w:lineRule="auto"/>
        <w:ind w:right="260" w:firstLine="360"/>
        <w:jc w:val="both"/>
        <w:rPr>
          <w:rFonts w:ascii="Arial" w:hAnsi="Arial" w:cs="Arial"/>
          <w:i/>
          <w:iCs/>
        </w:rPr>
      </w:pPr>
      <w:r>
        <w:rPr>
          <w:rFonts w:ascii="Arial" w:hAnsi="Arial" w:cs="Arial"/>
        </w:rPr>
        <w:t xml:space="preserve">  Distance</w:t>
      </w:r>
    </w:p>
    <w:p w14:paraId="4A639AFA" w14:textId="5E9BFB4C" w:rsidR="006F3C3B" w:rsidRDefault="00883204" w:rsidP="001451ED">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210477B1" w14:textId="47DCF138" w:rsidR="00C41518" w:rsidRPr="00C41518" w:rsidRDefault="00C41518" w:rsidP="00B554D8">
      <w:pPr>
        <w:spacing w:after="120" w:line="240" w:lineRule="auto"/>
        <w:ind w:left="360" w:right="261"/>
        <w:jc w:val="both"/>
        <w:rPr>
          <w:rFonts w:ascii="Arial" w:hAnsi="Arial" w:cs="Arial"/>
        </w:rPr>
      </w:pPr>
      <w:r w:rsidRPr="00C41518">
        <w:rPr>
          <w:rFonts w:ascii="Arial" w:hAnsi="Arial" w:cs="Arial"/>
        </w:rPr>
        <w:t>Procurem</w:t>
      </w:r>
      <w:r>
        <w:rPr>
          <w:rFonts w:ascii="Arial" w:hAnsi="Arial" w:cs="Arial"/>
        </w:rPr>
        <w:t>e</w:t>
      </w:r>
      <w:r w:rsidRPr="00C41518">
        <w:rPr>
          <w:rFonts w:ascii="Arial" w:hAnsi="Arial" w:cs="Arial"/>
        </w:rPr>
        <w:t>nt and the tendering proces</w:t>
      </w:r>
      <w:r>
        <w:rPr>
          <w:rFonts w:ascii="Arial" w:hAnsi="Arial" w:cs="Arial"/>
        </w:rPr>
        <w:t>s for construction is complex and often operates across international boundaries. The modu</w:t>
      </w:r>
      <w:r w:rsidR="00E16C6C">
        <w:rPr>
          <w:rFonts w:ascii="Arial" w:hAnsi="Arial" w:cs="Arial"/>
        </w:rPr>
        <w:t>le</w:t>
      </w:r>
      <w:r w:rsidR="00A82306">
        <w:rPr>
          <w:rFonts w:ascii="Arial" w:hAnsi="Arial" w:cs="Arial"/>
        </w:rPr>
        <w:t>,</w:t>
      </w:r>
      <w:r w:rsidR="00E16C6C">
        <w:rPr>
          <w:rFonts w:ascii="Arial" w:hAnsi="Arial" w:cs="Arial"/>
        </w:rPr>
        <w:t xml:space="preserve"> therefore</w:t>
      </w:r>
      <w:r w:rsidR="00A82306">
        <w:rPr>
          <w:rFonts w:ascii="Arial" w:hAnsi="Arial" w:cs="Arial"/>
        </w:rPr>
        <w:t>,</w:t>
      </w:r>
      <w:r w:rsidR="00E16C6C">
        <w:rPr>
          <w:rFonts w:ascii="Arial" w:hAnsi="Arial" w:cs="Arial"/>
        </w:rPr>
        <w:t xml:space="preserve"> introduces the principles that underpin the </w:t>
      </w:r>
      <w:r w:rsidR="003A63F7">
        <w:rPr>
          <w:rFonts w:ascii="Arial" w:hAnsi="Arial" w:cs="Arial"/>
        </w:rPr>
        <w:t xml:space="preserve">procurement and tendering </w:t>
      </w:r>
      <w:r w:rsidR="00E16C6C">
        <w:rPr>
          <w:rFonts w:ascii="Arial" w:hAnsi="Arial" w:cs="Arial"/>
        </w:rPr>
        <w:t xml:space="preserve">processes </w:t>
      </w:r>
      <w:r w:rsidR="00AA6EF4">
        <w:rPr>
          <w:rFonts w:ascii="Arial" w:hAnsi="Arial" w:cs="Arial"/>
        </w:rPr>
        <w:t xml:space="preserve">in the UK </w:t>
      </w:r>
      <w:r w:rsidR="00E03F80">
        <w:rPr>
          <w:rFonts w:ascii="Arial" w:hAnsi="Arial" w:cs="Arial"/>
        </w:rPr>
        <w:t xml:space="preserve">providing a foundation for the consideration of how these </w:t>
      </w:r>
      <w:r w:rsidR="00FE1EA4">
        <w:rPr>
          <w:rFonts w:ascii="Arial" w:hAnsi="Arial" w:cs="Arial"/>
        </w:rPr>
        <w:t xml:space="preserve">vary </w:t>
      </w:r>
      <w:r w:rsidR="00AA6EF4">
        <w:rPr>
          <w:rFonts w:ascii="Arial" w:hAnsi="Arial" w:cs="Arial"/>
        </w:rPr>
        <w:t>within international contexts</w:t>
      </w:r>
      <w:r w:rsidR="00FE1EA4">
        <w:rPr>
          <w:rFonts w:ascii="Arial" w:hAnsi="Arial" w:cs="Arial"/>
        </w:rPr>
        <w:t>.</w:t>
      </w:r>
    </w:p>
    <w:p w14:paraId="2F7796AD" w14:textId="0AF5519F" w:rsidR="00CB1858" w:rsidRDefault="00CB1858" w:rsidP="00302082">
      <w:pPr>
        <w:pBdr>
          <w:bottom w:val="single" w:sz="6" w:space="1" w:color="auto"/>
        </w:pBdr>
        <w:spacing w:after="120" w:line="240" w:lineRule="auto"/>
        <w:ind w:right="260"/>
        <w:rPr>
          <w:rFonts w:ascii="Arial" w:hAnsi="Arial" w:cs="Arial"/>
        </w:rPr>
      </w:pPr>
    </w:p>
    <w:p w14:paraId="4B4B54A3" w14:textId="77777777" w:rsidR="00CB1858" w:rsidRPr="003D7786" w:rsidRDefault="00CB1858"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30E3C9F1" w:rsidR="00870B98" w:rsidRPr="00302082" w:rsidRDefault="003A49A6" w:rsidP="00870B98">
            <w:pPr>
              <w:spacing w:after="120"/>
              <w:ind w:right="-330"/>
              <w:rPr>
                <w:rFonts w:ascii="Arial" w:hAnsi="Arial" w:cs="Arial"/>
              </w:rPr>
            </w:pPr>
            <w:r>
              <w:rPr>
                <w:rFonts w:ascii="Arial" w:hAnsi="Arial" w:cs="Arial"/>
              </w:rPr>
              <w:t xml:space="preserve"> </w:t>
            </w:r>
            <w:r w:rsidR="00F44160">
              <w:rPr>
                <w:rFonts w:ascii="Arial" w:hAnsi="Arial" w:cs="Arial"/>
              </w:rPr>
              <w:t>23 Jan 19</w:t>
            </w:r>
          </w:p>
        </w:tc>
        <w:tc>
          <w:tcPr>
            <w:tcW w:w="1701" w:type="dxa"/>
          </w:tcPr>
          <w:p w14:paraId="01801C46" w14:textId="50170459" w:rsidR="00870B98" w:rsidRPr="00302082" w:rsidRDefault="00F44160" w:rsidP="00870B98">
            <w:pPr>
              <w:spacing w:after="120"/>
              <w:ind w:right="-330"/>
              <w:rPr>
                <w:rFonts w:ascii="Arial" w:hAnsi="Arial" w:cs="Arial"/>
              </w:rPr>
            </w:pPr>
            <w:r>
              <w:rPr>
                <w:rFonts w:ascii="Arial" w:hAnsi="Arial" w:cs="Arial"/>
              </w:rPr>
              <w:t>New</w:t>
            </w:r>
          </w:p>
        </w:tc>
        <w:tc>
          <w:tcPr>
            <w:tcW w:w="2410" w:type="dxa"/>
          </w:tcPr>
          <w:p w14:paraId="2AC94CCC" w14:textId="24439295" w:rsidR="00870B98" w:rsidRPr="00302082" w:rsidRDefault="00F44160" w:rsidP="00870B98">
            <w:pPr>
              <w:spacing w:after="120"/>
              <w:ind w:right="-330"/>
              <w:rPr>
                <w:rFonts w:ascii="Arial" w:hAnsi="Arial" w:cs="Arial"/>
              </w:rPr>
            </w:pPr>
            <w:r>
              <w:rPr>
                <w:rFonts w:ascii="Arial" w:hAnsi="Arial" w:cs="Arial"/>
              </w:rPr>
              <w:t>Sept 19</w:t>
            </w:r>
          </w:p>
        </w:tc>
        <w:tc>
          <w:tcPr>
            <w:tcW w:w="2448" w:type="dxa"/>
          </w:tcPr>
          <w:p w14:paraId="0793FDC3" w14:textId="23BC2413" w:rsidR="00870B98" w:rsidRPr="00302082" w:rsidRDefault="00F44160"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0AD70DF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B832" w14:textId="77777777" w:rsidR="00CF6E18" w:rsidRDefault="00CF6E18" w:rsidP="009A2D37">
      <w:pPr>
        <w:spacing w:after="0" w:line="240" w:lineRule="auto"/>
      </w:pPr>
      <w:r>
        <w:separator/>
      </w:r>
    </w:p>
  </w:endnote>
  <w:endnote w:type="continuationSeparator" w:id="0">
    <w:p w14:paraId="3993E785" w14:textId="77777777" w:rsidR="00CF6E18" w:rsidRDefault="00CF6E18" w:rsidP="009A2D37">
      <w:pPr>
        <w:spacing w:after="0" w:line="240" w:lineRule="auto"/>
      </w:pPr>
      <w:r>
        <w:continuationSeparator/>
      </w:r>
    </w:p>
  </w:endnote>
  <w:endnote w:type="continuationNotice" w:id="1">
    <w:p w14:paraId="10CD346F" w14:textId="77777777" w:rsidR="00CF6E18" w:rsidRDefault="00CF6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24D18199" w:rsidR="008B2543" w:rsidRDefault="0019787E" w:rsidP="009A2D37">
        <w:pPr>
          <w:pStyle w:val="Footer"/>
          <w:jc w:val="center"/>
        </w:pPr>
        <w:r>
          <w:fldChar w:fldCharType="begin"/>
        </w:r>
        <w:r>
          <w:instrText xml:space="preserve"> PAGE   \* MERGEFORMAT </w:instrText>
        </w:r>
        <w:r>
          <w:fldChar w:fldCharType="separate"/>
        </w:r>
        <w:r w:rsidR="004E0700">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794A" w14:textId="77777777" w:rsidR="00CF6E18" w:rsidRDefault="00CF6E18" w:rsidP="009A2D37">
      <w:pPr>
        <w:spacing w:after="0" w:line="240" w:lineRule="auto"/>
      </w:pPr>
      <w:r>
        <w:separator/>
      </w:r>
    </w:p>
  </w:footnote>
  <w:footnote w:type="continuationSeparator" w:id="0">
    <w:p w14:paraId="738AA72F" w14:textId="77777777" w:rsidR="00CF6E18" w:rsidRDefault="00CF6E18" w:rsidP="009A2D37">
      <w:pPr>
        <w:spacing w:after="0" w:line="240" w:lineRule="auto"/>
      </w:pPr>
      <w:r>
        <w:continuationSeparator/>
      </w:r>
    </w:p>
  </w:footnote>
  <w:footnote w:type="continuationNotice" w:id="1">
    <w:p w14:paraId="180460BC" w14:textId="77777777" w:rsidR="00CF6E18" w:rsidRDefault="00CF6E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468"/>
    <w:multiLevelType w:val="multilevel"/>
    <w:tmpl w:val="5F6ABDE6"/>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1610406"/>
    <w:multiLevelType w:val="hybridMultilevel"/>
    <w:tmpl w:val="F7A63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AF7"/>
    <w:multiLevelType w:val="hybridMultilevel"/>
    <w:tmpl w:val="420C4A1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AB955A9"/>
    <w:multiLevelType w:val="hybridMultilevel"/>
    <w:tmpl w:val="026AD940"/>
    <w:lvl w:ilvl="0" w:tplc="9864CC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6" w15:restartNumberingAfterBreak="0">
    <w:nsid w:val="24730FE8"/>
    <w:multiLevelType w:val="hybridMultilevel"/>
    <w:tmpl w:val="D0E815B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83180"/>
    <w:multiLevelType w:val="hybridMultilevel"/>
    <w:tmpl w:val="9ACC0E68"/>
    <w:lvl w:ilvl="0" w:tplc="0564362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04687"/>
    <w:multiLevelType w:val="hybridMultilevel"/>
    <w:tmpl w:val="CAEEBC3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3"/>
  </w:num>
  <w:num w:numId="10">
    <w:abstractNumId w:val="5"/>
  </w:num>
  <w:num w:numId="11">
    <w:abstractNumId w:val="14"/>
  </w:num>
  <w:num w:numId="12">
    <w:abstractNumId w:val="3"/>
  </w:num>
  <w:num w:numId="13">
    <w:abstractNumId w:val="11"/>
  </w:num>
  <w:num w:numId="14">
    <w:abstractNumId w:val="2"/>
  </w:num>
  <w:num w:numId="15">
    <w:abstractNumId w:val="4"/>
  </w:num>
  <w:num w:numId="16">
    <w:abstractNumId w:val="8"/>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800F6"/>
    <w:rsid w:val="00094810"/>
    <w:rsid w:val="00096DA4"/>
    <w:rsid w:val="000B4EC9"/>
    <w:rsid w:val="000C0294"/>
    <w:rsid w:val="000C69DE"/>
    <w:rsid w:val="000C7A1C"/>
    <w:rsid w:val="000D2A8A"/>
    <w:rsid w:val="000D32AC"/>
    <w:rsid w:val="000E13B4"/>
    <w:rsid w:val="000E20C1"/>
    <w:rsid w:val="000E3B73"/>
    <w:rsid w:val="000E4E9F"/>
    <w:rsid w:val="000F6C56"/>
    <w:rsid w:val="000F7FBF"/>
    <w:rsid w:val="00106BE5"/>
    <w:rsid w:val="00110947"/>
    <w:rsid w:val="00111906"/>
    <w:rsid w:val="00111CB3"/>
    <w:rsid w:val="00112ABC"/>
    <w:rsid w:val="00115A58"/>
    <w:rsid w:val="00117577"/>
    <w:rsid w:val="00117793"/>
    <w:rsid w:val="001206E4"/>
    <w:rsid w:val="001214D3"/>
    <w:rsid w:val="00121BFC"/>
    <w:rsid w:val="00130C13"/>
    <w:rsid w:val="001315E7"/>
    <w:rsid w:val="001402AD"/>
    <w:rsid w:val="001451ED"/>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C4151"/>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02685"/>
    <w:rsid w:val="002049BE"/>
    <w:rsid w:val="0021578E"/>
    <w:rsid w:val="00223470"/>
    <w:rsid w:val="00224644"/>
    <w:rsid w:val="00227582"/>
    <w:rsid w:val="002308BE"/>
    <w:rsid w:val="002407C0"/>
    <w:rsid w:val="002461AF"/>
    <w:rsid w:val="002465A1"/>
    <w:rsid w:val="00247A33"/>
    <w:rsid w:val="00252320"/>
    <w:rsid w:val="00264576"/>
    <w:rsid w:val="00264A30"/>
    <w:rsid w:val="0026585A"/>
    <w:rsid w:val="00266735"/>
    <w:rsid w:val="002718D6"/>
    <w:rsid w:val="00273C63"/>
    <w:rsid w:val="00273CF0"/>
    <w:rsid w:val="002748D4"/>
    <w:rsid w:val="00274ED7"/>
    <w:rsid w:val="00276EC6"/>
    <w:rsid w:val="0028461D"/>
    <w:rsid w:val="0028590C"/>
    <w:rsid w:val="00285D7C"/>
    <w:rsid w:val="00291951"/>
    <w:rsid w:val="00292C46"/>
    <w:rsid w:val="002937EA"/>
    <w:rsid w:val="002938D6"/>
    <w:rsid w:val="00294B73"/>
    <w:rsid w:val="00296DF5"/>
    <w:rsid w:val="002A0C18"/>
    <w:rsid w:val="002A219B"/>
    <w:rsid w:val="002A22DB"/>
    <w:rsid w:val="002A3708"/>
    <w:rsid w:val="002B15B5"/>
    <w:rsid w:val="002B20F5"/>
    <w:rsid w:val="002B2A1A"/>
    <w:rsid w:val="002B71F2"/>
    <w:rsid w:val="002E034A"/>
    <w:rsid w:val="002E6B83"/>
    <w:rsid w:val="002E71C0"/>
    <w:rsid w:val="002F00A5"/>
    <w:rsid w:val="002F05F4"/>
    <w:rsid w:val="002F0CE4"/>
    <w:rsid w:val="002F23EF"/>
    <w:rsid w:val="002F2626"/>
    <w:rsid w:val="002F4AE8"/>
    <w:rsid w:val="00302082"/>
    <w:rsid w:val="00306620"/>
    <w:rsid w:val="00307F82"/>
    <w:rsid w:val="00313DA8"/>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657"/>
    <w:rsid w:val="003759B0"/>
    <w:rsid w:val="00375F84"/>
    <w:rsid w:val="00376E34"/>
    <w:rsid w:val="003804E7"/>
    <w:rsid w:val="003818C1"/>
    <w:rsid w:val="0039244D"/>
    <w:rsid w:val="003934D2"/>
    <w:rsid w:val="00393AFB"/>
    <w:rsid w:val="00396FD5"/>
    <w:rsid w:val="003973A1"/>
    <w:rsid w:val="003A03D5"/>
    <w:rsid w:val="003A0DE7"/>
    <w:rsid w:val="003A2487"/>
    <w:rsid w:val="003A4358"/>
    <w:rsid w:val="003A49A6"/>
    <w:rsid w:val="003A5DA0"/>
    <w:rsid w:val="003A5EEB"/>
    <w:rsid w:val="003A6143"/>
    <w:rsid w:val="003A63F7"/>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07B4"/>
    <w:rsid w:val="00402560"/>
    <w:rsid w:val="00402ED7"/>
    <w:rsid w:val="00403C32"/>
    <w:rsid w:val="004068AE"/>
    <w:rsid w:val="00406F07"/>
    <w:rsid w:val="004114F8"/>
    <w:rsid w:val="00422B69"/>
    <w:rsid w:val="00423D86"/>
    <w:rsid w:val="00424C90"/>
    <w:rsid w:val="0042539F"/>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0A6C"/>
    <w:rsid w:val="004A39D7"/>
    <w:rsid w:val="004A55FA"/>
    <w:rsid w:val="004B5D03"/>
    <w:rsid w:val="004C1EC4"/>
    <w:rsid w:val="004C41CB"/>
    <w:rsid w:val="004D035C"/>
    <w:rsid w:val="004D19E9"/>
    <w:rsid w:val="004D398A"/>
    <w:rsid w:val="004D3D76"/>
    <w:rsid w:val="004E0700"/>
    <w:rsid w:val="004E59D8"/>
    <w:rsid w:val="004F2295"/>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56E35"/>
    <w:rsid w:val="0056127B"/>
    <w:rsid w:val="00561D26"/>
    <w:rsid w:val="005638BA"/>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0D38"/>
    <w:rsid w:val="005C1A4F"/>
    <w:rsid w:val="005C27D7"/>
    <w:rsid w:val="005D1D7D"/>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82650"/>
    <w:rsid w:val="006828F1"/>
    <w:rsid w:val="00683609"/>
    <w:rsid w:val="00684851"/>
    <w:rsid w:val="006851AA"/>
    <w:rsid w:val="00694309"/>
    <w:rsid w:val="00695285"/>
    <w:rsid w:val="00696FF5"/>
    <w:rsid w:val="006A29BF"/>
    <w:rsid w:val="006A6BB4"/>
    <w:rsid w:val="006A7FB0"/>
    <w:rsid w:val="006B1E60"/>
    <w:rsid w:val="006B5F87"/>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026"/>
    <w:rsid w:val="00706D80"/>
    <w:rsid w:val="00707239"/>
    <w:rsid w:val="007105E4"/>
    <w:rsid w:val="007132C8"/>
    <w:rsid w:val="00714EE5"/>
    <w:rsid w:val="00720270"/>
    <w:rsid w:val="007225F2"/>
    <w:rsid w:val="00724362"/>
    <w:rsid w:val="00727780"/>
    <w:rsid w:val="007279A6"/>
    <w:rsid w:val="00727BA7"/>
    <w:rsid w:val="00733A68"/>
    <w:rsid w:val="0073792C"/>
    <w:rsid w:val="007439DE"/>
    <w:rsid w:val="0075056F"/>
    <w:rsid w:val="00753935"/>
    <w:rsid w:val="00754069"/>
    <w:rsid w:val="007566EB"/>
    <w:rsid w:val="00764F9E"/>
    <w:rsid w:val="007667DF"/>
    <w:rsid w:val="0077080B"/>
    <w:rsid w:val="007747C1"/>
    <w:rsid w:val="00775A4F"/>
    <w:rsid w:val="00781231"/>
    <w:rsid w:val="00787070"/>
    <w:rsid w:val="007906FD"/>
    <w:rsid w:val="00796985"/>
    <w:rsid w:val="00797197"/>
    <w:rsid w:val="007972A7"/>
    <w:rsid w:val="007A2BA2"/>
    <w:rsid w:val="007A6245"/>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F393D"/>
    <w:rsid w:val="008029AF"/>
    <w:rsid w:val="00802FFA"/>
    <w:rsid w:val="00805F05"/>
    <w:rsid w:val="008071B3"/>
    <w:rsid w:val="008102E5"/>
    <w:rsid w:val="008111B4"/>
    <w:rsid w:val="008133F0"/>
    <w:rsid w:val="00815880"/>
    <w:rsid w:val="0082322C"/>
    <w:rsid w:val="00823942"/>
    <w:rsid w:val="00827FFD"/>
    <w:rsid w:val="0083074C"/>
    <w:rsid w:val="00835261"/>
    <w:rsid w:val="00835FA6"/>
    <w:rsid w:val="008431F4"/>
    <w:rsid w:val="00852E7F"/>
    <w:rsid w:val="00854535"/>
    <w:rsid w:val="00856EB3"/>
    <w:rsid w:val="0086111E"/>
    <w:rsid w:val="00863C96"/>
    <w:rsid w:val="00864A72"/>
    <w:rsid w:val="00870B98"/>
    <w:rsid w:val="00873E9F"/>
    <w:rsid w:val="00874047"/>
    <w:rsid w:val="008749BA"/>
    <w:rsid w:val="008778CB"/>
    <w:rsid w:val="00881545"/>
    <w:rsid w:val="00883204"/>
    <w:rsid w:val="00883A3E"/>
    <w:rsid w:val="0089148D"/>
    <w:rsid w:val="00891E0D"/>
    <w:rsid w:val="008A0F36"/>
    <w:rsid w:val="008B2543"/>
    <w:rsid w:val="008B4B6E"/>
    <w:rsid w:val="008C34BC"/>
    <w:rsid w:val="008C517D"/>
    <w:rsid w:val="008C6039"/>
    <w:rsid w:val="008D16B0"/>
    <w:rsid w:val="008D6559"/>
    <w:rsid w:val="008D71E5"/>
    <w:rsid w:val="008D7401"/>
    <w:rsid w:val="008F4B3B"/>
    <w:rsid w:val="00903DF6"/>
    <w:rsid w:val="00904E80"/>
    <w:rsid w:val="00905D25"/>
    <w:rsid w:val="00920D4A"/>
    <w:rsid w:val="00921CF6"/>
    <w:rsid w:val="00922E9E"/>
    <w:rsid w:val="00924EF0"/>
    <w:rsid w:val="00930AE6"/>
    <w:rsid w:val="00934D7B"/>
    <w:rsid w:val="00946726"/>
    <w:rsid w:val="00947180"/>
    <w:rsid w:val="00951173"/>
    <w:rsid w:val="00953BAD"/>
    <w:rsid w:val="0095522D"/>
    <w:rsid w:val="009567BE"/>
    <w:rsid w:val="009608AE"/>
    <w:rsid w:val="009676FA"/>
    <w:rsid w:val="009679E0"/>
    <w:rsid w:val="00977632"/>
    <w:rsid w:val="00982A8E"/>
    <w:rsid w:val="00987DB4"/>
    <w:rsid w:val="0099029D"/>
    <w:rsid w:val="00992443"/>
    <w:rsid w:val="00996204"/>
    <w:rsid w:val="009A0CF7"/>
    <w:rsid w:val="009A26CB"/>
    <w:rsid w:val="009A2BC2"/>
    <w:rsid w:val="009A2D37"/>
    <w:rsid w:val="009A7587"/>
    <w:rsid w:val="009B0A69"/>
    <w:rsid w:val="009B7DBA"/>
    <w:rsid w:val="009C2474"/>
    <w:rsid w:val="009C2BC7"/>
    <w:rsid w:val="009C7082"/>
    <w:rsid w:val="009C76CB"/>
    <w:rsid w:val="009D0006"/>
    <w:rsid w:val="009D068C"/>
    <w:rsid w:val="009D2E50"/>
    <w:rsid w:val="009D4956"/>
    <w:rsid w:val="009E7500"/>
    <w:rsid w:val="009F3A2A"/>
    <w:rsid w:val="009F6321"/>
    <w:rsid w:val="009F731F"/>
    <w:rsid w:val="009F7D33"/>
    <w:rsid w:val="00A021FE"/>
    <w:rsid w:val="00A031E2"/>
    <w:rsid w:val="00A1270E"/>
    <w:rsid w:val="00A15342"/>
    <w:rsid w:val="00A24CBA"/>
    <w:rsid w:val="00A26321"/>
    <w:rsid w:val="00A3007E"/>
    <w:rsid w:val="00A32048"/>
    <w:rsid w:val="00A41F06"/>
    <w:rsid w:val="00A50FD4"/>
    <w:rsid w:val="00A52DB4"/>
    <w:rsid w:val="00A618E1"/>
    <w:rsid w:val="00A629B9"/>
    <w:rsid w:val="00A64402"/>
    <w:rsid w:val="00A70C20"/>
    <w:rsid w:val="00A74292"/>
    <w:rsid w:val="00A776DE"/>
    <w:rsid w:val="00A80640"/>
    <w:rsid w:val="00A81FA6"/>
    <w:rsid w:val="00A82306"/>
    <w:rsid w:val="00A87FFD"/>
    <w:rsid w:val="00A90A38"/>
    <w:rsid w:val="00A97038"/>
    <w:rsid w:val="00AA15CF"/>
    <w:rsid w:val="00AA20E8"/>
    <w:rsid w:val="00AA3C15"/>
    <w:rsid w:val="00AA3DE5"/>
    <w:rsid w:val="00AA5011"/>
    <w:rsid w:val="00AA6330"/>
    <w:rsid w:val="00AA6EF4"/>
    <w:rsid w:val="00AC7501"/>
    <w:rsid w:val="00AC7F3A"/>
    <w:rsid w:val="00AD3BFA"/>
    <w:rsid w:val="00AD665A"/>
    <w:rsid w:val="00AD748B"/>
    <w:rsid w:val="00AE396B"/>
    <w:rsid w:val="00AE4403"/>
    <w:rsid w:val="00AE4865"/>
    <w:rsid w:val="00AF50EE"/>
    <w:rsid w:val="00B0591D"/>
    <w:rsid w:val="00B0667B"/>
    <w:rsid w:val="00B10FA2"/>
    <w:rsid w:val="00B13402"/>
    <w:rsid w:val="00B1435C"/>
    <w:rsid w:val="00B14BC2"/>
    <w:rsid w:val="00B15D63"/>
    <w:rsid w:val="00B17024"/>
    <w:rsid w:val="00B17CD2"/>
    <w:rsid w:val="00B213D2"/>
    <w:rsid w:val="00B248BA"/>
    <w:rsid w:val="00B24B56"/>
    <w:rsid w:val="00B30E07"/>
    <w:rsid w:val="00B32AD9"/>
    <w:rsid w:val="00B34004"/>
    <w:rsid w:val="00B34ADD"/>
    <w:rsid w:val="00B52AB1"/>
    <w:rsid w:val="00B52FF5"/>
    <w:rsid w:val="00B5498B"/>
    <w:rsid w:val="00B554D8"/>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3B9B"/>
    <w:rsid w:val="00BB4189"/>
    <w:rsid w:val="00BB4501"/>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163D"/>
    <w:rsid w:val="00C2492F"/>
    <w:rsid w:val="00C33118"/>
    <w:rsid w:val="00C35893"/>
    <w:rsid w:val="00C3744A"/>
    <w:rsid w:val="00C4002A"/>
    <w:rsid w:val="00C40CA2"/>
    <w:rsid w:val="00C41518"/>
    <w:rsid w:val="00C45A80"/>
    <w:rsid w:val="00C46912"/>
    <w:rsid w:val="00C52A6B"/>
    <w:rsid w:val="00C57028"/>
    <w:rsid w:val="00C612A8"/>
    <w:rsid w:val="00C62600"/>
    <w:rsid w:val="00C67631"/>
    <w:rsid w:val="00C709C6"/>
    <w:rsid w:val="00C7185D"/>
    <w:rsid w:val="00C729D7"/>
    <w:rsid w:val="00C80A3C"/>
    <w:rsid w:val="00C83354"/>
    <w:rsid w:val="00C84004"/>
    <w:rsid w:val="00C843F6"/>
    <w:rsid w:val="00C84507"/>
    <w:rsid w:val="00C85257"/>
    <w:rsid w:val="00C862C7"/>
    <w:rsid w:val="00C90065"/>
    <w:rsid w:val="00C911ED"/>
    <w:rsid w:val="00C920F1"/>
    <w:rsid w:val="00C92DD0"/>
    <w:rsid w:val="00C933D7"/>
    <w:rsid w:val="00CA3254"/>
    <w:rsid w:val="00CA570D"/>
    <w:rsid w:val="00CB05B8"/>
    <w:rsid w:val="00CB11CE"/>
    <w:rsid w:val="00CB1858"/>
    <w:rsid w:val="00CC00D1"/>
    <w:rsid w:val="00CC25A2"/>
    <w:rsid w:val="00CD5DF8"/>
    <w:rsid w:val="00CD7F07"/>
    <w:rsid w:val="00CE04F3"/>
    <w:rsid w:val="00CE12D8"/>
    <w:rsid w:val="00CE4574"/>
    <w:rsid w:val="00CE70E6"/>
    <w:rsid w:val="00CF2E1E"/>
    <w:rsid w:val="00CF3296"/>
    <w:rsid w:val="00CF6E18"/>
    <w:rsid w:val="00CF7760"/>
    <w:rsid w:val="00D02E99"/>
    <w:rsid w:val="00D04032"/>
    <w:rsid w:val="00D11C01"/>
    <w:rsid w:val="00D13357"/>
    <w:rsid w:val="00D13A13"/>
    <w:rsid w:val="00D25748"/>
    <w:rsid w:val="00D2689A"/>
    <w:rsid w:val="00D342C0"/>
    <w:rsid w:val="00D44AEB"/>
    <w:rsid w:val="00D646DC"/>
    <w:rsid w:val="00D65506"/>
    <w:rsid w:val="00D65F66"/>
    <w:rsid w:val="00D773CF"/>
    <w:rsid w:val="00D812B8"/>
    <w:rsid w:val="00D83563"/>
    <w:rsid w:val="00D83C2B"/>
    <w:rsid w:val="00D8448F"/>
    <w:rsid w:val="00D85B5E"/>
    <w:rsid w:val="00D867E0"/>
    <w:rsid w:val="00D95553"/>
    <w:rsid w:val="00DA64B6"/>
    <w:rsid w:val="00DB1FE0"/>
    <w:rsid w:val="00DB5C9D"/>
    <w:rsid w:val="00DD02E6"/>
    <w:rsid w:val="00DD54EF"/>
    <w:rsid w:val="00DE712A"/>
    <w:rsid w:val="00DF665B"/>
    <w:rsid w:val="00E01481"/>
    <w:rsid w:val="00E0152A"/>
    <w:rsid w:val="00E03394"/>
    <w:rsid w:val="00E03F80"/>
    <w:rsid w:val="00E066E5"/>
    <w:rsid w:val="00E16C6C"/>
    <w:rsid w:val="00E17E85"/>
    <w:rsid w:val="00E22501"/>
    <w:rsid w:val="00E22AB9"/>
    <w:rsid w:val="00E22F03"/>
    <w:rsid w:val="00E233C1"/>
    <w:rsid w:val="00E40685"/>
    <w:rsid w:val="00E415E5"/>
    <w:rsid w:val="00E5041A"/>
    <w:rsid w:val="00E51404"/>
    <w:rsid w:val="00E530B4"/>
    <w:rsid w:val="00E574C9"/>
    <w:rsid w:val="00E610DE"/>
    <w:rsid w:val="00E66167"/>
    <w:rsid w:val="00E704B6"/>
    <w:rsid w:val="00E71F2F"/>
    <w:rsid w:val="00E77786"/>
    <w:rsid w:val="00E806FB"/>
    <w:rsid w:val="00E83276"/>
    <w:rsid w:val="00E83777"/>
    <w:rsid w:val="00EA129D"/>
    <w:rsid w:val="00EB08E2"/>
    <w:rsid w:val="00EB1C2D"/>
    <w:rsid w:val="00EC1810"/>
    <w:rsid w:val="00EC3FCC"/>
    <w:rsid w:val="00ED32FF"/>
    <w:rsid w:val="00EF039B"/>
    <w:rsid w:val="00EF4933"/>
    <w:rsid w:val="00EF5044"/>
    <w:rsid w:val="00F01956"/>
    <w:rsid w:val="00F116CE"/>
    <w:rsid w:val="00F13107"/>
    <w:rsid w:val="00F14A75"/>
    <w:rsid w:val="00F176DE"/>
    <w:rsid w:val="00F2055B"/>
    <w:rsid w:val="00F21C47"/>
    <w:rsid w:val="00F244E2"/>
    <w:rsid w:val="00F30006"/>
    <w:rsid w:val="00F340DE"/>
    <w:rsid w:val="00F43542"/>
    <w:rsid w:val="00F44160"/>
    <w:rsid w:val="00F44BAB"/>
    <w:rsid w:val="00F527CB"/>
    <w:rsid w:val="00F562AA"/>
    <w:rsid w:val="00F57E65"/>
    <w:rsid w:val="00F64E58"/>
    <w:rsid w:val="00F65EE9"/>
    <w:rsid w:val="00F66975"/>
    <w:rsid w:val="00F7105A"/>
    <w:rsid w:val="00F712EB"/>
    <w:rsid w:val="00F72D7F"/>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031"/>
    <w:rsid w:val="00FC4A9D"/>
    <w:rsid w:val="00FD333B"/>
    <w:rsid w:val="00FD57AB"/>
    <w:rsid w:val="00FD689C"/>
    <w:rsid w:val="00FD705C"/>
    <w:rsid w:val="00FD777A"/>
    <w:rsid w:val="00FE1EA4"/>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0E59-B225-4561-9825-7C6921F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2019-02-26T14:12:00Z</dcterms:created>
  <dcterms:modified xsi:type="dcterms:W3CDTF">2019-02-26T14:12:00Z</dcterms:modified>
</cp:coreProperties>
</file>