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1276B35A" w14:textId="172022AD" w:rsidR="009A2D37"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39F265" w14:textId="003BD898" w:rsidR="00060B6D" w:rsidRPr="002C4884" w:rsidRDefault="00631742" w:rsidP="00060B6D">
      <w:pPr>
        <w:spacing w:after="120" w:line="240" w:lineRule="auto"/>
        <w:ind w:left="567" w:right="260"/>
        <w:jc w:val="both"/>
        <w:rPr>
          <w:rFonts w:ascii="Arial" w:hAnsi="Arial" w:cs="Arial"/>
        </w:rPr>
      </w:pPr>
      <w:r w:rsidRPr="00631742">
        <w:rPr>
          <w:rFonts w:ascii="Arial" w:hAnsi="Arial" w:cs="Arial"/>
        </w:rPr>
        <w:t>QUSU4001</w:t>
      </w:r>
      <w:r>
        <w:rPr>
          <w:rFonts w:ascii="Arial" w:hAnsi="Arial" w:cs="Arial"/>
        </w:rPr>
        <w:t xml:space="preserve"> </w:t>
      </w:r>
      <w:r w:rsidR="002C4884" w:rsidRPr="002C4884">
        <w:rPr>
          <w:rFonts w:ascii="Arial" w:hAnsi="Arial" w:cs="Arial"/>
        </w:rPr>
        <w:t xml:space="preserve">Cost </w:t>
      </w:r>
      <w:r w:rsidR="00203BD1" w:rsidRPr="002C4884">
        <w:rPr>
          <w:rFonts w:ascii="Arial" w:hAnsi="Arial" w:cs="Arial"/>
        </w:rPr>
        <w:t>Estimating</w:t>
      </w:r>
      <w:r w:rsidR="002C4884" w:rsidRPr="002C4884">
        <w:rPr>
          <w:rFonts w:ascii="Arial" w:hAnsi="Arial" w:cs="Arial"/>
        </w:rPr>
        <w:t xml:space="preserve"> </w:t>
      </w:r>
      <w:r w:rsidR="002273C4">
        <w:rPr>
          <w:rFonts w:ascii="Arial" w:hAnsi="Arial" w:cs="Arial"/>
        </w:rPr>
        <w:t xml:space="preserve">and </w:t>
      </w:r>
      <w:r w:rsidR="008A0A89">
        <w:rPr>
          <w:rFonts w:ascii="Arial" w:hAnsi="Arial" w:cs="Arial"/>
        </w:rPr>
        <w:t>Budgeting</w:t>
      </w:r>
    </w:p>
    <w:p w14:paraId="05B0D93F" w14:textId="61783736" w:rsidR="009A2D37" w:rsidRPr="002C4884" w:rsidRDefault="0066499F" w:rsidP="008442B0">
      <w:pPr>
        <w:pStyle w:val="ListParagraph"/>
        <w:numPr>
          <w:ilvl w:val="0"/>
          <w:numId w:val="1"/>
        </w:numPr>
        <w:spacing w:after="120" w:line="240" w:lineRule="auto"/>
        <w:ind w:right="260"/>
        <w:jc w:val="both"/>
        <w:rPr>
          <w:rFonts w:ascii="Arial" w:hAnsi="Arial" w:cs="Arial"/>
        </w:rPr>
      </w:pPr>
      <w:r>
        <w:rPr>
          <w:rFonts w:ascii="Arial" w:hAnsi="Arial" w:cs="Arial"/>
          <w:b/>
        </w:rPr>
        <w:t xml:space="preserve">   </w:t>
      </w:r>
      <w:r w:rsidR="009A2D37" w:rsidRPr="002C4884">
        <w:rPr>
          <w:rFonts w:ascii="Arial" w:hAnsi="Arial" w:cs="Arial"/>
          <w:b/>
        </w:rPr>
        <w:t>School or partner institution wh</w:t>
      </w:r>
      <w:bookmarkStart w:id="0" w:name="_GoBack"/>
      <w:bookmarkEnd w:id="0"/>
      <w:r w:rsidR="009A2D37" w:rsidRPr="002C4884">
        <w:rPr>
          <w:rFonts w:ascii="Arial" w:hAnsi="Arial" w:cs="Arial"/>
          <w:b/>
        </w:rPr>
        <w:t>ich will be responsible for management of the module</w:t>
      </w:r>
    </w:p>
    <w:p w14:paraId="2CC37CFB" w14:textId="34B1F800" w:rsidR="009A2D37" w:rsidRPr="006828F1" w:rsidRDefault="005627AF"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16BD321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Pr="006828F1">
        <w:rPr>
          <w:rFonts w:ascii="Arial" w:hAnsi="Arial" w:cs="Arial"/>
          <w:iCs/>
        </w:rPr>
        <w:t>Level 4</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4A5AD84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1FD09F" w14:textId="318E0392" w:rsidR="00256CE3" w:rsidRPr="00256CE3" w:rsidRDefault="00256CE3" w:rsidP="00256CE3">
      <w:pPr>
        <w:pStyle w:val="ListParagraph"/>
        <w:spacing w:after="120" w:line="240" w:lineRule="auto"/>
        <w:ind w:left="567" w:right="260"/>
        <w:jc w:val="both"/>
        <w:rPr>
          <w:rFonts w:ascii="Arial" w:hAnsi="Arial" w:cs="Arial"/>
        </w:rPr>
      </w:pPr>
      <w:r w:rsidRPr="00256CE3">
        <w:rPr>
          <w:rFonts w:ascii="Arial" w:hAnsi="Arial" w:cs="Arial"/>
        </w:rPr>
        <w:t>This module is being taught as part of the BSc (Hons) Constructi</w:t>
      </w:r>
      <w:r w:rsidR="008442B0">
        <w:rPr>
          <w:rFonts w:ascii="Arial" w:hAnsi="Arial" w:cs="Arial"/>
        </w:rPr>
        <w:t>on and Quantity Surveying which</w:t>
      </w:r>
      <w:r>
        <w:rPr>
          <w:rFonts w:ascii="Arial" w:hAnsi="Arial" w:cs="Arial"/>
        </w:rPr>
        <w:t xml:space="preserve"> </w:t>
      </w:r>
      <w:r w:rsidRPr="00256CE3">
        <w:rPr>
          <w:rFonts w:ascii="Arial" w:hAnsi="Arial" w:cs="Arial"/>
        </w:rPr>
        <w:t>is being delivered as a part-time programme with a blended learning approach.</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3810F97D" w:rsidR="0095522D" w:rsidRPr="006828F1" w:rsidRDefault="00256CE3" w:rsidP="006828F1">
      <w:pPr>
        <w:spacing w:after="120" w:line="240" w:lineRule="auto"/>
        <w:ind w:left="567" w:right="260"/>
        <w:rPr>
          <w:rFonts w:ascii="Arial" w:hAnsi="Arial" w:cs="Arial"/>
          <w:iCs/>
        </w:rPr>
      </w:pPr>
      <w:r>
        <w:rPr>
          <w:rFonts w:ascii="Arial" w:hAnsi="Arial" w:cs="Arial"/>
          <w:iCs/>
        </w:rPr>
        <w:t>None</w:t>
      </w:r>
    </w:p>
    <w:p w14:paraId="7892AB54" w14:textId="23C84FA4" w:rsidR="00236D30" w:rsidRDefault="00236D30" w:rsidP="00236D3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A4103B" w14:textId="2C0480C5" w:rsidR="00236D30" w:rsidRDefault="00236D30" w:rsidP="00236D30">
      <w:pPr>
        <w:spacing w:after="120" w:line="240" w:lineRule="auto"/>
        <w:ind w:right="260" w:firstLine="567"/>
        <w:rPr>
          <w:rFonts w:ascii="Arial" w:hAnsi="Arial" w:cs="Arial"/>
          <w:iCs/>
        </w:rPr>
      </w:pPr>
      <w:r w:rsidRPr="00236D30">
        <w:rPr>
          <w:rFonts w:ascii="Arial" w:hAnsi="Arial" w:cs="Arial"/>
          <w:iCs/>
        </w:rPr>
        <w:t>BSc (Hons) Construction and Quantity Surveying</w:t>
      </w:r>
    </w:p>
    <w:p w14:paraId="43CCE2C7" w14:textId="77777777" w:rsidR="00236D30" w:rsidRPr="00236D30" w:rsidRDefault="00236D30" w:rsidP="00236D30">
      <w:pPr>
        <w:spacing w:after="120" w:line="240" w:lineRule="auto"/>
        <w:ind w:right="260" w:firstLine="567"/>
        <w:rPr>
          <w:rFonts w:ascii="Arial" w:hAnsi="Arial" w:cs="Arial"/>
          <w:iCs/>
        </w:rPr>
      </w:pPr>
    </w:p>
    <w:p w14:paraId="49CC31F0" w14:textId="5D9BBF5C" w:rsidR="006828F1" w:rsidRDefault="009A2D37" w:rsidP="00236D30">
      <w:pPr>
        <w:numPr>
          <w:ilvl w:val="0"/>
          <w:numId w:val="1"/>
        </w:numPr>
        <w:spacing w:after="120" w:line="240" w:lineRule="auto"/>
        <w:ind w:left="567" w:right="260" w:hanging="567"/>
        <w:jc w:val="both"/>
        <w:rPr>
          <w:rFonts w:ascii="Arial" w:hAnsi="Arial" w:cs="Arial"/>
          <w:b/>
        </w:rPr>
      </w:pPr>
      <w:r w:rsidRPr="00236D30">
        <w:rPr>
          <w:rFonts w:ascii="Arial" w:hAnsi="Arial" w:cs="Arial"/>
          <w:b/>
        </w:rPr>
        <w:t>The intended subject specific learning outcomes</w:t>
      </w:r>
      <w:r w:rsidR="00740DCF" w:rsidRPr="00236D30">
        <w:rPr>
          <w:rFonts w:ascii="Arial" w:hAnsi="Arial" w:cs="Arial"/>
          <w:b/>
        </w:rPr>
        <w:t>.</w:t>
      </w:r>
    </w:p>
    <w:p w14:paraId="3B09158C" w14:textId="668C6FA1" w:rsidR="008442B0" w:rsidRPr="00236D30" w:rsidRDefault="008442B0" w:rsidP="008442B0">
      <w:pPr>
        <w:spacing w:after="120" w:line="240" w:lineRule="auto"/>
        <w:ind w:left="567" w:right="260"/>
        <w:jc w:val="both"/>
        <w:rPr>
          <w:rFonts w:ascii="Arial" w:hAnsi="Arial" w:cs="Arial"/>
          <w:b/>
        </w:rPr>
      </w:pPr>
      <w:r w:rsidRPr="004002A6">
        <w:rPr>
          <w:rFonts w:ascii="Arial" w:hAnsi="Arial" w:cs="Arial"/>
        </w:rPr>
        <w:t>On successfully completing the module students will be able to:</w:t>
      </w:r>
    </w:p>
    <w:p w14:paraId="7E67049F" w14:textId="52E42616" w:rsidR="0030207E" w:rsidRPr="008F721B" w:rsidRDefault="008442B0" w:rsidP="0030207E">
      <w:pPr>
        <w:pStyle w:val="ListParagraph"/>
        <w:numPr>
          <w:ilvl w:val="0"/>
          <w:numId w:val="6"/>
        </w:numPr>
        <w:rPr>
          <w:rFonts w:ascii="Arial" w:hAnsi="Arial" w:cs="Arial"/>
          <w:iCs/>
        </w:rPr>
      </w:pPr>
      <w:r>
        <w:rPr>
          <w:rFonts w:ascii="Arial" w:hAnsi="Arial" w:cs="Arial"/>
          <w:iCs/>
        </w:rPr>
        <w:t>Demonstrate a</w:t>
      </w:r>
      <w:r w:rsidR="0030207E">
        <w:rPr>
          <w:rFonts w:ascii="Arial" w:hAnsi="Arial" w:cs="Arial"/>
          <w:iCs/>
        </w:rPr>
        <w:t xml:space="preserve"> basic understanding of budget management for construction</w:t>
      </w:r>
      <w:r>
        <w:rPr>
          <w:rFonts w:ascii="Arial" w:hAnsi="Arial" w:cs="Arial"/>
          <w:iCs/>
        </w:rPr>
        <w:t>.</w:t>
      </w:r>
    </w:p>
    <w:p w14:paraId="385C72CD" w14:textId="1595ECCA" w:rsidR="001D234C" w:rsidRDefault="008442B0" w:rsidP="001D234C">
      <w:pPr>
        <w:pStyle w:val="ListParagraph"/>
        <w:numPr>
          <w:ilvl w:val="0"/>
          <w:numId w:val="6"/>
        </w:numPr>
        <w:rPr>
          <w:rFonts w:ascii="Arial" w:hAnsi="Arial" w:cs="Arial"/>
          <w:iCs/>
        </w:rPr>
      </w:pPr>
      <w:r>
        <w:rPr>
          <w:rFonts w:ascii="Arial" w:hAnsi="Arial" w:cs="Arial"/>
          <w:iCs/>
        </w:rPr>
        <w:t>Demonstrate a</w:t>
      </w:r>
      <w:r w:rsidR="00495986">
        <w:rPr>
          <w:rFonts w:ascii="Arial" w:hAnsi="Arial" w:cs="Arial"/>
          <w:iCs/>
        </w:rPr>
        <w:t xml:space="preserve">wareness of construction programme </w:t>
      </w:r>
      <w:r w:rsidR="00035E9A">
        <w:rPr>
          <w:rFonts w:ascii="Arial" w:hAnsi="Arial" w:cs="Arial"/>
          <w:iCs/>
        </w:rPr>
        <w:t>(</w:t>
      </w:r>
      <w:r>
        <w:rPr>
          <w:rFonts w:ascii="Arial" w:hAnsi="Arial" w:cs="Arial"/>
          <w:iCs/>
        </w:rPr>
        <w:t>Royal Institute for British Architects [</w:t>
      </w:r>
      <w:r w:rsidR="00035E9A">
        <w:rPr>
          <w:rFonts w:ascii="Arial" w:hAnsi="Arial" w:cs="Arial"/>
          <w:iCs/>
        </w:rPr>
        <w:t>RIBA</w:t>
      </w:r>
      <w:r>
        <w:rPr>
          <w:rFonts w:ascii="Arial" w:hAnsi="Arial" w:cs="Arial"/>
          <w:iCs/>
        </w:rPr>
        <w:t>]</w:t>
      </w:r>
      <w:r w:rsidR="00035E9A">
        <w:rPr>
          <w:rFonts w:ascii="Arial" w:hAnsi="Arial" w:cs="Arial"/>
          <w:iCs/>
        </w:rPr>
        <w:t xml:space="preserve"> Work stages) </w:t>
      </w:r>
      <w:r w:rsidR="001D234C">
        <w:rPr>
          <w:rFonts w:ascii="Arial" w:hAnsi="Arial" w:cs="Arial"/>
          <w:iCs/>
        </w:rPr>
        <w:t xml:space="preserve">and methodology for </w:t>
      </w:r>
      <w:r w:rsidR="007F4B06">
        <w:rPr>
          <w:rFonts w:ascii="Arial" w:hAnsi="Arial" w:cs="Arial"/>
          <w:iCs/>
        </w:rPr>
        <w:t xml:space="preserve">cost </w:t>
      </w:r>
      <w:r w:rsidR="001D234C">
        <w:rPr>
          <w:rFonts w:ascii="Arial" w:hAnsi="Arial" w:cs="Arial"/>
          <w:iCs/>
        </w:rPr>
        <w:t xml:space="preserve">estimating </w:t>
      </w:r>
      <w:r w:rsidR="00C03858">
        <w:rPr>
          <w:rFonts w:ascii="Arial" w:hAnsi="Arial" w:cs="Arial"/>
          <w:iCs/>
        </w:rPr>
        <w:t xml:space="preserve">and a risk register </w:t>
      </w:r>
      <w:r w:rsidR="001D234C">
        <w:rPr>
          <w:rFonts w:ascii="Arial" w:hAnsi="Arial" w:cs="Arial"/>
          <w:iCs/>
        </w:rPr>
        <w:t>for construction</w:t>
      </w:r>
      <w:r>
        <w:rPr>
          <w:rFonts w:ascii="Arial" w:hAnsi="Arial" w:cs="Arial"/>
          <w:iCs/>
        </w:rPr>
        <w:t>.</w:t>
      </w:r>
      <w:r w:rsidR="001D234C">
        <w:rPr>
          <w:rFonts w:ascii="Arial" w:hAnsi="Arial" w:cs="Arial"/>
          <w:iCs/>
        </w:rPr>
        <w:t xml:space="preserve"> </w:t>
      </w:r>
    </w:p>
    <w:p w14:paraId="4F7CDE3B" w14:textId="16E1D368" w:rsidR="002273C4" w:rsidRDefault="008442B0" w:rsidP="002273C4">
      <w:pPr>
        <w:pStyle w:val="ListParagraph"/>
        <w:numPr>
          <w:ilvl w:val="0"/>
          <w:numId w:val="6"/>
        </w:numPr>
        <w:rPr>
          <w:rFonts w:ascii="Arial" w:hAnsi="Arial" w:cs="Arial"/>
          <w:iCs/>
        </w:rPr>
      </w:pPr>
      <w:r>
        <w:rPr>
          <w:rFonts w:ascii="Arial" w:hAnsi="Arial" w:cs="Arial"/>
          <w:iCs/>
        </w:rPr>
        <w:t>Demonstrate a</w:t>
      </w:r>
      <w:r w:rsidR="007F4B06">
        <w:rPr>
          <w:rFonts w:ascii="Arial" w:hAnsi="Arial" w:cs="Arial"/>
          <w:iCs/>
        </w:rPr>
        <w:t xml:space="preserve"> basic u</w:t>
      </w:r>
      <w:r w:rsidR="001D234C">
        <w:rPr>
          <w:rFonts w:ascii="Arial" w:hAnsi="Arial" w:cs="Arial"/>
          <w:iCs/>
        </w:rPr>
        <w:t>nderstand</w:t>
      </w:r>
      <w:r w:rsidR="00473B92">
        <w:rPr>
          <w:rFonts w:ascii="Arial" w:hAnsi="Arial" w:cs="Arial"/>
          <w:iCs/>
        </w:rPr>
        <w:t xml:space="preserve">ing of </w:t>
      </w:r>
      <w:r w:rsidR="000F62A6">
        <w:rPr>
          <w:rFonts w:ascii="Arial" w:hAnsi="Arial" w:cs="Arial"/>
          <w:iCs/>
        </w:rPr>
        <w:t>estimating costs as</w:t>
      </w:r>
      <w:r w:rsidR="007F4B06">
        <w:rPr>
          <w:rFonts w:ascii="Arial" w:hAnsi="Arial" w:cs="Arial"/>
          <w:iCs/>
        </w:rPr>
        <w:t xml:space="preserve"> applied to</w:t>
      </w:r>
      <w:r w:rsidR="00E6746E">
        <w:rPr>
          <w:rFonts w:ascii="Arial" w:hAnsi="Arial" w:cs="Arial"/>
          <w:iCs/>
        </w:rPr>
        <w:t xml:space="preserve"> </w:t>
      </w:r>
      <w:r w:rsidR="001D234C">
        <w:rPr>
          <w:rFonts w:ascii="Arial" w:hAnsi="Arial" w:cs="Arial"/>
          <w:iCs/>
        </w:rPr>
        <w:t xml:space="preserve">construction project viability </w:t>
      </w:r>
      <w:r w:rsidR="007F4B06">
        <w:rPr>
          <w:rFonts w:ascii="Arial" w:hAnsi="Arial" w:cs="Arial"/>
          <w:iCs/>
        </w:rPr>
        <w:t>including</w:t>
      </w:r>
      <w:r w:rsidR="000F62A6">
        <w:rPr>
          <w:rFonts w:ascii="Arial" w:hAnsi="Arial" w:cs="Arial"/>
          <w:iCs/>
        </w:rPr>
        <w:t>,</w:t>
      </w:r>
      <w:r w:rsidR="007F4B06">
        <w:rPr>
          <w:rFonts w:ascii="Arial" w:hAnsi="Arial" w:cs="Arial"/>
          <w:iCs/>
        </w:rPr>
        <w:t xml:space="preserve"> </w:t>
      </w:r>
      <w:r w:rsidR="00F33E2E">
        <w:rPr>
          <w:rFonts w:ascii="Arial" w:hAnsi="Arial" w:cs="Arial"/>
          <w:iCs/>
        </w:rPr>
        <w:t xml:space="preserve">benchmarking, </w:t>
      </w:r>
      <w:r w:rsidR="001E0B5A">
        <w:rPr>
          <w:rFonts w:ascii="Arial" w:hAnsi="Arial" w:cs="Arial"/>
          <w:iCs/>
        </w:rPr>
        <w:t>pre-construction surveys,</w:t>
      </w:r>
      <w:r w:rsidR="007F4B06">
        <w:rPr>
          <w:rFonts w:ascii="Arial" w:hAnsi="Arial" w:cs="Arial"/>
          <w:iCs/>
        </w:rPr>
        <w:t xml:space="preserve"> reports </w:t>
      </w:r>
      <w:r w:rsidR="001E0B5A">
        <w:rPr>
          <w:rFonts w:ascii="Arial" w:hAnsi="Arial" w:cs="Arial"/>
          <w:iCs/>
        </w:rPr>
        <w:t>and planning contexts</w:t>
      </w:r>
      <w:r>
        <w:rPr>
          <w:rFonts w:ascii="Arial" w:hAnsi="Arial" w:cs="Arial"/>
          <w:iCs/>
        </w:rPr>
        <w:t>.</w:t>
      </w:r>
      <w:r w:rsidR="008F721B" w:rsidRPr="008F721B">
        <w:rPr>
          <w:rFonts w:ascii="Arial" w:hAnsi="Arial" w:cs="Arial"/>
          <w:iCs/>
        </w:rPr>
        <w:t xml:space="preserve"> </w:t>
      </w:r>
    </w:p>
    <w:p w14:paraId="7A33B60C" w14:textId="2400DDAC" w:rsidR="008F721B" w:rsidRPr="002273C4" w:rsidRDefault="008442B0" w:rsidP="002273C4">
      <w:pPr>
        <w:pStyle w:val="ListParagraph"/>
        <w:numPr>
          <w:ilvl w:val="0"/>
          <w:numId w:val="6"/>
        </w:numPr>
        <w:rPr>
          <w:rFonts w:ascii="Arial" w:hAnsi="Arial" w:cs="Arial"/>
          <w:iCs/>
        </w:rPr>
      </w:pPr>
      <w:r>
        <w:rPr>
          <w:rFonts w:ascii="Arial" w:hAnsi="Arial" w:cs="Arial"/>
          <w:iCs/>
        </w:rPr>
        <w:t>Demonstrate an</w:t>
      </w:r>
      <w:r w:rsidR="002273C4" w:rsidRPr="00411D80">
        <w:rPr>
          <w:rFonts w:ascii="Arial" w:hAnsi="Arial" w:cs="Arial"/>
          <w:iCs/>
        </w:rPr>
        <w:t xml:space="preserve"> understand</w:t>
      </w:r>
      <w:r w:rsidR="002273C4">
        <w:rPr>
          <w:rFonts w:ascii="Arial" w:hAnsi="Arial" w:cs="Arial"/>
          <w:iCs/>
        </w:rPr>
        <w:t>ing</w:t>
      </w:r>
      <w:r w:rsidR="002273C4" w:rsidRPr="00411D80">
        <w:rPr>
          <w:rFonts w:ascii="Arial" w:hAnsi="Arial" w:cs="Arial"/>
          <w:iCs/>
        </w:rPr>
        <w:t xml:space="preserve"> </w:t>
      </w:r>
      <w:r w:rsidR="002273C4">
        <w:rPr>
          <w:rFonts w:ascii="Arial" w:hAnsi="Arial" w:cs="Arial"/>
          <w:iCs/>
        </w:rPr>
        <w:t xml:space="preserve">of </w:t>
      </w:r>
      <w:r w:rsidR="002273C4" w:rsidRPr="00411D80">
        <w:rPr>
          <w:rFonts w:ascii="Arial" w:hAnsi="Arial" w:cs="Arial"/>
          <w:iCs/>
        </w:rPr>
        <w:t xml:space="preserve">how </w:t>
      </w:r>
      <w:r w:rsidR="002273C4">
        <w:rPr>
          <w:rFonts w:ascii="Arial" w:hAnsi="Arial" w:cs="Arial"/>
          <w:iCs/>
        </w:rPr>
        <w:t xml:space="preserve">cost estimating informs the design process, including, the specification </w:t>
      </w:r>
      <w:r w:rsidR="002273C4" w:rsidRPr="00411D80">
        <w:rPr>
          <w:rFonts w:ascii="Arial" w:hAnsi="Arial" w:cs="Arial"/>
          <w:iCs/>
        </w:rPr>
        <w:t>of materials</w:t>
      </w:r>
      <w:r w:rsidR="002273C4">
        <w:rPr>
          <w:rFonts w:ascii="Arial" w:hAnsi="Arial" w:cs="Arial"/>
          <w:iCs/>
        </w:rPr>
        <w:t>, structures, services and delivery logistics</w:t>
      </w:r>
    </w:p>
    <w:p w14:paraId="2AF8221A" w14:textId="648A5DD5" w:rsidR="002273C4" w:rsidRDefault="008442B0" w:rsidP="008F721B">
      <w:pPr>
        <w:pStyle w:val="ListParagraph"/>
        <w:numPr>
          <w:ilvl w:val="0"/>
          <w:numId w:val="6"/>
        </w:numPr>
        <w:rPr>
          <w:rFonts w:ascii="Arial" w:hAnsi="Arial" w:cs="Arial"/>
          <w:iCs/>
        </w:rPr>
      </w:pPr>
      <w:r>
        <w:rPr>
          <w:rFonts w:ascii="Arial" w:hAnsi="Arial" w:cs="Arial"/>
          <w:iCs/>
        </w:rPr>
        <w:t>Demonstrate a</w:t>
      </w:r>
      <w:r w:rsidR="00886B09">
        <w:rPr>
          <w:rFonts w:ascii="Arial" w:hAnsi="Arial" w:cs="Arial"/>
          <w:iCs/>
        </w:rPr>
        <w:t xml:space="preserve">wareness and introductory application of </w:t>
      </w:r>
      <w:r w:rsidR="008F721B" w:rsidRPr="00374BC6">
        <w:rPr>
          <w:rFonts w:ascii="Arial" w:hAnsi="Arial" w:cs="Arial"/>
          <w:iCs/>
        </w:rPr>
        <w:t xml:space="preserve">cost estimation </w:t>
      </w:r>
      <w:r w:rsidR="008F721B">
        <w:rPr>
          <w:rFonts w:ascii="Arial" w:hAnsi="Arial" w:cs="Arial"/>
          <w:iCs/>
        </w:rPr>
        <w:t xml:space="preserve">rules, </w:t>
      </w:r>
      <w:r>
        <w:rPr>
          <w:rFonts w:ascii="Arial" w:hAnsi="Arial" w:cs="Arial"/>
          <w:iCs/>
        </w:rPr>
        <w:t>Royal Institute of Chartered Surveyors (</w:t>
      </w:r>
      <w:r w:rsidR="008F721B">
        <w:rPr>
          <w:rFonts w:ascii="Arial" w:hAnsi="Arial" w:cs="Arial"/>
          <w:iCs/>
        </w:rPr>
        <w:t>RICS</w:t>
      </w:r>
      <w:r>
        <w:rPr>
          <w:rFonts w:ascii="Arial" w:hAnsi="Arial" w:cs="Arial"/>
          <w:iCs/>
        </w:rPr>
        <w:t>) New Rules for Measurement</w:t>
      </w:r>
      <w:r w:rsidR="008F721B">
        <w:rPr>
          <w:rFonts w:ascii="Arial" w:hAnsi="Arial" w:cs="Arial"/>
          <w:iCs/>
        </w:rPr>
        <w:t xml:space="preserve"> </w:t>
      </w:r>
      <w:r>
        <w:rPr>
          <w:rFonts w:ascii="Arial" w:hAnsi="Arial" w:cs="Arial"/>
          <w:iCs/>
        </w:rPr>
        <w:t>(NRM1)</w:t>
      </w:r>
      <w:r w:rsidR="008F721B">
        <w:rPr>
          <w:rFonts w:ascii="Arial" w:hAnsi="Arial" w:cs="Arial"/>
          <w:iCs/>
        </w:rPr>
        <w:t xml:space="preserve"> to </w:t>
      </w:r>
      <w:r w:rsidR="00886B09">
        <w:rPr>
          <w:rFonts w:ascii="Arial" w:hAnsi="Arial" w:cs="Arial"/>
          <w:iCs/>
        </w:rPr>
        <w:t xml:space="preserve">including estimating </w:t>
      </w:r>
      <w:r w:rsidR="008F721B">
        <w:rPr>
          <w:rFonts w:ascii="Arial" w:hAnsi="Arial" w:cs="Arial"/>
          <w:iCs/>
        </w:rPr>
        <w:t>preliminaries and other undefined costs and risks</w:t>
      </w:r>
      <w:r>
        <w:rPr>
          <w:rFonts w:ascii="Arial" w:hAnsi="Arial" w:cs="Arial"/>
          <w:iCs/>
        </w:rPr>
        <w:t>.</w:t>
      </w:r>
    </w:p>
    <w:p w14:paraId="06DEDAF3" w14:textId="77777777" w:rsidR="008F721B" w:rsidRDefault="008F721B" w:rsidP="008F721B">
      <w:pPr>
        <w:pStyle w:val="ListParagraph"/>
        <w:ind w:left="1080"/>
        <w:rPr>
          <w:rFonts w:ascii="Arial" w:hAnsi="Arial" w:cs="Arial"/>
          <w:iCs/>
        </w:rPr>
      </w:pPr>
    </w:p>
    <w:p w14:paraId="3B79BADE" w14:textId="3462A92E" w:rsidR="00C729D7" w:rsidRDefault="009A2D37" w:rsidP="001B7652">
      <w:pPr>
        <w:pStyle w:val="ListParagraph"/>
        <w:numPr>
          <w:ilvl w:val="0"/>
          <w:numId w:val="1"/>
        </w:numPr>
        <w:spacing w:after="120" w:line="240" w:lineRule="auto"/>
        <w:ind w:left="567" w:right="260" w:hanging="567"/>
        <w:rPr>
          <w:rFonts w:ascii="Arial" w:hAnsi="Arial" w:cs="Arial"/>
          <w:b/>
        </w:rPr>
      </w:pPr>
      <w:r w:rsidRPr="00E6746E">
        <w:rPr>
          <w:rFonts w:ascii="Arial" w:hAnsi="Arial" w:cs="Arial"/>
          <w:b/>
        </w:rPr>
        <w:t>The intended generic learning outcomes</w:t>
      </w:r>
      <w:r w:rsidR="00C729D7" w:rsidRPr="00E6746E">
        <w:rPr>
          <w:rFonts w:ascii="Arial" w:hAnsi="Arial" w:cs="Arial"/>
          <w:b/>
        </w:rPr>
        <w:t>.</w:t>
      </w:r>
      <w:r w:rsidR="00C729D7" w:rsidRPr="00E6746E">
        <w:rPr>
          <w:rFonts w:ascii="Arial" w:hAnsi="Arial" w:cs="Arial"/>
          <w:b/>
        </w:rPr>
        <w:br/>
      </w:r>
      <w:r w:rsidR="00C729D7" w:rsidRPr="008442B0">
        <w:rPr>
          <w:rFonts w:ascii="Arial" w:hAnsi="Arial" w:cs="Arial"/>
        </w:rPr>
        <w:t>On successfully completing the module students will be able to:</w:t>
      </w:r>
    </w:p>
    <w:p w14:paraId="480121AD" w14:textId="77777777" w:rsidR="00F33E2E" w:rsidRPr="00E6746E" w:rsidRDefault="00F33E2E" w:rsidP="00F33E2E">
      <w:pPr>
        <w:pStyle w:val="ListParagraph"/>
        <w:spacing w:after="120" w:line="240" w:lineRule="auto"/>
        <w:ind w:left="567" w:right="260"/>
        <w:rPr>
          <w:rFonts w:ascii="Arial" w:hAnsi="Arial" w:cs="Arial"/>
          <w:b/>
        </w:rPr>
      </w:pPr>
    </w:p>
    <w:p w14:paraId="5A810508" w14:textId="2B3E9D0E" w:rsidR="00740DCF" w:rsidRDefault="00692A1C" w:rsidP="000901CF">
      <w:pPr>
        <w:pStyle w:val="ListParagraph"/>
        <w:numPr>
          <w:ilvl w:val="0"/>
          <w:numId w:val="7"/>
        </w:numPr>
        <w:spacing w:after="120" w:line="240" w:lineRule="auto"/>
        <w:ind w:left="1134" w:right="260" w:hanging="425"/>
        <w:rPr>
          <w:rFonts w:ascii="Arial" w:hAnsi="Arial" w:cs="Arial"/>
        </w:rPr>
      </w:pPr>
      <w:r>
        <w:rPr>
          <w:rFonts w:ascii="Arial" w:hAnsi="Arial" w:cs="Arial"/>
        </w:rPr>
        <w:t>Synthesise data and information from a range of sources</w:t>
      </w:r>
      <w:r w:rsidR="008442B0">
        <w:rPr>
          <w:rFonts w:ascii="Arial" w:hAnsi="Arial" w:cs="Arial"/>
        </w:rPr>
        <w:t>.</w:t>
      </w:r>
    </w:p>
    <w:p w14:paraId="2BD3A13D" w14:textId="5D0585A0" w:rsidR="00B773D1" w:rsidRDefault="00692A1C" w:rsidP="00B773D1">
      <w:pPr>
        <w:pStyle w:val="ListParagraph"/>
        <w:numPr>
          <w:ilvl w:val="0"/>
          <w:numId w:val="7"/>
        </w:numPr>
        <w:spacing w:after="120" w:line="240" w:lineRule="auto"/>
        <w:ind w:left="1134" w:right="260" w:hanging="425"/>
        <w:rPr>
          <w:rFonts w:ascii="Arial" w:hAnsi="Arial" w:cs="Arial"/>
        </w:rPr>
      </w:pPr>
      <w:r>
        <w:rPr>
          <w:rFonts w:ascii="Arial" w:hAnsi="Arial" w:cs="Arial"/>
        </w:rPr>
        <w:t xml:space="preserve">Apply principles of </w:t>
      </w:r>
      <w:r w:rsidR="00374BC6">
        <w:rPr>
          <w:rFonts w:ascii="Arial" w:hAnsi="Arial" w:cs="Arial"/>
        </w:rPr>
        <w:t>numeracy and calculation</w:t>
      </w:r>
      <w:r w:rsidR="008442B0">
        <w:rPr>
          <w:rFonts w:ascii="Arial" w:hAnsi="Arial" w:cs="Arial"/>
        </w:rPr>
        <w:t>.</w:t>
      </w:r>
      <w:r w:rsidR="00374BC6">
        <w:rPr>
          <w:rFonts w:ascii="Arial" w:hAnsi="Arial" w:cs="Arial"/>
        </w:rPr>
        <w:t xml:space="preserve"> </w:t>
      </w:r>
    </w:p>
    <w:p w14:paraId="316CFBFF" w14:textId="37E43E24" w:rsidR="00692A1C" w:rsidRPr="00B773D1" w:rsidRDefault="00B773D1" w:rsidP="00B773D1">
      <w:pPr>
        <w:pStyle w:val="ListParagraph"/>
        <w:numPr>
          <w:ilvl w:val="0"/>
          <w:numId w:val="7"/>
        </w:numPr>
        <w:spacing w:after="120" w:line="240" w:lineRule="auto"/>
        <w:ind w:left="1134" w:right="260" w:hanging="425"/>
        <w:rPr>
          <w:rFonts w:ascii="Arial" w:hAnsi="Arial" w:cs="Arial"/>
        </w:rPr>
      </w:pPr>
      <w:r w:rsidRPr="00B773D1">
        <w:rPr>
          <w:rFonts w:ascii="Arial" w:hAnsi="Arial" w:cs="Arial"/>
        </w:rPr>
        <w:t>Apply analytical skills</w:t>
      </w:r>
      <w:r w:rsidR="008442B0">
        <w:rPr>
          <w:rFonts w:ascii="Arial" w:hAnsi="Arial" w:cs="Arial"/>
        </w:rPr>
        <w:t>.</w:t>
      </w:r>
    </w:p>
    <w:p w14:paraId="0C1C88ED" w14:textId="4A30BDF3" w:rsidR="00692A1C" w:rsidRPr="007D1E13" w:rsidRDefault="001E0B5A" w:rsidP="000901CF">
      <w:pPr>
        <w:pStyle w:val="ListParagraph"/>
        <w:numPr>
          <w:ilvl w:val="0"/>
          <w:numId w:val="7"/>
        </w:numPr>
        <w:spacing w:after="120" w:line="240" w:lineRule="auto"/>
        <w:ind w:left="1134" w:right="260" w:hanging="425"/>
        <w:rPr>
          <w:rFonts w:ascii="Arial" w:hAnsi="Arial" w:cs="Arial"/>
          <w:iCs/>
        </w:rPr>
      </w:pPr>
      <w:r>
        <w:rPr>
          <w:rFonts w:ascii="Arial" w:hAnsi="Arial" w:cs="Arial"/>
        </w:rPr>
        <w:t xml:space="preserve">Use </w:t>
      </w:r>
      <w:r w:rsidR="00374BC6">
        <w:rPr>
          <w:rFonts w:ascii="Arial" w:hAnsi="Arial" w:cs="Arial"/>
        </w:rPr>
        <w:t>comparative analysis</w:t>
      </w:r>
      <w:r>
        <w:rPr>
          <w:rFonts w:ascii="Arial" w:hAnsi="Arial" w:cs="Arial"/>
        </w:rPr>
        <w:t xml:space="preserve"> to draw conclusions</w:t>
      </w:r>
      <w:r w:rsidR="008442B0">
        <w:rPr>
          <w:rFonts w:ascii="Arial" w:hAnsi="Arial" w:cs="Arial"/>
        </w:rPr>
        <w:t>.</w:t>
      </w:r>
    </w:p>
    <w:p w14:paraId="6070EB6C" w14:textId="77777777" w:rsidR="007D1E13" w:rsidRPr="00740DCF" w:rsidRDefault="007D1E13" w:rsidP="007D1E13">
      <w:pPr>
        <w:pStyle w:val="ListParagraph"/>
        <w:spacing w:after="120" w:line="240" w:lineRule="auto"/>
        <w:ind w:left="1134" w:right="260"/>
        <w:rPr>
          <w:rFonts w:ascii="Arial" w:hAnsi="Arial" w:cs="Arial"/>
          <w:iCs/>
        </w:rPr>
      </w:pPr>
    </w:p>
    <w:p w14:paraId="0CBBC96E" w14:textId="77777777" w:rsidR="009A2D37" w:rsidRDefault="009A2D37" w:rsidP="00740DC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57693A" w14:textId="65FF1224" w:rsidR="00692A1C" w:rsidRDefault="00BE4471" w:rsidP="00BE4471">
      <w:pPr>
        <w:pStyle w:val="ListParagraph"/>
        <w:spacing w:after="120" w:line="240" w:lineRule="auto"/>
        <w:ind w:left="502" w:right="827"/>
        <w:jc w:val="both"/>
        <w:rPr>
          <w:rFonts w:ascii="Arial" w:hAnsi="Arial" w:cs="Arial"/>
          <w:iCs/>
        </w:rPr>
      </w:pPr>
      <w:r w:rsidRPr="00BE4471">
        <w:rPr>
          <w:rFonts w:ascii="Arial" w:hAnsi="Arial" w:cs="Arial"/>
          <w:iCs/>
        </w:rPr>
        <w:t>This module introduces the concepts and methodology of estimating as applied to the feasibility of construction projects and the initial fees that may be incurred, including preliminaries, design fees, reports, surveys, planning implications and other economic factors. Through case studies it examines how estimating has been applied and how other risk factors are accounted for within the initial estimating for construction projects. Throughout the module the RICS NRM1 rules for estimating are used as a professional point of reference, as the wider context of construction budget management is introduced.</w:t>
      </w:r>
    </w:p>
    <w:p w14:paraId="0567EBC3" w14:textId="7DD6C41B" w:rsidR="005F7468" w:rsidRDefault="005F7468" w:rsidP="00BE4471">
      <w:pPr>
        <w:pStyle w:val="ListParagraph"/>
        <w:spacing w:after="120" w:line="240" w:lineRule="auto"/>
        <w:ind w:left="502" w:right="827"/>
        <w:jc w:val="both"/>
        <w:rPr>
          <w:rFonts w:ascii="Arial" w:hAnsi="Arial" w:cs="Arial"/>
          <w:iCs/>
        </w:rPr>
      </w:pPr>
    </w:p>
    <w:p w14:paraId="332E38D2" w14:textId="0C7321F5" w:rsidR="005F7468" w:rsidRDefault="005F7468" w:rsidP="00BE4471">
      <w:pPr>
        <w:pStyle w:val="ListParagraph"/>
        <w:spacing w:after="120" w:line="240" w:lineRule="auto"/>
        <w:ind w:left="502" w:right="827"/>
        <w:jc w:val="both"/>
        <w:rPr>
          <w:rFonts w:ascii="Arial" w:hAnsi="Arial" w:cs="Arial"/>
          <w:iCs/>
        </w:rPr>
      </w:pPr>
    </w:p>
    <w:p w14:paraId="37EA647C" w14:textId="7C269A91" w:rsidR="005F7468" w:rsidRDefault="005F7468" w:rsidP="00BE4471">
      <w:pPr>
        <w:pStyle w:val="ListParagraph"/>
        <w:spacing w:after="120" w:line="240" w:lineRule="auto"/>
        <w:ind w:left="502" w:right="827"/>
        <w:jc w:val="both"/>
        <w:rPr>
          <w:rFonts w:ascii="Arial" w:hAnsi="Arial" w:cs="Arial"/>
          <w:iCs/>
        </w:rPr>
      </w:pPr>
    </w:p>
    <w:p w14:paraId="7004B8DD" w14:textId="6157F625" w:rsidR="005F7468" w:rsidRDefault="005F7468" w:rsidP="00BE4471">
      <w:pPr>
        <w:pStyle w:val="ListParagraph"/>
        <w:spacing w:after="120" w:line="240" w:lineRule="auto"/>
        <w:ind w:left="502" w:right="827"/>
        <w:jc w:val="both"/>
        <w:rPr>
          <w:rFonts w:ascii="Arial" w:hAnsi="Arial" w:cs="Arial"/>
          <w:iCs/>
        </w:rPr>
      </w:pPr>
    </w:p>
    <w:p w14:paraId="068AD4BE" w14:textId="77777777" w:rsidR="005F7468" w:rsidRPr="00740DCF" w:rsidRDefault="005F7468" w:rsidP="00BE4471">
      <w:pPr>
        <w:pStyle w:val="ListParagraph"/>
        <w:spacing w:after="120" w:line="240" w:lineRule="auto"/>
        <w:ind w:left="502" w:right="827"/>
        <w:jc w:val="both"/>
        <w:rPr>
          <w:rFonts w:ascii="Arial" w:hAnsi="Arial" w:cs="Arial"/>
          <w:iCs/>
        </w:rPr>
      </w:pPr>
    </w:p>
    <w:p w14:paraId="1ED5BC91" w14:textId="18A401E5" w:rsidR="009A2D37" w:rsidRDefault="00883204" w:rsidP="005A4AD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8D607A" w14:textId="0BFC5545" w:rsidR="00236D30" w:rsidRPr="005F7468" w:rsidRDefault="00692A1C" w:rsidP="00692A1C">
      <w:pPr>
        <w:spacing w:after="120" w:line="240" w:lineRule="auto"/>
        <w:ind w:left="567" w:right="260"/>
        <w:jc w:val="both"/>
        <w:rPr>
          <w:rFonts w:ascii="Arial" w:hAnsi="Arial" w:cs="Arial"/>
        </w:rPr>
      </w:pPr>
      <w:r w:rsidRPr="005F7468">
        <w:rPr>
          <w:rFonts w:ascii="Arial" w:hAnsi="Arial" w:cs="Arial"/>
        </w:rPr>
        <w:t xml:space="preserve">Wilson R. </w:t>
      </w:r>
      <w:r w:rsidR="00FA3BC7" w:rsidRPr="005F7468">
        <w:rPr>
          <w:rFonts w:ascii="Arial" w:hAnsi="Arial" w:cs="Arial"/>
        </w:rPr>
        <w:t>(</w:t>
      </w:r>
      <w:r w:rsidRPr="005F7468">
        <w:rPr>
          <w:rFonts w:ascii="Arial" w:hAnsi="Arial" w:cs="Arial"/>
        </w:rPr>
        <w:t>2014</w:t>
      </w:r>
      <w:r w:rsidR="00FA3BC7" w:rsidRPr="005F7468">
        <w:rPr>
          <w:rFonts w:ascii="Arial" w:hAnsi="Arial" w:cs="Arial"/>
        </w:rPr>
        <w:t>)</w:t>
      </w:r>
      <w:r w:rsidRPr="005F7468">
        <w:rPr>
          <w:rFonts w:ascii="Arial" w:hAnsi="Arial" w:cs="Arial"/>
        </w:rPr>
        <w:t xml:space="preserve">, </w:t>
      </w:r>
      <w:r w:rsidRPr="005F7468">
        <w:rPr>
          <w:rFonts w:ascii="Arial" w:hAnsi="Arial" w:cs="Arial"/>
          <w:i/>
        </w:rPr>
        <w:t>A Comprehensive Guide to Project Management Schedule and Cost Control: Methods and Models for Managing the Project Lifecycle</w:t>
      </w:r>
      <w:r w:rsidR="00FA3BC7" w:rsidRPr="005F7468">
        <w:rPr>
          <w:rFonts w:ascii="Arial" w:hAnsi="Arial" w:cs="Arial"/>
        </w:rPr>
        <w:t>.</w:t>
      </w:r>
      <w:r w:rsidRPr="005F7468">
        <w:rPr>
          <w:rFonts w:ascii="Arial" w:hAnsi="Arial" w:cs="Arial"/>
        </w:rPr>
        <w:t xml:space="preserve"> London: </w:t>
      </w:r>
      <w:r w:rsidR="007D1E13" w:rsidRPr="005F7468">
        <w:rPr>
          <w:rFonts w:ascii="Arial" w:hAnsi="Arial" w:cs="Arial"/>
        </w:rPr>
        <w:t>Pearson</w:t>
      </w:r>
      <w:r w:rsidRPr="005F7468">
        <w:rPr>
          <w:rFonts w:ascii="Arial" w:hAnsi="Arial" w:cs="Arial"/>
        </w:rPr>
        <w:t xml:space="preserve"> FT Press</w:t>
      </w:r>
    </w:p>
    <w:p w14:paraId="770E9405" w14:textId="0ACF4F04" w:rsidR="00692A1C" w:rsidRPr="005F7468" w:rsidRDefault="00FA3BC7" w:rsidP="00692A1C">
      <w:pPr>
        <w:spacing w:after="120" w:line="240" w:lineRule="auto"/>
        <w:ind w:left="567" w:right="260"/>
        <w:jc w:val="both"/>
        <w:rPr>
          <w:rFonts w:ascii="Arial" w:hAnsi="Arial" w:cs="Arial"/>
        </w:rPr>
      </w:pPr>
      <w:r w:rsidRPr="005F7468">
        <w:rPr>
          <w:rFonts w:ascii="Arial" w:hAnsi="Arial" w:cs="Arial"/>
        </w:rPr>
        <w:t>Pratt D. (2017).</w:t>
      </w:r>
      <w:r w:rsidR="00692A1C" w:rsidRPr="005F7468">
        <w:rPr>
          <w:rFonts w:ascii="Arial" w:hAnsi="Arial" w:cs="Arial"/>
        </w:rPr>
        <w:t xml:space="preserve"> </w:t>
      </w:r>
      <w:r w:rsidR="00692A1C" w:rsidRPr="005F7468">
        <w:rPr>
          <w:rFonts w:ascii="Arial" w:hAnsi="Arial" w:cs="Arial"/>
          <w:i/>
        </w:rPr>
        <w:t>Fundamentals of Construction Estimating</w:t>
      </w:r>
      <w:r w:rsidRPr="005F7468">
        <w:rPr>
          <w:rFonts w:ascii="Arial" w:hAnsi="Arial" w:cs="Arial"/>
        </w:rPr>
        <w:t>.</w:t>
      </w:r>
      <w:r w:rsidR="00692A1C" w:rsidRPr="005F7468">
        <w:rPr>
          <w:rFonts w:ascii="Arial" w:hAnsi="Arial" w:cs="Arial"/>
        </w:rPr>
        <w:t xml:space="preserve"> London: Pearson FT Press</w:t>
      </w:r>
    </w:p>
    <w:p w14:paraId="07725833" w14:textId="0549BC5A" w:rsidR="00692A1C" w:rsidRPr="005F7468" w:rsidRDefault="00692A1C" w:rsidP="00692A1C">
      <w:pPr>
        <w:spacing w:after="120" w:line="240" w:lineRule="auto"/>
        <w:ind w:left="567" w:right="260"/>
        <w:jc w:val="both"/>
        <w:rPr>
          <w:rFonts w:ascii="Arial" w:hAnsi="Arial" w:cs="Arial"/>
        </w:rPr>
      </w:pPr>
      <w:r w:rsidRPr="005F7468">
        <w:rPr>
          <w:rFonts w:ascii="Arial" w:hAnsi="Arial" w:cs="Arial"/>
        </w:rPr>
        <w:t xml:space="preserve">Cartlidge, </w:t>
      </w:r>
      <w:r w:rsidRPr="005F7468">
        <w:rPr>
          <w:rFonts w:ascii="Arial" w:hAnsi="Arial" w:cs="Arial"/>
          <w:i/>
        </w:rPr>
        <w:t>D.</w:t>
      </w:r>
      <w:r w:rsidR="00FA3BC7" w:rsidRPr="005F7468">
        <w:rPr>
          <w:rFonts w:ascii="Arial" w:hAnsi="Arial" w:cs="Arial"/>
          <w:i/>
        </w:rPr>
        <w:t xml:space="preserve"> </w:t>
      </w:r>
      <w:r w:rsidR="00FA3BC7" w:rsidRPr="005F7468">
        <w:rPr>
          <w:rFonts w:ascii="Arial" w:hAnsi="Arial" w:cs="Arial"/>
        </w:rPr>
        <w:t>(2017).</w:t>
      </w:r>
      <w:r w:rsidRPr="005F7468">
        <w:rPr>
          <w:rFonts w:ascii="Arial" w:hAnsi="Arial" w:cs="Arial"/>
          <w:i/>
        </w:rPr>
        <w:t xml:space="preserve"> Quantity Surveyor’s Pocket Book 2017</w:t>
      </w:r>
      <w:r w:rsidR="00FA3BC7" w:rsidRPr="005F7468">
        <w:rPr>
          <w:rFonts w:ascii="Arial" w:hAnsi="Arial" w:cs="Arial"/>
        </w:rPr>
        <w:t>.</w:t>
      </w:r>
      <w:r w:rsidRPr="005F7468">
        <w:rPr>
          <w:rFonts w:ascii="Arial" w:hAnsi="Arial" w:cs="Arial"/>
        </w:rPr>
        <w:t xml:space="preserve"> Abingdon: Routledge</w:t>
      </w:r>
    </w:p>
    <w:p w14:paraId="1F58FA79" w14:textId="615F5301" w:rsidR="00692A1C" w:rsidRPr="005F7468" w:rsidRDefault="00692A1C" w:rsidP="00692A1C">
      <w:pPr>
        <w:spacing w:after="120" w:line="240" w:lineRule="auto"/>
        <w:ind w:left="567" w:right="260"/>
        <w:jc w:val="both"/>
        <w:rPr>
          <w:rFonts w:ascii="Arial" w:hAnsi="Arial" w:cs="Arial"/>
        </w:rPr>
      </w:pPr>
      <w:r w:rsidRPr="005F7468">
        <w:rPr>
          <w:rFonts w:ascii="Arial" w:hAnsi="Arial" w:cs="Arial"/>
        </w:rPr>
        <w:t>B</w:t>
      </w:r>
      <w:r w:rsidR="007D1E13" w:rsidRPr="005F7468">
        <w:rPr>
          <w:rFonts w:ascii="Arial" w:hAnsi="Arial" w:cs="Arial"/>
        </w:rPr>
        <w:t>u</w:t>
      </w:r>
      <w:r w:rsidRPr="005F7468">
        <w:rPr>
          <w:rFonts w:ascii="Arial" w:hAnsi="Arial" w:cs="Arial"/>
        </w:rPr>
        <w:t xml:space="preserve">xton P. </w:t>
      </w:r>
      <w:r w:rsidR="00FA3BC7" w:rsidRPr="005F7468">
        <w:rPr>
          <w:rFonts w:ascii="Arial" w:hAnsi="Arial" w:cs="Arial"/>
        </w:rPr>
        <w:t>(2015).</w:t>
      </w:r>
      <w:r w:rsidRPr="005F7468">
        <w:rPr>
          <w:rFonts w:ascii="Arial" w:hAnsi="Arial" w:cs="Arial"/>
        </w:rPr>
        <w:t xml:space="preserve"> </w:t>
      </w:r>
      <w:r w:rsidRPr="005F7468">
        <w:rPr>
          <w:rFonts w:ascii="Arial" w:hAnsi="Arial" w:cs="Arial"/>
          <w:i/>
        </w:rPr>
        <w:t>Metric Handbook: Planning and Design Dat</w:t>
      </w:r>
      <w:r w:rsidR="00FA3BC7" w:rsidRPr="005F7468">
        <w:rPr>
          <w:rFonts w:ascii="Arial" w:hAnsi="Arial" w:cs="Arial"/>
          <w:i/>
        </w:rPr>
        <w:t>a.</w:t>
      </w:r>
      <w:r w:rsidRPr="005F7468">
        <w:rPr>
          <w:rFonts w:ascii="Arial" w:hAnsi="Arial" w:cs="Arial"/>
        </w:rPr>
        <w:t xml:space="preserve"> Abingdon: </w:t>
      </w:r>
      <w:r w:rsidR="007D1E13" w:rsidRPr="005F7468">
        <w:rPr>
          <w:rFonts w:ascii="Arial" w:hAnsi="Arial" w:cs="Arial"/>
        </w:rPr>
        <w:t>Routledge</w:t>
      </w:r>
    </w:p>
    <w:p w14:paraId="591EF879" w14:textId="44B1D581" w:rsidR="00BD1FA3" w:rsidRPr="005F7468" w:rsidRDefault="00FA3BC7" w:rsidP="00BD1FA3">
      <w:pPr>
        <w:spacing w:after="100" w:afterAutospacing="1"/>
        <w:ind w:firstLine="567"/>
        <w:contextualSpacing/>
        <w:outlineLvl w:val="0"/>
        <w:rPr>
          <w:rFonts w:ascii="Arial" w:eastAsia="Times New Roman" w:hAnsi="Arial" w:cs="Arial"/>
        </w:rPr>
      </w:pPr>
      <w:proofErr w:type="spellStart"/>
      <w:r w:rsidRPr="005F7468">
        <w:rPr>
          <w:rFonts w:ascii="Arial" w:eastAsia="Times New Roman" w:hAnsi="Arial" w:cs="Arial"/>
          <w:bCs/>
          <w:kern w:val="36"/>
        </w:rPr>
        <w:t>Brook</w:t>
      </w:r>
      <w:proofErr w:type="gramStart"/>
      <w:r w:rsidRPr="005F7468">
        <w:rPr>
          <w:rFonts w:ascii="Arial" w:eastAsia="Times New Roman" w:hAnsi="Arial" w:cs="Arial"/>
          <w:bCs/>
          <w:kern w:val="36"/>
        </w:rPr>
        <w:t>,M</w:t>
      </w:r>
      <w:proofErr w:type="spellEnd"/>
      <w:proofErr w:type="gramEnd"/>
      <w:r w:rsidRPr="005F7468">
        <w:rPr>
          <w:rFonts w:ascii="Arial" w:eastAsia="Times New Roman" w:hAnsi="Arial" w:cs="Arial"/>
          <w:bCs/>
          <w:kern w:val="36"/>
        </w:rPr>
        <w:t>. (2016).</w:t>
      </w:r>
      <w:r w:rsidRPr="005F7468">
        <w:rPr>
          <w:rFonts w:ascii="Arial" w:eastAsia="Times New Roman" w:hAnsi="Arial" w:cs="Arial"/>
          <w:bCs/>
          <w:i/>
          <w:kern w:val="36"/>
        </w:rPr>
        <w:t xml:space="preserve"> </w:t>
      </w:r>
      <w:r w:rsidR="00BD1FA3" w:rsidRPr="005F7468">
        <w:rPr>
          <w:rFonts w:ascii="Arial" w:eastAsia="Times New Roman" w:hAnsi="Arial" w:cs="Arial"/>
          <w:bCs/>
          <w:i/>
          <w:kern w:val="36"/>
        </w:rPr>
        <w:t>Estimating and Tendering for Construction Work</w:t>
      </w:r>
      <w:r w:rsidR="00BD1FA3" w:rsidRPr="005F7468">
        <w:rPr>
          <w:rFonts w:ascii="Arial" w:eastAsia="Times New Roman" w:hAnsi="Arial" w:cs="Arial"/>
          <w:bCs/>
          <w:kern w:val="36"/>
        </w:rPr>
        <w:t xml:space="preserve"> </w:t>
      </w:r>
      <w:r w:rsidR="00BD1FA3" w:rsidRPr="005F7468">
        <w:rPr>
          <w:rFonts w:ascii="Arial" w:eastAsia="Times New Roman" w:hAnsi="Arial" w:cs="Arial"/>
        </w:rPr>
        <w:t xml:space="preserve">by </w:t>
      </w:r>
      <w:hyperlink r:id="rId8" w:history="1">
        <w:r w:rsidR="00BD1FA3" w:rsidRPr="005F7468">
          <w:rPr>
            <w:rFonts w:ascii="Arial" w:eastAsia="Times New Roman" w:hAnsi="Arial" w:cs="Arial"/>
          </w:rPr>
          <w:t>Martin Brook</w:t>
        </w:r>
      </w:hyperlink>
      <w:r w:rsidRPr="005F7468">
        <w:rPr>
          <w:rFonts w:ascii="Arial" w:eastAsia="Times New Roman" w:hAnsi="Arial" w:cs="Arial"/>
        </w:rPr>
        <w:t xml:space="preserve"> </w:t>
      </w:r>
    </w:p>
    <w:p w14:paraId="3E56A15B" w14:textId="2004F875" w:rsidR="007D1E13" w:rsidRPr="005F7468" w:rsidRDefault="00BD1FA3" w:rsidP="00FA3BC7">
      <w:pPr>
        <w:spacing w:after="100" w:afterAutospacing="1"/>
        <w:ind w:firstLine="567"/>
        <w:contextualSpacing/>
        <w:outlineLvl w:val="0"/>
        <w:rPr>
          <w:rFonts w:ascii="Arial" w:hAnsi="Arial" w:cs="Arial"/>
        </w:rPr>
      </w:pPr>
      <w:r w:rsidRPr="005F7468">
        <w:rPr>
          <w:rFonts w:ascii="Arial" w:hAnsi="Arial" w:cs="Arial"/>
          <w:bCs/>
        </w:rPr>
        <w:t>Publisher:</w:t>
      </w:r>
      <w:r w:rsidR="00FA3BC7" w:rsidRPr="005F7468">
        <w:rPr>
          <w:rFonts w:ascii="Arial" w:hAnsi="Arial" w:cs="Arial"/>
        </w:rPr>
        <w:t xml:space="preserve"> Routledge</w:t>
      </w:r>
    </w:p>
    <w:p w14:paraId="79BC72FF" w14:textId="77777777" w:rsidR="00FA3BC7" w:rsidRPr="00FA3BC7" w:rsidRDefault="00FA3BC7" w:rsidP="00FA3BC7">
      <w:pPr>
        <w:spacing w:after="100" w:afterAutospacing="1"/>
        <w:ind w:firstLine="567"/>
        <w:contextualSpacing/>
        <w:outlineLvl w:val="0"/>
        <w:rPr>
          <w:rFonts w:cstheme="minorHAnsi"/>
        </w:rPr>
      </w:pPr>
    </w:p>
    <w:p w14:paraId="6885B20E" w14:textId="61D5FD94" w:rsidR="00883204" w:rsidRPr="00FA3BC7" w:rsidRDefault="009A2D37" w:rsidP="006139A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85E8FA" w14:textId="27F4DA26" w:rsidR="00FA3BC7" w:rsidRPr="00A12D1A" w:rsidRDefault="00FA3BC7" w:rsidP="00FA3BC7">
      <w:pPr>
        <w:pStyle w:val="ListParagraph"/>
        <w:spacing w:after="120" w:line="240" w:lineRule="auto"/>
        <w:ind w:left="502" w:right="260"/>
        <w:rPr>
          <w:rFonts w:ascii="Calibri" w:eastAsia="Times New Roman" w:hAnsi="Calibri" w:cs="Calibri"/>
          <w:color w:val="000000"/>
          <w:lang w:eastAsia="en-US"/>
        </w:rPr>
      </w:pPr>
      <w:r w:rsidRPr="00A12D1A">
        <w:rPr>
          <w:rFonts w:ascii="Arial" w:eastAsia="Times New Roman" w:hAnsi="Arial" w:cs="Arial"/>
          <w:color w:val="000000"/>
          <w:lang w:eastAsia="en-US"/>
        </w:rPr>
        <w:t>The total study time for this module is 150 hours incorporating online e-learning, work-based experience and private study.</w:t>
      </w:r>
    </w:p>
    <w:p w14:paraId="7B8D137E" w14:textId="4E50C9E7" w:rsidR="00FA3BC7" w:rsidRPr="00A12D1A" w:rsidRDefault="00FA3BC7" w:rsidP="00FA3BC7">
      <w:pPr>
        <w:pStyle w:val="ListParagraph"/>
        <w:spacing w:after="120" w:line="240" w:lineRule="auto"/>
        <w:ind w:left="502" w:right="260"/>
        <w:rPr>
          <w:rFonts w:ascii="Calibri" w:eastAsia="Times New Roman" w:hAnsi="Calibri" w:cs="Calibri"/>
          <w:color w:val="000000"/>
          <w:lang w:eastAsia="en-US"/>
        </w:rPr>
      </w:pPr>
      <w:r w:rsidRPr="00A12D1A">
        <w:rPr>
          <w:rFonts w:ascii="Arial" w:eastAsia="Times New Roman" w:hAnsi="Arial" w:cs="Arial"/>
          <w:color w:val="000000"/>
          <w:lang w:eastAsia="en-US"/>
        </w:rPr>
        <w:t>Teaching is delivered as a blended learning approach. VLE-delivered E-activities, VLE-delivered work activities serve to reinforce material presented online and also relate directly to the learning objectives. These are specifically based on enabling students to relate their theoretical knowledge to the workplace.</w:t>
      </w:r>
    </w:p>
    <w:p w14:paraId="07316DFC" w14:textId="41929B72" w:rsidR="00FA3BC7" w:rsidRPr="00FA3BC7" w:rsidRDefault="00FA3BC7" w:rsidP="005F7468">
      <w:pPr>
        <w:pStyle w:val="ListParagraph"/>
        <w:spacing w:after="120" w:line="240" w:lineRule="auto"/>
        <w:ind w:left="502" w:right="260"/>
        <w:rPr>
          <w:rFonts w:ascii="Calibri" w:eastAsia="Times New Roman" w:hAnsi="Calibri" w:cs="Calibri"/>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198AAFAF" w14:textId="1682069C" w:rsidR="005F7468" w:rsidRDefault="00FA3BC7" w:rsidP="005F7468">
      <w:pPr>
        <w:pStyle w:val="ListParagraph"/>
        <w:spacing w:after="120" w:line="240" w:lineRule="auto"/>
        <w:ind w:left="502" w:right="260"/>
        <w:rPr>
          <w:rFonts w:ascii="Arial" w:eastAsia="Times New Roman" w:hAnsi="Arial" w:cs="Arial"/>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w:t>
      </w:r>
      <w:r w:rsidR="005F7468">
        <w:rPr>
          <w:rFonts w:ascii="Arial" w:eastAsia="Times New Roman" w:hAnsi="Arial" w:cs="Arial"/>
          <w:color w:val="000000"/>
          <w:lang w:eastAsia="en-US"/>
        </w:rPr>
        <w:t>e widely around specific topics.</w:t>
      </w:r>
    </w:p>
    <w:p w14:paraId="154451BC" w14:textId="77777777" w:rsidR="005F7468" w:rsidRDefault="005F7468" w:rsidP="005F7468">
      <w:pPr>
        <w:pStyle w:val="ListParagraph"/>
        <w:spacing w:after="120" w:line="240" w:lineRule="auto"/>
        <w:ind w:left="502" w:right="260"/>
        <w:rPr>
          <w:rFonts w:ascii="Arial" w:eastAsia="Times New Roman" w:hAnsi="Arial" w:cs="Arial"/>
          <w:color w:val="000000"/>
          <w:lang w:eastAsia="en-US"/>
        </w:rPr>
      </w:pPr>
    </w:p>
    <w:p w14:paraId="55518292" w14:textId="23D2E74F" w:rsidR="00DA7AA8" w:rsidRPr="005627AF" w:rsidRDefault="005F7468" w:rsidP="00DA7AA8">
      <w:pPr>
        <w:pStyle w:val="ListParagraph"/>
        <w:numPr>
          <w:ilvl w:val="0"/>
          <w:numId w:val="1"/>
        </w:numPr>
        <w:spacing w:after="120" w:line="240" w:lineRule="auto"/>
        <w:ind w:right="260"/>
        <w:rPr>
          <w:rFonts w:ascii="Arial" w:eastAsia="Times New Roman" w:hAnsi="Arial" w:cs="Arial"/>
          <w:color w:val="000000"/>
          <w:lang w:eastAsia="en-US"/>
        </w:rPr>
      </w:pPr>
      <w:r>
        <w:rPr>
          <w:rFonts w:ascii="Arial" w:hAnsi="Arial" w:cs="Arial"/>
          <w:b/>
        </w:rPr>
        <w:t xml:space="preserve"> </w:t>
      </w:r>
      <w:r w:rsidR="00EF4933" w:rsidRPr="00302082">
        <w:rPr>
          <w:rFonts w:ascii="Arial" w:hAnsi="Arial" w:cs="Arial"/>
          <w:b/>
        </w:rPr>
        <w:t>Assessment methods</w:t>
      </w:r>
    </w:p>
    <w:p w14:paraId="6D0079F8" w14:textId="77777777" w:rsidR="005627AF" w:rsidRPr="00DA7AA8" w:rsidRDefault="005627AF" w:rsidP="005627AF">
      <w:pPr>
        <w:pStyle w:val="ListParagraph"/>
        <w:spacing w:after="120" w:line="240" w:lineRule="auto"/>
        <w:ind w:left="360" w:right="260"/>
        <w:rPr>
          <w:rFonts w:ascii="Arial" w:eastAsia="Times New Roman" w:hAnsi="Arial" w:cs="Arial"/>
          <w:color w:val="000000"/>
          <w:lang w:eastAsia="en-US"/>
        </w:rPr>
      </w:pPr>
    </w:p>
    <w:p w14:paraId="47AE2219" w14:textId="799D42DD" w:rsidR="008442B0" w:rsidRPr="00DE1E97" w:rsidRDefault="008442B0" w:rsidP="00DE1E97">
      <w:pPr>
        <w:pStyle w:val="ListParagraph"/>
        <w:numPr>
          <w:ilvl w:val="1"/>
          <w:numId w:val="13"/>
        </w:numPr>
        <w:spacing w:after="120" w:line="240" w:lineRule="auto"/>
        <w:ind w:right="260"/>
        <w:rPr>
          <w:rFonts w:ascii="Arial" w:hAnsi="Arial" w:cs="Arial"/>
          <w:iCs/>
        </w:rPr>
      </w:pPr>
      <w:r w:rsidRPr="00DE1E97">
        <w:rPr>
          <w:rFonts w:ascii="Arial" w:hAnsi="Arial" w:cs="Arial"/>
          <w:iCs/>
        </w:rPr>
        <w:t>Main assessment methods:</w:t>
      </w:r>
      <w:r w:rsidR="0061707D" w:rsidRPr="00DE1E97">
        <w:rPr>
          <w:rFonts w:ascii="Arial" w:hAnsi="Arial" w:cs="Arial"/>
          <w:iCs/>
        </w:rPr>
        <w:t xml:space="preserve"> </w:t>
      </w:r>
    </w:p>
    <w:p w14:paraId="6E4150B7" w14:textId="721D1D6D" w:rsidR="00DA7AA8" w:rsidRDefault="00DE1E97" w:rsidP="008442B0">
      <w:pPr>
        <w:pStyle w:val="ListParagraph"/>
        <w:spacing w:after="120" w:line="240" w:lineRule="auto"/>
        <w:ind w:left="360" w:right="260" w:firstLine="360"/>
        <w:rPr>
          <w:rFonts w:ascii="Arial" w:hAnsi="Arial" w:cs="Arial"/>
          <w:iCs/>
        </w:rPr>
      </w:pPr>
      <w:r>
        <w:rPr>
          <w:rFonts w:ascii="Arial" w:hAnsi="Arial" w:cs="Arial"/>
          <w:iCs/>
        </w:rPr>
        <w:t xml:space="preserve">            </w:t>
      </w:r>
      <w:r w:rsidR="00D236DC" w:rsidRPr="00DA7AA8">
        <w:rPr>
          <w:rFonts w:ascii="Arial" w:hAnsi="Arial" w:cs="Arial"/>
          <w:iCs/>
        </w:rPr>
        <w:t>Written assignment</w:t>
      </w:r>
      <w:r w:rsidR="004C0F05" w:rsidRPr="00DA7AA8">
        <w:rPr>
          <w:rFonts w:ascii="Arial" w:hAnsi="Arial" w:cs="Arial"/>
          <w:iCs/>
        </w:rPr>
        <w:tab/>
        <w:t>70%</w:t>
      </w:r>
      <w:r w:rsidR="008442B0">
        <w:rPr>
          <w:rFonts w:ascii="Arial" w:hAnsi="Arial" w:cs="Arial"/>
          <w:iCs/>
        </w:rPr>
        <w:t xml:space="preserve"> - 1,500 words</w:t>
      </w:r>
    </w:p>
    <w:p w14:paraId="06B707D9" w14:textId="6E806A9A" w:rsidR="0061707D" w:rsidRDefault="0061707D" w:rsidP="0061707D">
      <w:pPr>
        <w:pStyle w:val="ListParagraph"/>
        <w:spacing w:after="120" w:line="240" w:lineRule="auto"/>
        <w:ind w:left="360" w:right="260"/>
        <w:rPr>
          <w:rFonts w:ascii="Arial" w:hAnsi="Arial" w:cs="Arial"/>
          <w:iCs/>
        </w:rPr>
      </w:pPr>
      <w:r>
        <w:rPr>
          <w:rFonts w:ascii="Arial" w:hAnsi="Arial" w:cs="Arial"/>
          <w:iCs/>
        </w:rPr>
        <w:t xml:space="preserve"> </w:t>
      </w:r>
      <w:r w:rsidR="008442B0">
        <w:rPr>
          <w:rFonts w:ascii="Arial" w:hAnsi="Arial" w:cs="Arial"/>
          <w:iCs/>
        </w:rPr>
        <w:tab/>
      </w:r>
      <w:r w:rsidR="00DE1E97">
        <w:rPr>
          <w:rFonts w:ascii="Arial" w:hAnsi="Arial" w:cs="Arial"/>
          <w:iCs/>
        </w:rPr>
        <w:t xml:space="preserve">            </w:t>
      </w:r>
      <w:r w:rsidR="00256CE3">
        <w:rPr>
          <w:rFonts w:ascii="Arial" w:hAnsi="Arial" w:cs="Arial"/>
          <w:iCs/>
        </w:rPr>
        <w:t>Written Report</w:t>
      </w:r>
      <w:r w:rsidR="00256CE3">
        <w:rPr>
          <w:rFonts w:ascii="Arial" w:hAnsi="Arial" w:cs="Arial"/>
          <w:iCs/>
        </w:rPr>
        <w:tab/>
      </w:r>
      <w:r w:rsidR="00256CE3">
        <w:rPr>
          <w:rFonts w:ascii="Arial" w:hAnsi="Arial" w:cs="Arial"/>
          <w:iCs/>
        </w:rPr>
        <w:tab/>
      </w:r>
      <w:r w:rsidR="004C0F05">
        <w:rPr>
          <w:rFonts w:ascii="Arial" w:hAnsi="Arial" w:cs="Arial"/>
          <w:iCs/>
        </w:rPr>
        <w:t>30%</w:t>
      </w:r>
      <w:r w:rsidR="008442B0">
        <w:rPr>
          <w:rFonts w:ascii="Arial" w:hAnsi="Arial" w:cs="Arial"/>
          <w:iCs/>
        </w:rPr>
        <w:t xml:space="preserve"> - 1,000 words</w:t>
      </w:r>
    </w:p>
    <w:p w14:paraId="4CA7D036" w14:textId="77777777" w:rsidR="005627AF" w:rsidRDefault="005627AF" w:rsidP="0061707D">
      <w:pPr>
        <w:pStyle w:val="ListParagraph"/>
        <w:spacing w:after="120" w:line="240" w:lineRule="auto"/>
        <w:ind w:left="360" w:right="260"/>
        <w:rPr>
          <w:rFonts w:ascii="Arial" w:hAnsi="Arial" w:cs="Arial"/>
          <w:iCs/>
        </w:rPr>
      </w:pPr>
    </w:p>
    <w:p w14:paraId="4905D22D" w14:textId="4D35932C" w:rsidR="00DA7AA8" w:rsidRPr="00DE1E97" w:rsidRDefault="00696FF5" w:rsidP="00DE1E97">
      <w:pPr>
        <w:pStyle w:val="ListParagraph"/>
        <w:numPr>
          <w:ilvl w:val="1"/>
          <w:numId w:val="13"/>
        </w:numPr>
        <w:spacing w:after="120" w:line="240" w:lineRule="auto"/>
        <w:ind w:right="260"/>
        <w:rPr>
          <w:rFonts w:ascii="Arial" w:hAnsi="Arial" w:cs="Arial"/>
          <w:iCs/>
        </w:rPr>
      </w:pPr>
      <w:r w:rsidRPr="00DE1E97">
        <w:rPr>
          <w:rFonts w:ascii="Arial" w:hAnsi="Arial" w:cs="Arial"/>
          <w:iCs/>
        </w:rPr>
        <w:t>R</w:t>
      </w:r>
      <w:r w:rsidR="00DA7AA8" w:rsidRPr="00DE1E97">
        <w:rPr>
          <w:rFonts w:ascii="Arial" w:hAnsi="Arial" w:cs="Arial"/>
          <w:iCs/>
        </w:rPr>
        <w:t>eassessment methods</w:t>
      </w:r>
    </w:p>
    <w:p w14:paraId="27BF32B4" w14:textId="2303996A" w:rsidR="00696FF5" w:rsidRPr="00DA7AA8" w:rsidRDefault="005F7468" w:rsidP="00DA7AA8">
      <w:pPr>
        <w:pStyle w:val="ListParagraph"/>
        <w:spacing w:after="120" w:line="240" w:lineRule="auto"/>
        <w:ind w:right="260"/>
        <w:rPr>
          <w:rFonts w:ascii="Arial" w:hAnsi="Arial" w:cs="Arial"/>
          <w:iCs/>
        </w:rPr>
      </w:pPr>
      <w:r w:rsidRPr="00DA7AA8">
        <w:rPr>
          <w:rFonts w:ascii="Arial" w:hAnsi="Arial" w:cs="Arial"/>
          <w:iCs/>
        </w:rPr>
        <w:t xml:space="preserve"> </w:t>
      </w:r>
      <w:r w:rsidR="00DE1E97">
        <w:rPr>
          <w:rFonts w:ascii="Arial" w:hAnsi="Arial" w:cs="Arial"/>
          <w:iCs/>
        </w:rPr>
        <w:t xml:space="preserve">          </w:t>
      </w:r>
      <w:r w:rsidR="00951173" w:rsidRPr="00DA7AA8">
        <w:rPr>
          <w:rFonts w:ascii="Arial" w:hAnsi="Arial" w:cs="Arial"/>
          <w:iCs/>
        </w:rPr>
        <w:t>Like for like</w:t>
      </w:r>
    </w:p>
    <w:p w14:paraId="3117011F" w14:textId="7C8BD720" w:rsidR="005F7468" w:rsidRDefault="005F7468" w:rsidP="008F721B">
      <w:pPr>
        <w:spacing w:after="120" w:line="240" w:lineRule="auto"/>
        <w:ind w:left="709" w:right="260"/>
        <w:jc w:val="both"/>
        <w:rPr>
          <w:rFonts w:ascii="Arial" w:hAnsi="Arial" w:cs="Arial"/>
          <w:iCs/>
        </w:rPr>
      </w:pPr>
    </w:p>
    <w:p w14:paraId="1BC8D97E" w14:textId="0AEE2198" w:rsidR="005F7468" w:rsidRDefault="005F7468" w:rsidP="008F721B">
      <w:pPr>
        <w:spacing w:after="120" w:line="240" w:lineRule="auto"/>
        <w:ind w:left="709" w:right="260"/>
        <w:jc w:val="both"/>
        <w:rPr>
          <w:rFonts w:ascii="Arial" w:hAnsi="Arial" w:cs="Arial"/>
          <w:iCs/>
        </w:rPr>
      </w:pPr>
    </w:p>
    <w:p w14:paraId="6C8B76CB" w14:textId="02B1D0F9" w:rsidR="005F7468" w:rsidRDefault="005F7468" w:rsidP="008F721B">
      <w:pPr>
        <w:spacing w:after="120" w:line="240" w:lineRule="auto"/>
        <w:ind w:left="709" w:right="260"/>
        <w:jc w:val="both"/>
        <w:rPr>
          <w:rFonts w:ascii="Arial" w:hAnsi="Arial" w:cs="Arial"/>
          <w:iCs/>
        </w:rPr>
      </w:pPr>
    </w:p>
    <w:p w14:paraId="7AAA8638" w14:textId="3349F6B8" w:rsidR="005F7468" w:rsidRDefault="005F7468" w:rsidP="008F721B">
      <w:pPr>
        <w:spacing w:after="120" w:line="240" w:lineRule="auto"/>
        <w:ind w:left="709" w:right="260"/>
        <w:jc w:val="both"/>
        <w:rPr>
          <w:rFonts w:ascii="Arial" w:hAnsi="Arial" w:cs="Arial"/>
          <w:iCs/>
        </w:rPr>
      </w:pPr>
    </w:p>
    <w:p w14:paraId="378AC583" w14:textId="603B671E" w:rsidR="005F7468" w:rsidRDefault="005F7468" w:rsidP="008F721B">
      <w:pPr>
        <w:spacing w:after="120" w:line="240" w:lineRule="auto"/>
        <w:ind w:left="709" w:right="260"/>
        <w:jc w:val="both"/>
        <w:rPr>
          <w:rFonts w:ascii="Arial" w:hAnsi="Arial" w:cs="Arial"/>
          <w:iCs/>
        </w:rPr>
      </w:pPr>
    </w:p>
    <w:p w14:paraId="61EFD7AB" w14:textId="7E0D49D8" w:rsidR="005F7468" w:rsidRDefault="005F7468" w:rsidP="008F721B">
      <w:pPr>
        <w:spacing w:after="120" w:line="240" w:lineRule="auto"/>
        <w:ind w:left="709" w:right="260"/>
        <w:jc w:val="both"/>
        <w:rPr>
          <w:rFonts w:ascii="Arial" w:hAnsi="Arial" w:cs="Arial"/>
          <w:iCs/>
        </w:rPr>
      </w:pPr>
    </w:p>
    <w:p w14:paraId="5ED6E984" w14:textId="71E7EAC7" w:rsidR="005F7468" w:rsidRDefault="005F7468" w:rsidP="008F721B">
      <w:pPr>
        <w:spacing w:after="120" w:line="240" w:lineRule="auto"/>
        <w:ind w:left="709" w:right="260"/>
        <w:jc w:val="both"/>
        <w:rPr>
          <w:rFonts w:ascii="Arial" w:hAnsi="Arial" w:cs="Arial"/>
          <w:iCs/>
        </w:rPr>
      </w:pPr>
    </w:p>
    <w:p w14:paraId="6926C4C2" w14:textId="0A03A8CD" w:rsidR="005F7468" w:rsidRDefault="005F7468" w:rsidP="008F721B">
      <w:pPr>
        <w:spacing w:after="120" w:line="240" w:lineRule="auto"/>
        <w:ind w:left="709" w:right="260"/>
        <w:jc w:val="both"/>
        <w:rPr>
          <w:rFonts w:ascii="Arial" w:hAnsi="Arial" w:cs="Arial"/>
          <w:iCs/>
        </w:rPr>
      </w:pPr>
    </w:p>
    <w:p w14:paraId="496F88DA" w14:textId="57A1F2EA" w:rsidR="005F7468" w:rsidRDefault="005F7468" w:rsidP="008F721B">
      <w:pPr>
        <w:spacing w:after="120" w:line="240" w:lineRule="auto"/>
        <w:ind w:left="709" w:right="260"/>
        <w:jc w:val="both"/>
        <w:rPr>
          <w:rFonts w:ascii="Arial" w:hAnsi="Arial" w:cs="Arial"/>
          <w:iCs/>
        </w:rPr>
      </w:pPr>
    </w:p>
    <w:p w14:paraId="7AF0CD0D" w14:textId="75047EC7" w:rsidR="005F7468" w:rsidRDefault="005F7468" w:rsidP="008F721B">
      <w:pPr>
        <w:spacing w:after="120" w:line="240" w:lineRule="auto"/>
        <w:ind w:left="709" w:right="260"/>
        <w:jc w:val="both"/>
        <w:rPr>
          <w:rFonts w:ascii="Arial" w:hAnsi="Arial" w:cs="Arial"/>
          <w:iCs/>
        </w:rPr>
      </w:pPr>
    </w:p>
    <w:p w14:paraId="488089BC" w14:textId="6F3DF01D" w:rsidR="005F7468" w:rsidRDefault="005F7468" w:rsidP="008F721B">
      <w:pPr>
        <w:spacing w:after="120" w:line="240" w:lineRule="auto"/>
        <w:ind w:left="709" w:right="260"/>
        <w:jc w:val="both"/>
        <w:rPr>
          <w:rFonts w:ascii="Arial" w:hAnsi="Arial" w:cs="Arial"/>
          <w:iCs/>
        </w:rPr>
      </w:pPr>
    </w:p>
    <w:p w14:paraId="36318BE3" w14:textId="77777777" w:rsidR="005F7468" w:rsidRDefault="005F7468" w:rsidP="008F721B">
      <w:pPr>
        <w:spacing w:after="120" w:line="240" w:lineRule="auto"/>
        <w:ind w:left="709" w:right="260"/>
        <w:jc w:val="both"/>
        <w:rPr>
          <w:rFonts w:ascii="Arial" w:hAnsi="Arial" w:cs="Arial"/>
          <w:iCs/>
        </w:rPr>
      </w:pPr>
    </w:p>
    <w:p w14:paraId="37C04F28" w14:textId="075AE47D" w:rsidR="005F7468" w:rsidRDefault="005F7468" w:rsidP="008F721B">
      <w:pPr>
        <w:spacing w:after="120" w:line="240" w:lineRule="auto"/>
        <w:ind w:left="709" w:right="260"/>
        <w:jc w:val="both"/>
        <w:rPr>
          <w:rFonts w:ascii="Arial" w:hAnsi="Arial" w:cs="Arial"/>
          <w:iCs/>
        </w:rPr>
      </w:pPr>
    </w:p>
    <w:p w14:paraId="44FC3C98" w14:textId="77777777" w:rsidR="005F7468" w:rsidRPr="008F721B" w:rsidRDefault="005F7468" w:rsidP="008F721B">
      <w:pPr>
        <w:spacing w:after="120" w:line="240" w:lineRule="auto"/>
        <w:ind w:left="709" w:right="260"/>
        <w:jc w:val="both"/>
        <w:rPr>
          <w:rFonts w:ascii="Arial" w:hAnsi="Arial" w:cs="Arial"/>
          <w:b/>
          <w:iCs/>
        </w:rPr>
      </w:pPr>
    </w:p>
    <w:p w14:paraId="561F1796" w14:textId="77777777" w:rsidR="007D31B5" w:rsidRDefault="007D31B5" w:rsidP="005A4AD1">
      <w:pPr>
        <w:numPr>
          <w:ilvl w:val="0"/>
          <w:numId w:val="1"/>
        </w:numPr>
        <w:spacing w:after="120" w:line="240" w:lineRule="auto"/>
        <w:ind w:right="261" w:hanging="720"/>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31A64637" w14:textId="4F878A8D" w:rsidR="00C80A3C" w:rsidRPr="00C57028" w:rsidRDefault="00C80A3C" w:rsidP="005A4AD1">
      <w:pPr>
        <w:spacing w:after="120" w:line="240" w:lineRule="auto"/>
        <w:ind w:right="261"/>
        <w:jc w:val="both"/>
        <w:rPr>
          <w:rFonts w:ascii="Arial" w:hAnsi="Arial" w:cs="Arial"/>
          <w:i/>
          <w:iCs/>
        </w:rPr>
      </w:pPr>
    </w:p>
    <w:tbl>
      <w:tblPr>
        <w:tblStyle w:val="TableGrid"/>
        <w:tblW w:w="7258" w:type="dxa"/>
        <w:tblInd w:w="475" w:type="dxa"/>
        <w:tblLayout w:type="fixed"/>
        <w:tblLook w:val="04A0" w:firstRow="1" w:lastRow="0" w:firstColumn="1" w:lastColumn="0" w:noHBand="0" w:noVBand="1"/>
      </w:tblPr>
      <w:tblGrid>
        <w:gridCol w:w="1730"/>
        <w:gridCol w:w="850"/>
        <w:gridCol w:w="567"/>
        <w:gridCol w:w="567"/>
        <w:gridCol w:w="567"/>
        <w:gridCol w:w="567"/>
        <w:gridCol w:w="567"/>
        <w:gridCol w:w="567"/>
        <w:gridCol w:w="709"/>
        <w:gridCol w:w="567"/>
      </w:tblGrid>
      <w:tr w:rsidR="008442B0" w:rsidRPr="00302082" w14:paraId="7B4B7818" w14:textId="1C39FC85" w:rsidTr="008442B0">
        <w:trPr>
          <w:trHeight w:val="573"/>
        </w:trPr>
        <w:tc>
          <w:tcPr>
            <w:tcW w:w="1730" w:type="dxa"/>
            <w:shd w:val="clear" w:color="auto" w:fill="D9D9D9" w:themeFill="background1" w:themeFillShade="D9"/>
          </w:tcPr>
          <w:p w14:paraId="71F8F3F8" w14:textId="77777777" w:rsidR="008442B0" w:rsidRPr="006F3C3B" w:rsidRDefault="008442B0"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850" w:type="dxa"/>
          </w:tcPr>
          <w:p w14:paraId="76B46622" w14:textId="5121B139" w:rsidR="008442B0" w:rsidRPr="006F3C3B" w:rsidRDefault="008442B0"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8442B0" w:rsidRPr="006F3C3B" w:rsidRDefault="008442B0"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8442B0" w:rsidRPr="006F3C3B" w:rsidRDefault="008442B0"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8442B0" w:rsidRPr="006F3C3B" w:rsidRDefault="008442B0" w:rsidP="003A49A6">
            <w:pPr>
              <w:spacing w:after="120"/>
              <w:rPr>
                <w:rFonts w:ascii="Arial" w:hAnsi="Arial" w:cs="Arial"/>
                <w:i/>
                <w:sz w:val="20"/>
                <w:szCs w:val="20"/>
              </w:rPr>
            </w:pPr>
            <w:r>
              <w:rPr>
                <w:rFonts w:ascii="Arial" w:hAnsi="Arial" w:cs="Arial"/>
                <w:i/>
                <w:sz w:val="20"/>
                <w:szCs w:val="20"/>
              </w:rPr>
              <w:t>8.4</w:t>
            </w:r>
          </w:p>
        </w:tc>
        <w:tc>
          <w:tcPr>
            <w:tcW w:w="567" w:type="dxa"/>
          </w:tcPr>
          <w:p w14:paraId="3B7419F9" w14:textId="0ACE4086" w:rsidR="008442B0" w:rsidRPr="006F3C3B" w:rsidRDefault="008442B0" w:rsidP="003A49A6">
            <w:pPr>
              <w:spacing w:after="120"/>
              <w:rPr>
                <w:rFonts w:ascii="Arial" w:hAnsi="Arial" w:cs="Arial"/>
                <w:i/>
                <w:sz w:val="20"/>
                <w:szCs w:val="20"/>
              </w:rPr>
            </w:pPr>
            <w:r>
              <w:rPr>
                <w:rFonts w:ascii="Arial" w:hAnsi="Arial" w:cs="Arial"/>
                <w:i/>
                <w:sz w:val="20"/>
                <w:szCs w:val="20"/>
              </w:rPr>
              <w:t>8.5</w:t>
            </w:r>
          </w:p>
        </w:tc>
        <w:tc>
          <w:tcPr>
            <w:tcW w:w="567" w:type="dxa"/>
          </w:tcPr>
          <w:p w14:paraId="532A6A12" w14:textId="2132F880" w:rsidR="008442B0" w:rsidRPr="006F3C3B" w:rsidRDefault="008442B0"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8442B0" w:rsidRPr="006F3C3B" w:rsidRDefault="008442B0" w:rsidP="003A49A6">
            <w:pPr>
              <w:spacing w:after="120"/>
              <w:rPr>
                <w:rFonts w:ascii="Arial" w:hAnsi="Arial" w:cs="Arial"/>
                <w:i/>
                <w:sz w:val="20"/>
                <w:szCs w:val="20"/>
              </w:rPr>
            </w:pPr>
            <w:r w:rsidRPr="006F3C3B">
              <w:rPr>
                <w:rFonts w:ascii="Arial" w:hAnsi="Arial" w:cs="Arial"/>
                <w:i/>
                <w:sz w:val="20"/>
                <w:szCs w:val="20"/>
              </w:rPr>
              <w:t>9.2</w:t>
            </w:r>
          </w:p>
        </w:tc>
        <w:tc>
          <w:tcPr>
            <w:tcW w:w="709" w:type="dxa"/>
          </w:tcPr>
          <w:p w14:paraId="70019D74" w14:textId="77777777" w:rsidR="008442B0" w:rsidRPr="006F3C3B" w:rsidRDefault="008442B0"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779940D2" w14:textId="77F7364C" w:rsidR="008442B0" w:rsidRPr="006F3C3B" w:rsidRDefault="008442B0" w:rsidP="003A49A6">
            <w:pPr>
              <w:spacing w:after="120"/>
              <w:rPr>
                <w:rFonts w:ascii="Arial" w:hAnsi="Arial" w:cs="Arial"/>
                <w:i/>
                <w:sz w:val="20"/>
                <w:szCs w:val="20"/>
              </w:rPr>
            </w:pPr>
            <w:r>
              <w:rPr>
                <w:rFonts w:ascii="Arial" w:hAnsi="Arial" w:cs="Arial"/>
                <w:i/>
                <w:sz w:val="20"/>
                <w:szCs w:val="20"/>
              </w:rPr>
              <w:t>9.4</w:t>
            </w:r>
          </w:p>
        </w:tc>
      </w:tr>
      <w:tr w:rsidR="008442B0" w:rsidRPr="00302082" w14:paraId="57553600" w14:textId="4D58B592" w:rsidTr="008442B0">
        <w:tc>
          <w:tcPr>
            <w:tcW w:w="1730" w:type="dxa"/>
            <w:shd w:val="clear" w:color="auto" w:fill="D9D9D9" w:themeFill="background1" w:themeFillShade="D9"/>
          </w:tcPr>
          <w:p w14:paraId="194B26E2" w14:textId="77777777" w:rsidR="008442B0" w:rsidRPr="006F3C3B" w:rsidRDefault="008442B0" w:rsidP="003A49A6">
            <w:pPr>
              <w:spacing w:after="120"/>
              <w:rPr>
                <w:rFonts w:ascii="Arial" w:hAnsi="Arial" w:cs="Arial"/>
                <w:b/>
                <w:sz w:val="20"/>
                <w:szCs w:val="20"/>
              </w:rPr>
            </w:pPr>
            <w:r w:rsidRPr="006F3C3B">
              <w:rPr>
                <w:rFonts w:ascii="Arial" w:hAnsi="Arial" w:cs="Arial"/>
                <w:b/>
                <w:sz w:val="20"/>
                <w:szCs w:val="20"/>
              </w:rPr>
              <w:t>Learning/ teaching method</w:t>
            </w:r>
          </w:p>
        </w:tc>
        <w:tc>
          <w:tcPr>
            <w:tcW w:w="850" w:type="dxa"/>
          </w:tcPr>
          <w:p w14:paraId="731F70CF" w14:textId="43867B03" w:rsidR="008442B0" w:rsidRPr="006F3C3B" w:rsidRDefault="008442B0" w:rsidP="003A49A6">
            <w:pPr>
              <w:spacing w:after="120"/>
              <w:rPr>
                <w:rFonts w:ascii="Arial" w:hAnsi="Arial" w:cs="Arial"/>
                <w:b/>
                <w:sz w:val="20"/>
                <w:szCs w:val="20"/>
              </w:rPr>
            </w:pPr>
          </w:p>
        </w:tc>
        <w:tc>
          <w:tcPr>
            <w:tcW w:w="567" w:type="dxa"/>
          </w:tcPr>
          <w:p w14:paraId="1837A4B2" w14:textId="77777777" w:rsidR="008442B0" w:rsidRPr="006F3C3B" w:rsidRDefault="008442B0" w:rsidP="003A49A6">
            <w:pPr>
              <w:spacing w:after="120"/>
              <w:rPr>
                <w:rFonts w:ascii="Arial" w:hAnsi="Arial" w:cs="Arial"/>
                <w:b/>
                <w:sz w:val="20"/>
                <w:szCs w:val="20"/>
              </w:rPr>
            </w:pPr>
          </w:p>
        </w:tc>
        <w:tc>
          <w:tcPr>
            <w:tcW w:w="567" w:type="dxa"/>
          </w:tcPr>
          <w:p w14:paraId="29B5FEEE" w14:textId="77777777" w:rsidR="008442B0" w:rsidRPr="006F3C3B" w:rsidRDefault="008442B0" w:rsidP="003A49A6">
            <w:pPr>
              <w:spacing w:after="120"/>
              <w:rPr>
                <w:rFonts w:ascii="Arial" w:hAnsi="Arial" w:cs="Arial"/>
                <w:b/>
                <w:sz w:val="20"/>
                <w:szCs w:val="20"/>
              </w:rPr>
            </w:pPr>
          </w:p>
        </w:tc>
        <w:tc>
          <w:tcPr>
            <w:tcW w:w="567" w:type="dxa"/>
          </w:tcPr>
          <w:p w14:paraId="55C3436F" w14:textId="77777777" w:rsidR="008442B0" w:rsidRPr="006F3C3B" w:rsidRDefault="008442B0" w:rsidP="003A49A6">
            <w:pPr>
              <w:spacing w:after="120"/>
              <w:rPr>
                <w:rFonts w:ascii="Arial" w:hAnsi="Arial" w:cs="Arial"/>
                <w:b/>
                <w:sz w:val="20"/>
                <w:szCs w:val="20"/>
              </w:rPr>
            </w:pPr>
          </w:p>
        </w:tc>
        <w:tc>
          <w:tcPr>
            <w:tcW w:w="567" w:type="dxa"/>
          </w:tcPr>
          <w:p w14:paraId="766A0379" w14:textId="77777777" w:rsidR="008442B0" w:rsidRPr="006F3C3B" w:rsidRDefault="008442B0" w:rsidP="003A49A6">
            <w:pPr>
              <w:spacing w:after="120"/>
              <w:rPr>
                <w:rFonts w:ascii="Arial" w:hAnsi="Arial" w:cs="Arial"/>
                <w:b/>
                <w:sz w:val="20"/>
                <w:szCs w:val="20"/>
              </w:rPr>
            </w:pPr>
          </w:p>
        </w:tc>
        <w:tc>
          <w:tcPr>
            <w:tcW w:w="567" w:type="dxa"/>
          </w:tcPr>
          <w:p w14:paraId="4601C821" w14:textId="70152644" w:rsidR="008442B0" w:rsidRPr="006F3C3B" w:rsidRDefault="008442B0" w:rsidP="003A49A6">
            <w:pPr>
              <w:spacing w:after="120"/>
              <w:rPr>
                <w:rFonts w:ascii="Arial" w:hAnsi="Arial" w:cs="Arial"/>
                <w:b/>
                <w:sz w:val="20"/>
                <w:szCs w:val="20"/>
              </w:rPr>
            </w:pPr>
          </w:p>
        </w:tc>
        <w:tc>
          <w:tcPr>
            <w:tcW w:w="567" w:type="dxa"/>
          </w:tcPr>
          <w:p w14:paraId="4D676165" w14:textId="318AB3B3" w:rsidR="008442B0" w:rsidRPr="006F3C3B" w:rsidRDefault="008442B0" w:rsidP="003A49A6">
            <w:pPr>
              <w:spacing w:after="120"/>
              <w:rPr>
                <w:rFonts w:ascii="Arial" w:hAnsi="Arial" w:cs="Arial"/>
                <w:b/>
                <w:sz w:val="20"/>
                <w:szCs w:val="20"/>
              </w:rPr>
            </w:pPr>
          </w:p>
        </w:tc>
        <w:tc>
          <w:tcPr>
            <w:tcW w:w="709" w:type="dxa"/>
          </w:tcPr>
          <w:p w14:paraId="12103D81" w14:textId="77777777" w:rsidR="008442B0" w:rsidRPr="006F3C3B" w:rsidRDefault="008442B0" w:rsidP="003A49A6">
            <w:pPr>
              <w:spacing w:after="120"/>
              <w:rPr>
                <w:rFonts w:ascii="Arial" w:hAnsi="Arial" w:cs="Arial"/>
                <w:b/>
                <w:sz w:val="20"/>
                <w:szCs w:val="20"/>
              </w:rPr>
            </w:pPr>
          </w:p>
        </w:tc>
        <w:tc>
          <w:tcPr>
            <w:tcW w:w="567" w:type="dxa"/>
          </w:tcPr>
          <w:p w14:paraId="5F3A707D" w14:textId="77777777" w:rsidR="008442B0" w:rsidRPr="006F3C3B" w:rsidRDefault="008442B0" w:rsidP="003A49A6">
            <w:pPr>
              <w:spacing w:after="120"/>
              <w:rPr>
                <w:rFonts w:ascii="Arial" w:hAnsi="Arial" w:cs="Arial"/>
                <w:b/>
                <w:sz w:val="20"/>
                <w:szCs w:val="20"/>
              </w:rPr>
            </w:pPr>
          </w:p>
        </w:tc>
      </w:tr>
      <w:tr w:rsidR="008442B0" w:rsidRPr="00302082" w14:paraId="351EA5E1" w14:textId="5FFA4C11" w:rsidTr="008442B0">
        <w:tc>
          <w:tcPr>
            <w:tcW w:w="1730" w:type="dxa"/>
          </w:tcPr>
          <w:p w14:paraId="7B059548" w14:textId="77777777" w:rsidR="008442B0" w:rsidRPr="006F3C3B" w:rsidRDefault="008442B0" w:rsidP="003A49A6">
            <w:pPr>
              <w:spacing w:after="120"/>
              <w:rPr>
                <w:rFonts w:ascii="Arial" w:hAnsi="Arial" w:cs="Arial"/>
                <w:b/>
                <w:sz w:val="20"/>
                <w:szCs w:val="20"/>
              </w:rPr>
            </w:pPr>
            <w:r w:rsidRPr="006F3C3B">
              <w:rPr>
                <w:rFonts w:ascii="Arial" w:hAnsi="Arial" w:cs="Arial"/>
                <w:b/>
                <w:sz w:val="20"/>
                <w:szCs w:val="20"/>
              </w:rPr>
              <w:t>Private Study</w:t>
            </w:r>
          </w:p>
        </w:tc>
        <w:tc>
          <w:tcPr>
            <w:tcW w:w="850" w:type="dxa"/>
          </w:tcPr>
          <w:p w14:paraId="203CF1F4" w14:textId="789C032F"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5D1AEEC9" w14:textId="7F1BFB11"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6D478A5B" w14:textId="6F7BB7DB"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528751F4" w14:textId="78492FFC"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0E1E3470" w14:textId="258DFDD1" w:rsidR="008442B0"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6C93B021" w14:textId="5C143410"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78D8D18E" w14:textId="0FEED2EA"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709" w:type="dxa"/>
          </w:tcPr>
          <w:p w14:paraId="30EC2042" w14:textId="581E0F4E"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20450E28" w14:textId="61EAF7C5" w:rsidR="008442B0" w:rsidRDefault="008442B0" w:rsidP="003A49A6">
            <w:pPr>
              <w:spacing w:after="120"/>
              <w:rPr>
                <w:rFonts w:ascii="Arial" w:hAnsi="Arial" w:cs="Arial"/>
                <w:b/>
                <w:sz w:val="20"/>
                <w:szCs w:val="20"/>
              </w:rPr>
            </w:pPr>
            <w:r>
              <w:rPr>
                <w:rFonts w:ascii="Arial" w:hAnsi="Arial" w:cs="Arial"/>
                <w:b/>
                <w:sz w:val="20"/>
                <w:szCs w:val="20"/>
              </w:rPr>
              <w:t>x</w:t>
            </w:r>
          </w:p>
        </w:tc>
      </w:tr>
      <w:tr w:rsidR="008442B0" w:rsidRPr="00302082" w14:paraId="5BAC3F58" w14:textId="143CD02D" w:rsidTr="008442B0">
        <w:tc>
          <w:tcPr>
            <w:tcW w:w="1730" w:type="dxa"/>
          </w:tcPr>
          <w:p w14:paraId="73CE7AC8" w14:textId="42C606EC" w:rsidR="008442B0" w:rsidRPr="006F3C3B" w:rsidRDefault="008442B0" w:rsidP="00C80A3C">
            <w:pPr>
              <w:spacing w:after="120"/>
              <w:rPr>
                <w:rFonts w:ascii="Arial" w:hAnsi="Arial" w:cs="Arial"/>
                <w:i/>
                <w:sz w:val="20"/>
                <w:szCs w:val="20"/>
              </w:rPr>
            </w:pPr>
            <w:r>
              <w:rPr>
                <w:rFonts w:ascii="Arial" w:hAnsi="Arial" w:cs="Arial"/>
                <w:i/>
                <w:sz w:val="20"/>
                <w:szCs w:val="20"/>
              </w:rPr>
              <w:t>Teaching</w:t>
            </w:r>
          </w:p>
        </w:tc>
        <w:tc>
          <w:tcPr>
            <w:tcW w:w="850" w:type="dxa"/>
          </w:tcPr>
          <w:p w14:paraId="534946E3" w14:textId="0888D19D"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3D315299" w14:textId="7A549139"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283A9325" w14:textId="19542E06"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742DB79A" w14:textId="4D764876"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06067D82" w14:textId="534F0A0D" w:rsidR="008442B0"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6A2BCAEE" w14:textId="5A276866" w:rsidR="008442B0" w:rsidRPr="006F3C3B" w:rsidRDefault="008442B0" w:rsidP="003A49A6">
            <w:pPr>
              <w:spacing w:after="120"/>
              <w:rPr>
                <w:rFonts w:ascii="Arial" w:hAnsi="Arial" w:cs="Arial"/>
                <w:b/>
                <w:sz w:val="20"/>
                <w:szCs w:val="20"/>
              </w:rPr>
            </w:pPr>
          </w:p>
        </w:tc>
        <w:tc>
          <w:tcPr>
            <w:tcW w:w="567" w:type="dxa"/>
          </w:tcPr>
          <w:p w14:paraId="2D14FA28" w14:textId="6906FBB5"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709" w:type="dxa"/>
          </w:tcPr>
          <w:p w14:paraId="18CDA760" w14:textId="1BE6D0F3" w:rsidR="008442B0" w:rsidRPr="006F3C3B" w:rsidRDefault="008442B0" w:rsidP="003A49A6">
            <w:pPr>
              <w:spacing w:after="120"/>
              <w:rPr>
                <w:rFonts w:ascii="Arial" w:hAnsi="Arial" w:cs="Arial"/>
                <w:b/>
                <w:sz w:val="20"/>
                <w:szCs w:val="20"/>
              </w:rPr>
            </w:pPr>
          </w:p>
        </w:tc>
        <w:tc>
          <w:tcPr>
            <w:tcW w:w="567" w:type="dxa"/>
          </w:tcPr>
          <w:p w14:paraId="7C0B184C" w14:textId="4C070E44" w:rsidR="008442B0" w:rsidRPr="006F3C3B" w:rsidRDefault="008442B0" w:rsidP="003A49A6">
            <w:pPr>
              <w:spacing w:after="120"/>
              <w:rPr>
                <w:rFonts w:ascii="Arial" w:hAnsi="Arial" w:cs="Arial"/>
                <w:b/>
                <w:sz w:val="20"/>
                <w:szCs w:val="20"/>
              </w:rPr>
            </w:pPr>
            <w:r>
              <w:rPr>
                <w:rFonts w:ascii="Arial" w:hAnsi="Arial" w:cs="Arial"/>
                <w:b/>
                <w:sz w:val="20"/>
                <w:szCs w:val="20"/>
              </w:rPr>
              <w:t>x</w:t>
            </w:r>
          </w:p>
        </w:tc>
      </w:tr>
      <w:tr w:rsidR="008442B0" w:rsidRPr="00302082" w14:paraId="2DD70A37" w14:textId="50B02687" w:rsidTr="008442B0">
        <w:tc>
          <w:tcPr>
            <w:tcW w:w="1730" w:type="dxa"/>
          </w:tcPr>
          <w:p w14:paraId="7A06F87E" w14:textId="356CDB84" w:rsidR="008442B0" w:rsidRPr="006F3C3B" w:rsidRDefault="008442B0" w:rsidP="003A49A6">
            <w:pPr>
              <w:spacing w:after="120"/>
              <w:rPr>
                <w:rFonts w:ascii="Arial" w:hAnsi="Arial" w:cs="Arial"/>
                <w:i/>
                <w:sz w:val="20"/>
                <w:szCs w:val="20"/>
              </w:rPr>
            </w:pPr>
            <w:r>
              <w:rPr>
                <w:rFonts w:ascii="Arial" w:hAnsi="Arial" w:cs="Arial"/>
                <w:i/>
                <w:sz w:val="20"/>
                <w:szCs w:val="20"/>
              </w:rPr>
              <w:t>Work based experience</w:t>
            </w:r>
          </w:p>
        </w:tc>
        <w:tc>
          <w:tcPr>
            <w:tcW w:w="850" w:type="dxa"/>
          </w:tcPr>
          <w:p w14:paraId="7877FEB1" w14:textId="7BFAC5A1" w:rsidR="008442B0" w:rsidRPr="006F3C3B" w:rsidRDefault="008442B0" w:rsidP="003A49A6">
            <w:pPr>
              <w:spacing w:after="120"/>
              <w:rPr>
                <w:rFonts w:ascii="Arial" w:hAnsi="Arial" w:cs="Arial"/>
                <w:b/>
                <w:sz w:val="20"/>
                <w:szCs w:val="20"/>
              </w:rPr>
            </w:pPr>
          </w:p>
        </w:tc>
        <w:tc>
          <w:tcPr>
            <w:tcW w:w="567" w:type="dxa"/>
          </w:tcPr>
          <w:p w14:paraId="2E72D57F" w14:textId="78345D6D" w:rsidR="008442B0" w:rsidRPr="006F3C3B" w:rsidRDefault="008442B0" w:rsidP="003A49A6">
            <w:pPr>
              <w:spacing w:after="120"/>
              <w:rPr>
                <w:rFonts w:ascii="Arial" w:hAnsi="Arial" w:cs="Arial"/>
                <w:b/>
                <w:sz w:val="20"/>
                <w:szCs w:val="20"/>
              </w:rPr>
            </w:pPr>
          </w:p>
        </w:tc>
        <w:tc>
          <w:tcPr>
            <w:tcW w:w="567" w:type="dxa"/>
          </w:tcPr>
          <w:p w14:paraId="06753318" w14:textId="7B83621D"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526A9F08" w14:textId="14C0974C"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04640DB2" w14:textId="77777777" w:rsidR="008442B0" w:rsidRPr="006F3C3B" w:rsidRDefault="008442B0" w:rsidP="003A49A6">
            <w:pPr>
              <w:spacing w:after="120"/>
              <w:rPr>
                <w:rFonts w:ascii="Arial" w:hAnsi="Arial" w:cs="Arial"/>
                <w:b/>
                <w:sz w:val="20"/>
                <w:szCs w:val="20"/>
              </w:rPr>
            </w:pPr>
          </w:p>
        </w:tc>
        <w:tc>
          <w:tcPr>
            <w:tcW w:w="567" w:type="dxa"/>
          </w:tcPr>
          <w:p w14:paraId="5935DDE8" w14:textId="42099348" w:rsidR="008442B0" w:rsidRPr="006F3C3B" w:rsidRDefault="008442B0" w:rsidP="003A49A6">
            <w:pPr>
              <w:spacing w:after="120"/>
              <w:rPr>
                <w:rFonts w:ascii="Arial" w:hAnsi="Arial" w:cs="Arial"/>
                <w:b/>
                <w:sz w:val="20"/>
                <w:szCs w:val="20"/>
              </w:rPr>
            </w:pPr>
          </w:p>
        </w:tc>
        <w:tc>
          <w:tcPr>
            <w:tcW w:w="567" w:type="dxa"/>
          </w:tcPr>
          <w:p w14:paraId="028F0459" w14:textId="422C2B86" w:rsidR="008442B0" w:rsidRPr="006F3C3B" w:rsidRDefault="008442B0" w:rsidP="003A49A6">
            <w:pPr>
              <w:spacing w:after="120"/>
              <w:rPr>
                <w:rFonts w:ascii="Arial" w:hAnsi="Arial" w:cs="Arial"/>
                <w:b/>
                <w:sz w:val="20"/>
                <w:szCs w:val="20"/>
              </w:rPr>
            </w:pPr>
            <w:r>
              <w:rPr>
                <w:rFonts w:ascii="Arial" w:hAnsi="Arial" w:cs="Arial"/>
                <w:b/>
                <w:sz w:val="20"/>
                <w:szCs w:val="20"/>
              </w:rPr>
              <w:t xml:space="preserve"> </w:t>
            </w:r>
          </w:p>
        </w:tc>
        <w:tc>
          <w:tcPr>
            <w:tcW w:w="709" w:type="dxa"/>
          </w:tcPr>
          <w:p w14:paraId="43A66F7F" w14:textId="7F2E351B" w:rsidR="008442B0" w:rsidRPr="006F3C3B" w:rsidRDefault="008442B0" w:rsidP="003A49A6">
            <w:pPr>
              <w:spacing w:after="120"/>
              <w:rPr>
                <w:rFonts w:ascii="Arial" w:hAnsi="Arial" w:cs="Arial"/>
                <w:b/>
                <w:sz w:val="20"/>
                <w:szCs w:val="20"/>
              </w:rPr>
            </w:pPr>
          </w:p>
        </w:tc>
        <w:tc>
          <w:tcPr>
            <w:tcW w:w="567" w:type="dxa"/>
          </w:tcPr>
          <w:p w14:paraId="10C2D9E5" w14:textId="7BFCA62C" w:rsidR="008442B0" w:rsidRPr="006F3C3B" w:rsidRDefault="008442B0" w:rsidP="003A49A6">
            <w:pPr>
              <w:spacing w:after="120"/>
              <w:rPr>
                <w:rFonts w:ascii="Arial" w:hAnsi="Arial" w:cs="Arial"/>
                <w:b/>
                <w:sz w:val="20"/>
                <w:szCs w:val="20"/>
              </w:rPr>
            </w:pPr>
            <w:r>
              <w:rPr>
                <w:rFonts w:ascii="Arial" w:hAnsi="Arial" w:cs="Arial"/>
                <w:b/>
                <w:sz w:val="20"/>
                <w:szCs w:val="20"/>
              </w:rPr>
              <w:t>x</w:t>
            </w:r>
          </w:p>
        </w:tc>
      </w:tr>
      <w:tr w:rsidR="008442B0" w:rsidRPr="00302082" w14:paraId="3E818EF3" w14:textId="77BCA1AE" w:rsidTr="008442B0">
        <w:tc>
          <w:tcPr>
            <w:tcW w:w="1730" w:type="dxa"/>
            <w:shd w:val="clear" w:color="auto" w:fill="D9D9D9" w:themeFill="background1" w:themeFillShade="D9"/>
          </w:tcPr>
          <w:p w14:paraId="0B3190B2" w14:textId="77777777" w:rsidR="008442B0" w:rsidRPr="006F3C3B" w:rsidRDefault="008442B0" w:rsidP="003A49A6">
            <w:pPr>
              <w:spacing w:after="120"/>
              <w:rPr>
                <w:rFonts w:ascii="Arial" w:hAnsi="Arial" w:cs="Arial"/>
                <w:b/>
                <w:sz w:val="20"/>
                <w:szCs w:val="20"/>
              </w:rPr>
            </w:pPr>
            <w:r w:rsidRPr="006F3C3B">
              <w:rPr>
                <w:rFonts w:ascii="Arial" w:hAnsi="Arial" w:cs="Arial"/>
                <w:b/>
                <w:sz w:val="20"/>
                <w:szCs w:val="20"/>
              </w:rPr>
              <w:t>Assessment method</w:t>
            </w:r>
          </w:p>
        </w:tc>
        <w:tc>
          <w:tcPr>
            <w:tcW w:w="850" w:type="dxa"/>
          </w:tcPr>
          <w:p w14:paraId="0788C1FA" w14:textId="164FD7C5" w:rsidR="008442B0" w:rsidRPr="006F3C3B" w:rsidRDefault="008442B0" w:rsidP="003A49A6">
            <w:pPr>
              <w:spacing w:after="120"/>
              <w:rPr>
                <w:rFonts w:ascii="Arial" w:hAnsi="Arial" w:cs="Arial"/>
                <w:b/>
                <w:sz w:val="20"/>
                <w:szCs w:val="20"/>
              </w:rPr>
            </w:pPr>
          </w:p>
        </w:tc>
        <w:tc>
          <w:tcPr>
            <w:tcW w:w="567" w:type="dxa"/>
          </w:tcPr>
          <w:p w14:paraId="248647F9" w14:textId="77777777" w:rsidR="008442B0" w:rsidRPr="006F3C3B" w:rsidRDefault="008442B0" w:rsidP="003A49A6">
            <w:pPr>
              <w:spacing w:after="120"/>
              <w:rPr>
                <w:rFonts w:ascii="Arial" w:hAnsi="Arial" w:cs="Arial"/>
                <w:b/>
                <w:sz w:val="20"/>
                <w:szCs w:val="20"/>
              </w:rPr>
            </w:pPr>
          </w:p>
        </w:tc>
        <w:tc>
          <w:tcPr>
            <w:tcW w:w="567" w:type="dxa"/>
          </w:tcPr>
          <w:p w14:paraId="4E83DF1E" w14:textId="77777777" w:rsidR="008442B0" w:rsidRPr="006F3C3B" w:rsidRDefault="008442B0" w:rsidP="003A49A6">
            <w:pPr>
              <w:spacing w:after="120"/>
              <w:rPr>
                <w:rFonts w:ascii="Arial" w:hAnsi="Arial" w:cs="Arial"/>
                <w:b/>
                <w:sz w:val="20"/>
                <w:szCs w:val="20"/>
              </w:rPr>
            </w:pPr>
          </w:p>
        </w:tc>
        <w:tc>
          <w:tcPr>
            <w:tcW w:w="567" w:type="dxa"/>
          </w:tcPr>
          <w:p w14:paraId="0FD41502" w14:textId="77777777" w:rsidR="008442B0" w:rsidRPr="006F3C3B" w:rsidRDefault="008442B0" w:rsidP="003A49A6">
            <w:pPr>
              <w:spacing w:after="120"/>
              <w:rPr>
                <w:rFonts w:ascii="Arial" w:hAnsi="Arial" w:cs="Arial"/>
                <w:b/>
                <w:sz w:val="20"/>
                <w:szCs w:val="20"/>
              </w:rPr>
            </w:pPr>
          </w:p>
        </w:tc>
        <w:tc>
          <w:tcPr>
            <w:tcW w:w="567" w:type="dxa"/>
          </w:tcPr>
          <w:p w14:paraId="2C6C2B2B" w14:textId="77777777" w:rsidR="008442B0" w:rsidRPr="006F3C3B" w:rsidRDefault="008442B0" w:rsidP="003A49A6">
            <w:pPr>
              <w:spacing w:after="120"/>
              <w:rPr>
                <w:rFonts w:ascii="Arial" w:hAnsi="Arial" w:cs="Arial"/>
                <w:b/>
                <w:sz w:val="20"/>
                <w:szCs w:val="20"/>
              </w:rPr>
            </w:pPr>
          </w:p>
        </w:tc>
        <w:tc>
          <w:tcPr>
            <w:tcW w:w="567" w:type="dxa"/>
          </w:tcPr>
          <w:p w14:paraId="34135C90" w14:textId="0FA0F1E2" w:rsidR="008442B0" w:rsidRPr="006F3C3B" w:rsidRDefault="008442B0" w:rsidP="003A49A6">
            <w:pPr>
              <w:spacing w:after="120"/>
              <w:rPr>
                <w:rFonts w:ascii="Arial" w:hAnsi="Arial" w:cs="Arial"/>
                <w:b/>
                <w:sz w:val="20"/>
                <w:szCs w:val="20"/>
              </w:rPr>
            </w:pPr>
          </w:p>
        </w:tc>
        <w:tc>
          <w:tcPr>
            <w:tcW w:w="567" w:type="dxa"/>
          </w:tcPr>
          <w:p w14:paraId="65D2D1E8" w14:textId="6C9FDF00" w:rsidR="008442B0" w:rsidRPr="006F3C3B" w:rsidRDefault="008442B0" w:rsidP="003A49A6">
            <w:pPr>
              <w:spacing w:after="120"/>
              <w:rPr>
                <w:rFonts w:ascii="Arial" w:hAnsi="Arial" w:cs="Arial"/>
                <w:b/>
                <w:sz w:val="20"/>
                <w:szCs w:val="20"/>
              </w:rPr>
            </w:pPr>
          </w:p>
        </w:tc>
        <w:tc>
          <w:tcPr>
            <w:tcW w:w="709" w:type="dxa"/>
          </w:tcPr>
          <w:p w14:paraId="63CBAA10" w14:textId="77777777" w:rsidR="008442B0" w:rsidRPr="006F3C3B" w:rsidRDefault="008442B0" w:rsidP="003A49A6">
            <w:pPr>
              <w:spacing w:after="120"/>
              <w:rPr>
                <w:rFonts w:ascii="Arial" w:hAnsi="Arial" w:cs="Arial"/>
                <w:b/>
                <w:sz w:val="20"/>
                <w:szCs w:val="20"/>
              </w:rPr>
            </w:pPr>
          </w:p>
        </w:tc>
        <w:tc>
          <w:tcPr>
            <w:tcW w:w="567" w:type="dxa"/>
          </w:tcPr>
          <w:p w14:paraId="1A9382EE" w14:textId="77777777" w:rsidR="008442B0" w:rsidRPr="006F3C3B" w:rsidRDefault="008442B0" w:rsidP="003A49A6">
            <w:pPr>
              <w:spacing w:after="120"/>
              <w:rPr>
                <w:rFonts w:ascii="Arial" w:hAnsi="Arial" w:cs="Arial"/>
                <w:b/>
                <w:sz w:val="20"/>
                <w:szCs w:val="20"/>
              </w:rPr>
            </w:pPr>
          </w:p>
        </w:tc>
      </w:tr>
      <w:tr w:rsidR="008442B0" w:rsidRPr="00302082" w14:paraId="4FF99C63" w14:textId="28129B89" w:rsidTr="008442B0">
        <w:tc>
          <w:tcPr>
            <w:tcW w:w="1730" w:type="dxa"/>
          </w:tcPr>
          <w:p w14:paraId="0B55CF68" w14:textId="2FB697D4" w:rsidR="008442B0" w:rsidRPr="006F3C3B" w:rsidRDefault="008442B0" w:rsidP="003A49A6">
            <w:pPr>
              <w:spacing w:after="120"/>
              <w:rPr>
                <w:rFonts w:ascii="Arial" w:hAnsi="Arial" w:cs="Arial"/>
                <w:i/>
                <w:sz w:val="20"/>
                <w:szCs w:val="20"/>
              </w:rPr>
            </w:pPr>
            <w:r>
              <w:rPr>
                <w:rFonts w:ascii="Arial" w:hAnsi="Arial" w:cs="Arial"/>
                <w:i/>
                <w:sz w:val="20"/>
                <w:szCs w:val="20"/>
              </w:rPr>
              <w:t xml:space="preserve">Written assignment </w:t>
            </w:r>
          </w:p>
        </w:tc>
        <w:tc>
          <w:tcPr>
            <w:tcW w:w="850" w:type="dxa"/>
          </w:tcPr>
          <w:p w14:paraId="76027510" w14:textId="1BEA2B52"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5751CE10" w14:textId="07414DF9"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785B2156" w14:textId="7E60A9F5"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08743DD5" w14:textId="123E2BCE" w:rsidR="008442B0" w:rsidRPr="006F3C3B" w:rsidRDefault="008442B0" w:rsidP="003A49A6">
            <w:pPr>
              <w:spacing w:after="120"/>
              <w:rPr>
                <w:rFonts w:ascii="Arial" w:hAnsi="Arial" w:cs="Arial"/>
                <w:b/>
                <w:sz w:val="20"/>
                <w:szCs w:val="20"/>
              </w:rPr>
            </w:pPr>
          </w:p>
        </w:tc>
        <w:tc>
          <w:tcPr>
            <w:tcW w:w="567" w:type="dxa"/>
          </w:tcPr>
          <w:p w14:paraId="1BED50B6" w14:textId="41F63B67" w:rsidR="008442B0" w:rsidRDefault="008442B0" w:rsidP="003A49A6">
            <w:pPr>
              <w:spacing w:after="120"/>
              <w:rPr>
                <w:rFonts w:ascii="Arial" w:hAnsi="Arial" w:cs="Arial"/>
                <w:b/>
                <w:sz w:val="20"/>
                <w:szCs w:val="20"/>
              </w:rPr>
            </w:pPr>
          </w:p>
        </w:tc>
        <w:tc>
          <w:tcPr>
            <w:tcW w:w="567" w:type="dxa"/>
          </w:tcPr>
          <w:p w14:paraId="5B1AE52A" w14:textId="4CC0CFB6"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31D65F17" w14:textId="5D65250C"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709" w:type="dxa"/>
          </w:tcPr>
          <w:p w14:paraId="080ABF3D" w14:textId="05AF52D7"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6CE59DA6" w14:textId="3209B31C" w:rsidR="008442B0" w:rsidRPr="006F3C3B" w:rsidRDefault="008442B0" w:rsidP="003A49A6">
            <w:pPr>
              <w:spacing w:after="120"/>
              <w:rPr>
                <w:rFonts w:ascii="Arial" w:hAnsi="Arial" w:cs="Arial"/>
                <w:b/>
                <w:sz w:val="20"/>
                <w:szCs w:val="20"/>
              </w:rPr>
            </w:pPr>
            <w:r>
              <w:rPr>
                <w:rFonts w:ascii="Arial" w:hAnsi="Arial" w:cs="Arial"/>
                <w:b/>
                <w:sz w:val="20"/>
                <w:szCs w:val="20"/>
              </w:rPr>
              <w:t>x</w:t>
            </w:r>
          </w:p>
        </w:tc>
      </w:tr>
      <w:tr w:rsidR="008442B0" w:rsidRPr="00302082" w14:paraId="704D0C4A" w14:textId="3FDDE310" w:rsidTr="008442B0">
        <w:tc>
          <w:tcPr>
            <w:tcW w:w="1730" w:type="dxa"/>
          </w:tcPr>
          <w:p w14:paraId="31437CF1" w14:textId="6E0778EA" w:rsidR="008442B0" w:rsidRDefault="008442B0" w:rsidP="003A49A6">
            <w:pPr>
              <w:spacing w:after="120"/>
              <w:rPr>
                <w:rFonts w:ascii="Arial" w:hAnsi="Arial" w:cs="Arial"/>
                <w:i/>
                <w:sz w:val="20"/>
                <w:szCs w:val="20"/>
              </w:rPr>
            </w:pPr>
            <w:r>
              <w:rPr>
                <w:rFonts w:ascii="Arial" w:hAnsi="Arial" w:cs="Arial"/>
                <w:i/>
                <w:sz w:val="20"/>
                <w:szCs w:val="20"/>
              </w:rPr>
              <w:t>Written Report</w:t>
            </w:r>
          </w:p>
        </w:tc>
        <w:tc>
          <w:tcPr>
            <w:tcW w:w="850" w:type="dxa"/>
          </w:tcPr>
          <w:p w14:paraId="051CED4A" w14:textId="60FF6612" w:rsidR="008442B0" w:rsidRPr="006F3C3B" w:rsidRDefault="008442B0" w:rsidP="003A49A6">
            <w:pPr>
              <w:spacing w:after="120"/>
              <w:rPr>
                <w:rFonts w:ascii="Arial" w:hAnsi="Arial" w:cs="Arial"/>
                <w:b/>
                <w:sz w:val="20"/>
                <w:szCs w:val="20"/>
              </w:rPr>
            </w:pPr>
          </w:p>
        </w:tc>
        <w:tc>
          <w:tcPr>
            <w:tcW w:w="567" w:type="dxa"/>
          </w:tcPr>
          <w:p w14:paraId="41C7EB27" w14:textId="5C62DD75" w:rsidR="008442B0" w:rsidRPr="006F3C3B" w:rsidRDefault="008442B0" w:rsidP="003A49A6">
            <w:pPr>
              <w:spacing w:after="120"/>
              <w:rPr>
                <w:rFonts w:ascii="Arial" w:hAnsi="Arial" w:cs="Arial"/>
                <w:b/>
                <w:sz w:val="20"/>
                <w:szCs w:val="20"/>
              </w:rPr>
            </w:pPr>
          </w:p>
        </w:tc>
        <w:tc>
          <w:tcPr>
            <w:tcW w:w="567" w:type="dxa"/>
          </w:tcPr>
          <w:p w14:paraId="2D9504A5" w14:textId="11A0E39E" w:rsidR="008442B0" w:rsidRPr="006F3C3B" w:rsidRDefault="008442B0" w:rsidP="003A49A6">
            <w:pPr>
              <w:spacing w:after="120"/>
              <w:rPr>
                <w:rFonts w:ascii="Arial" w:hAnsi="Arial" w:cs="Arial"/>
                <w:b/>
                <w:sz w:val="20"/>
                <w:szCs w:val="20"/>
              </w:rPr>
            </w:pPr>
          </w:p>
        </w:tc>
        <w:tc>
          <w:tcPr>
            <w:tcW w:w="567" w:type="dxa"/>
          </w:tcPr>
          <w:p w14:paraId="48E000BD" w14:textId="322CA184"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3AF42785" w14:textId="753D0563" w:rsidR="008442B0"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5489217C" w14:textId="7A3E168D"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2BD66F2F" w14:textId="1F32D8D2"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709" w:type="dxa"/>
          </w:tcPr>
          <w:p w14:paraId="5C742F72" w14:textId="7CB4BD3D" w:rsidR="008442B0" w:rsidRPr="006F3C3B" w:rsidRDefault="008442B0" w:rsidP="003A49A6">
            <w:pPr>
              <w:spacing w:after="120"/>
              <w:rPr>
                <w:rFonts w:ascii="Arial" w:hAnsi="Arial" w:cs="Arial"/>
                <w:b/>
                <w:sz w:val="20"/>
                <w:szCs w:val="20"/>
              </w:rPr>
            </w:pPr>
            <w:r>
              <w:rPr>
                <w:rFonts w:ascii="Arial" w:hAnsi="Arial" w:cs="Arial"/>
                <w:b/>
                <w:sz w:val="20"/>
                <w:szCs w:val="20"/>
              </w:rPr>
              <w:t>x</w:t>
            </w:r>
          </w:p>
        </w:tc>
        <w:tc>
          <w:tcPr>
            <w:tcW w:w="567" w:type="dxa"/>
          </w:tcPr>
          <w:p w14:paraId="3E5CBD19" w14:textId="38C93EB6" w:rsidR="008442B0" w:rsidRPr="006F3C3B" w:rsidRDefault="008442B0" w:rsidP="003A49A6">
            <w:pPr>
              <w:spacing w:after="120"/>
              <w:rPr>
                <w:rFonts w:ascii="Arial" w:hAnsi="Arial" w:cs="Arial"/>
                <w:b/>
                <w:sz w:val="20"/>
                <w:szCs w:val="20"/>
              </w:rPr>
            </w:pPr>
            <w:r>
              <w:rPr>
                <w:rFonts w:ascii="Arial" w:hAnsi="Arial" w:cs="Arial"/>
                <w:b/>
                <w:sz w:val="20"/>
                <w:szCs w:val="20"/>
              </w:rPr>
              <w:t>x</w:t>
            </w:r>
          </w:p>
        </w:tc>
      </w:tr>
    </w:tbl>
    <w:p w14:paraId="09637992" w14:textId="6234FA4C" w:rsidR="007D31B5" w:rsidRDefault="007D31B5" w:rsidP="007D31B5">
      <w:pPr>
        <w:spacing w:after="120" w:line="240" w:lineRule="auto"/>
        <w:ind w:left="426" w:right="260"/>
        <w:rPr>
          <w:rFonts w:ascii="Arial" w:hAnsi="Arial" w:cs="Arial"/>
          <w:b/>
          <w:iCs/>
        </w:rPr>
      </w:pPr>
    </w:p>
    <w:p w14:paraId="619D3A57" w14:textId="77777777" w:rsidR="004C0F05" w:rsidRDefault="004C0F05" w:rsidP="007D31B5">
      <w:pPr>
        <w:spacing w:after="120" w:line="240" w:lineRule="auto"/>
        <w:ind w:left="426" w:right="260"/>
        <w:rPr>
          <w:rFonts w:ascii="Arial" w:hAnsi="Arial" w:cs="Arial"/>
          <w:b/>
          <w:iCs/>
        </w:rPr>
      </w:pPr>
    </w:p>
    <w:p w14:paraId="6961BD78" w14:textId="77777777" w:rsidR="00DA7AA8" w:rsidRPr="00DA7AA8" w:rsidRDefault="00883204" w:rsidP="00860DA8">
      <w:pPr>
        <w:numPr>
          <w:ilvl w:val="0"/>
          <w:numId w:val="1"/>
        </w:numPr>
        <w:spacing w:after="120" w:line="240" w:lineRule="auto"/>
        <w:ind w:left="502" w:right="260" w:hanging="720"/>
        <w:jc w:val="both"/>
        <w:rPr>
          <w:rFonts w:ascii="Arial" w:hAnsi="Arial" w:cs="Arial"/>
          <w:iCs/>
        </w:rPr>
      </w:pPr>
      <w:r w:rsidRPr="00DA7AA8">
        <w:rPr>
          <w:rFonts w:ascii="Arial" w:hAnsi="Arial" w:cs="Arial"/>
          <w:b/>
          <w:bCs/>
        </w:rPr>
        <w:t xml:space="preserve">Inclusive module design </w:t>
      </w:r>
    </w:p>
    <w:p w14:paraId="04D82D88" w14:textId="66C68824" w:rsidR="005F7468" w:rsidRPr="00DA7AA8" w:rsidRDefault="00883204" w:rsidP="00DA7AA8">
      <w:pPr>
        <w:spacing w:after="120" w:line="240" w:lineRule="auto"/>
        <w:ind w:left="502" w:right="260"/>
        <w:jc w:val="both"/>
        <w:rPr>
          <w:rFonts w:ascii="Arial" w:hAnsi="Arial" w:cs="Arial"/>
          <w:iCs/>
        </w:rPr>
      </w:pPr>
      <w:r w:rsidRPr="00DA7AA8">
        <w:rPr>
          <w:rFonts w:ascii="Arial" w:hAnsi="Arial" w:cs="Arial"/>
        </w:rPr>
        <w:t xml:space="preserve">The </w:t>
      </w:r>
      <w:r w:rsidR="005F7468" w:rsidRPr="00DA7AA8">
        <w:rPr>
          <w:rFonts w:ascii="Arial" w:hAnsi="Arial" w:cs="Arial"/>
        </w:rPr>
        <w:t>Centre</w:t>
      </w:r>
      <w:r w:rsidR="006F3C3B" w:rsidRPr="00DA7AA8">
        <w:rPr>
          <w:rFonts w:ascii="Arial" w:hAnsi="Arial" w:cs="Arial"/>
        </w:rPr>
        <w:t xml:space="preserve"> </w:t>
      </w:r>
      <w:r w:rsidRPr="00DA7AA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DA4AAE" w14:textId="77777777" w:rsidR="005F7468" w:rsidRDefault="00883204" w:rsidP="005F7468">
      <w:pPr>
        <w:spacing w:after="120" w:line="240" w:lineRule="auto"/>
        <w:ind w:left="502" w:right="260"/>
        <w:jc w:val="both"/>
        <w:rPr>
          <w:rFonts w:ascii="Arial" w:hAnsi="Arial" w:cs="Arial"/>
          <w:iCs/>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52FE44" w14:textId="77777777" w:rsidR="005F7468" w:rsidRDefault="00883204" w:rsidP="005F7468">
      <w:pPr>
        <w:spacing w:after="120" w:line="240" w:lineRule="auto"/>
        <w:ind w:left="502" w:right="260"/>
        <w:jc w:val="both"/>
        <w:rPr>
          <w:rFonts w:ascii="Arial" w:hAnsi="Arial" w:cs="Arial"/>
          <w:iCs/>
        </w:rPr>
      </w:pPr>
      <w:r w:rsidRPr="00D50113">
        <w:rPr>
          <w:rFonts w:ascii="Arial" w:hAnsi="Arial" w:cs="Arial"/>
        </w:rPr>
        <w:t xml:space="preserve">a) </w:t>
      </w:r>
      <w:r w:rsidRPr="00D50113">
        <w:rPr>
          <w:rFonts w:ascii="Arial" w:hAnsi="Arial" w:cs="Arial"/>
          <w:bCs/>
        </w:rPr>
        <w:t>Accessible resources and curriculum</w:t>
      </w:r>
    </w:p>
    <w:p w14:paraId="68BF064C" w14:textId="258206FE" w:rsidR="00096DA4" w:rsidRPr="005F7468" w:rsidRDefault="00883204" w:rsidP="005F7468">
      <w:pPr>
        <w:spacing w:after="120" w:line="240" w:lineRule="auto"/>
        <w:ind w:left="502" w:right="260"/>
        <w:jc w:val="both"/>
        <w:rPr>
          <w:rFonts w:ascii="Arial" w:hAnsi="Arial" w:cs="Arial"/>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8634990" w14:textId="102340EE" w:rsidR="005F7468" w:rsidRDefault="00C80710" w:rsidP="005F7468">
      <w:pPr>
        <w:numPr>
          <w:ilvl w:val="0"/>
          <w:numId w:val="1"/>
        </w:numPr>
        <w:spacing w:after="120" w:line="240" w:lineRule="auto"/>
        <w:ind w:right="260" w:hanging="720"/>
        <w:jc w:val="both"/>
        <w:rPr>
          <w:rFonts w:ascii="Arial" w:hAnsi="Arial" w:cs="Arial"/>
          <w:b/>
        </w:rPr>
      </w:pPr>
      <w:r>
        <w:rPr>
          <w:rFonts w:ascii="Arial" w:hAnsi="Arial" w:cs="Arial"/>
          <w:b/>
        </w:rPr>
        <w:t xml:space="preserve"> </w:t>
      </w:r>
      <w:r w:rsidR="00883204">
        <w:rPr>
          <w:rFonts w:ascii="Arial" w:hAnsi="Arial" w:cs="Arial"/>
          <w:b/>
        </w:rPr>
        <w:t>Campus(</w:t>
      </w:r>
      <w:proofErr w:type="spellStart"/>
      <w:r w:rsidR="00883204">
        <w:rPr>
          <w:rFonts w:ascii="Arial" w:hAnsi="Arial" w:cs="Arial"/>
          <w:b/>
        </w:rPr>
        <w:t>es</w:t>
      </w:r>
      <w:proofErr w:type="spellEnd"/>
      <w:r w:rsidR="00883204">
        <w:rPr>
          <w:rFonts w:ascii="Arial" w:hAnsi="Arial" w:cs="Arial"/>
          <w:b/>
        </w:rPr>
        <w:t>) or c</w:t>
      </w:r>
      <w:r w:rsidR="009A2D37" w:rsidRPr="00302082">
        <w:rPr>
          <w:rFonts w:ascii="Arial" w:hAnsi="Arial" w:cs="Arial"/>
          <w:b/>
        </w:rPr>
        <w:t>entre(s)</w:t>
      </w:r>
      <w:r w:rsidR="00883204">
        <w:rPr>
          <w:rFonts w:ascii="Arial" w:hAnsi="Arial" w:cs="Arial"/>
          <w:b/>
        </w:rPr>
        <w:t xml:space="preserve"> where module will be delivered</w:t>
      </w:r>
    </w:p>
    <w:p w14:paraId="7A758B4C" w14:textId="03AE4502" w:rsidR="009A2D37" w:rsidRPr="005F7468" w:rsidRDefault="00256CE3" w:rsidP="005F7468">
      <w:pPr>
        <w:spacing w:after="120" w:line="240" w:lineRule="auto"/>
        <w:ind w:left="502" w:right="260"/>
        <w:jc w:val="both"/>
        <w:rPr>
          <w:rFonts w:ascii="Arial" w:hAnsi="Arial" w:cs="Arial"/>
          <w:b/>
        </w:rPr>
      </w:pPr>
      <w:r>
        <w:rPr>
          <w:rFonts w:ascii="Arial" w:hAnsi="Arial" w:cs="Arial"/>
        </w:rPr>
        <w:t>Distance</w:t>
      </w:r>
    </w:p>
    <w:p w14:paraId="78AC4B93" w14:textId="77777777" w:rsidR="005F7468" w:rsidRDefault="00883204" w:rsidP="00EA513E">
      <w:pPr>
        <w:numPr>
          <w:ilvl w:val="0"/>
          <w:numId w:val="1"/>
        </w:numPr>
        <w:spacing w:after="120" w:line="240" w:lineRule="auto"/>
        <w:ind w:right="261" w:hanging="720"/>
        <w:jc w:val="both"/>
        <w:rPr>
          <w:rFonts w:ascii="Arial" w:hAnsi="Arial" w:cs="Arial"/>
          <w:b/>
        </w:rPr>
      </w:pPr>
      <w:r w:rsidRPr="002A7F48">
        <w:rPr>
          <w:rFonts w:ascii="Arial" w:hAnsi="Arial" w:cs="Arial"/>
          <w:b/>
        </w:rPr>
        <w:t xml:space="preserve">Internationalisation </w:t>
      </w:r>
    </w:p>
    <w:p w14:paraId="2A3BFF0F" w14:textId="38102631" w:rsidR="007D0575" w:rsidRPr="00027074" w:rsidRDefault="008F721B" w:rsidP="00027074">
      <w:pPr>
        <w:spacing w:after="120" w:line="240" w:lineRule="auto"/>
        <w:ind w:left="502" w:right="261"/>
        <w:jc w:val="both"/>
        <w:rPr>
          <w:rFonts w:ascii="Arial" w:hAnsi="Arial" w:cs="Arial"/>
          <w:b/>
        </w:rPr>
      </w:pPr>
      <w:r w:rsidRPr="00956C6D">
        <w:rPr>
          <w:rFonts w:ascii="Arial" w:hAnsi="Arial" w:cs="Arial"/>
        </w:rPr>
        <w:t>The principles that govern the feasibility of construction projects and the estimating of costs</w:t>
      </w:r>
      <w:r w:rsidR="00956C6D">
        <w:rPr>
          <w:rFonts w:ascii="Arial" w:hAnsi="Arial" w:cs="Arial"/>
        </w:rPr>
        <w:t>,</w:t>
      </w:r>
      <w:r w:rsidRPr="00956C6D">
        <w:rPr>
          <w:rFonts w:ascii="Arial" w:hAnsi="Arial" w:cs="Arial"/>
        </w:rPr>
        <w:t xml:space="preserve"> including potential risk factors is common practice within the construction industry and</w:t>
      </w:r>
      <w:r w:rsidR="0030517E">
        <w:rPr>
          <w:rFonts w:ascii="Arial" w:hAnsi="Arial" w:cs="Arial"/>
        </w:rPr>
        <w:t>,</w:t>
      </w:r>
      <w:r w:rsidRPr="00956C6D">
        <w:rPr>
          <w:rFonts w:ascii="Arial" w:hAnsi="Arial" w:cs="Arial"/>
        </w:rPr>
        <w:t xml:space="preserve"> therefore</w:t>
      </w:r>
      <w:r w:rsidR="0030517E">
        <w:rPr>
          <w:rFonts w:ascii="Arial" w:hAnsi="Arial" w:cs="Arial"/>
        </w:rPr>
        <w:t>,</w:t>
      </w:r>
      <w:r w:rsidRPr="00956C6D">
        <w:rPr>
          <w:rFonts w:ascii="Arial" w:hAnsi="Arial" w:cs="Arial"/>
        </w:rPr>
        <w:t xml:space="preserve"> </w:t>
      </w:r>
      <w:r w:rsidR="00956C6D">
        <w:rPr>
          <w:rFonts w:ascii="Arial" w:hAnsi="Arial" w:cs="Arial"/>
        </w:rPr>
        <w:t>has</w:t>
      </w:r>
      <w:r w:rsidRPr="00956C6D">
        <w:rPr>
          <w:rFonts w:ascii="Arial" w:hAnsi="Arial" w:cs="Arial"/>
        </w:rPr>
        <w:t xml:space="preserve"> embedded transferable skills that are applicable to international contexts.</w:t>
      </w: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16A26880" w:rsidR="00870B98" w:rsidRPr="00302082" w:rsidRDefault="003A49A6" w:rsidP="00870B98">
            <w:pPr>
              <w:spacing w:after="120"/>
              <w:ind w:right="-330"/>
              <w:rPr>
                <w:rFonts w:ascii="Arial" w:hAnsi="Arial" w:cs="Arial"/>
              </w:rPr>
            </w:pPr>
            <w:r>
              <w:rPr>
                <w:rFonts w:ascii="Arial" w:hAnsi="Arial" w:cs="Arial"/>
              </w:rPr>
              <w:t xml:space="preserve"> </w:t>
            </w:r>
            <w:r w:rsidR="00094105">
              <w:rPr>
                <w:rFonts w:ascii="Arial" w:hAnsi="Arial" w:cs="Arial"/>
              </w:rPr>
              <w:t>23 Jan 19</w:t>
            </w:r>
          </w:p>
        </w:tc>
        <w:tc>
          <w:tcPr>
            <w:tcW w:w="1701" w:type="dxa"/>
          </w:tcPr>
          <w:p w14:paraId="01801C46" w14:textId="77B2B8D2" w:rsidR="00870B98" w:rsidRPr="00302082" w:rsidRDefault="00094105" w:rsidP="00870B98">
            <w:pPr>
              <w:spacing w:after="120"/>
              <w:ind w:right="-330"/>
              <w:rPr>
                <w:rFonts w:ascii="Arial" w:hAnsi="Arial" w:cs="Arial"/>
              </w:rPr>
            </w:pPr>
            <w:r>
              <w:rPr>
                <w:rFonts w:ascii="Arial" w:hAnsi="Arial" w:cs="Arial"/>
              </w:rPr>
              <w:t>New</w:t>
            </w:r>
          </w:p>
        </w:tc>
        <w:tc>
          <w:tcPr>
            <w:tcW w:w="2410" w:type="dxa"/>
          </w:tcPr>
          <w:p w14:paraId="2AC94CCC" w14:textId="70FAD863" w:rsidR="00870B98" w:rsidRPr="00302082" w:rsidRDefault="00094105" w:rsidP="00870B98">
            <w:pPr>
              <w:spacing w:after="120"/>
              <w:ind w:right="-330"/>
              <w:rPr>
                <w:rFonts w:ascii="Arial" w:hAnsi="Arial" w:cs="Arial"/>
              </w:rPr>
            </w:pPr>
            <w:r>
              <w:rPr>
                <w:rFonts w:ascii="Arial" w:hAnsi="Arial" w:cs="Arial"/>
              </w:rPr>
              <w:t>Sept 19</w:t>
            </w:r>
          </w:p>
        </w:tc>
        <w:tc>
          <w:tcPr>
            <w:tcW w:w="2448" w:type="dxa"/>
          </w:tcPr>
          <w:p w14:paraId="0793FDC3" w14:textId="0BFCF13A" w:rsidR="00870B98" w:rsidRPr="00302082" w:rsidRDefault="00094105"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395876F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CC5E" w14:textId="77777777" w:rsidR="0061595B" w:rsidRDefault="0061595B" w:rsidP="009A2D37">
      <w:pPr>
        <w:spacing w:after="0" w:line="240" w:lineRule="auto"/>
      </w:pPr>
      <w:r>
        <w:separator/>
      </w:r>
    </w:p>
  </w:endnote>
  <w:endnote w:type="continuationSeparator" w:id="0">
    <w:p w14:paraId="6D547C72" w14:textId="77777777" w:rsidR="0061595B" w:rsidRDefault="0061595B" w:rsidP="009A2D37">
      <w:pPr>
        <w:spacing w:after="0" w:line="240" w:lineRule="auto"/>
      </w:pPr>
      <w:r>
        <w:continuationSeparator/>
      </w:r>
    </w:p>
  </w:endnote>
  <w:endnote w:type="continuationNotice" w:id="1">
    <w:p w14:paraId="26D51EF0" w14:textId="77777777" w:rsidR="0061595B" w:rsidRDefault="00615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76F54C86" w:rsidR="008B2543" w:rsidRDefault="0019787E" w:rsidP="009A2D37">
        <w:pPr>
          <w:pStyle w:val="Footer"/>
          <w:jc w:val="center"/>
        </w:pPr>
        <w:r>
          <w:fldChar w:fldCharType="begin"/>
        </w:r>
        <w:r>
          <w:instrText xml:space="preserve"> PAGE   \* MERGEFORMAT </w:instrText>
        </w:r>
        <w:r>
          <w:fldChar w:fldCharType="separate"/>
        </w:r>
        <w:r w:rsidR="00631742">
          <w:rPr>
            <w:noProof/>
          </w:rPr>
          <w:t>3</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102F" w14:textId="77777777" w:rsidR="0061595B" w:rsidRDefault="0061595B" w:rsidP="009A2D37">
      <w:pPr>
        <w:spacing w:after="0" w:line="240" w:lineRule="auto"/>
      </w:pPr>
      <w:r>
        <w:separator/>
      </w:r>
    </w:p>
  </w:footnote>
  <w:footnote w:type="continuationSeparator" w:id="0">
    <w:p w14:paraId="7A68DE03" w14:textId="77777777" w:rsidR="0061595B" w:rsidRDefault="0061595B" w:rsidP="009A2D37">
      <w:pPr>
        <w:spacing w:after="0" w:line="240" w:lineRule="auto"/>
      </w:pPr>
      <w:r>
        <w:continuationSeparator/>
      </w:r>
    </w:p>
  </w:footnote>
  <w:footnote w:type="continuationNotice" w:id="1">
    <w:p w14:paraId="171591C2" w14:textId="77777777" w:rsidR="0061595B" w:rsidRDefault="00615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F74E2A"/>
    <w:multiLevelType w:val="hybridMultilevel"/>
    <w:tmpl w:val="62EE9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A26F1"/>
    <w:multiLevelType w:val="multilevel"/>
    <w:tmpl w:val="4A4EE94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699E72A4"/>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021E7"/>
    <w:multiLevelType w:val="hybridMultilevel"/>
    <w:tmpl w:val="B21EB70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9C529C5"/>
    <w:multiLevelType w:val="hybridMultilevel"/>
    <w:tmpl w:val="C9AA07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D481C"/>
    <w:multiLevelType w:val="hybridMultilevel"/>
    <w:tmpl w:val="5A085AAA"/>
    <w:lvl w:ilvl="0" w:tplc="0809000F">
      <w:start w:val="1"/>
      <w:numFmt w:val="decimal"/>
      <w:lvlText w:val="%1."/>
      <w:lvlJc w:val="left"/>
      <w:pPr>
        <w:ind w:left="92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379E6FC6"/>
    <w:multiLevelType w:val="hybridMultilevel"/>
    <w:tmpl w:val="85209ED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020AD"/>
    <w:multiLevelType w:val="hybridMultilevel"/>
    <w:tmpl w:val="3B2C89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95F4E5D"/>
    <w:multiLevelType w:val="hybridMultilevel"/>
    <w:tmpl w:val="10945E16"/>
    <w:lvl w:ilvl="0" w:tplc="0809000F">
      <w:start w:val="1"/>
      <w:numFmt w:val="decimal"/>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11"/>
  </w:num>
  <w:num w:numId="5">
    <w:abstractNumId w:val="6"/>
  </w:num>
  <w:num w:numId="6">
    <w:abstractNumId w:val="12"/>
  </w:num>
  <w:num w:numId="7">
    <w:abstractNumId w:val="7"/>
  </w:num>
  <w:num w:numId="8">
    <w:abstractNumId w:val="4"/>
  </w:num>
  <w:num w:numId="9">
    <w:abstractNumId w:val="8"/>
  </w:num>
  <w:num w:numId="10">
    <w:abstractNumId w:val="10"/>
  </w:num>
  <w:num w:numId="11">
    <w:abstractNumId w:val="5"/>
  </w:num>
  <w:num w:numId="12">
    <w:abstractNumId w:val="1"/>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074"/>
    <w:rsid w:val="00027937"/>
    <w:rsid w:val="00030C9E"/>
    <w:rsid w:val="00031E67"/>
    <w:rsid w:val="00035E9A"/>
    <w:rsid w:val="00037B07"/>
    <w:rsid w:val="000408CC"/>
    <w:rsid w:val="00045373"/>
    <w:rsid w:val="000576D2"/>
    <w:rsid w:val="00060969"/>
    <w:rsid w:val="00060B6D"/>
    <w:rsid w:val="00063A2F"/>
    <w:rsid w:val="000671BD"/>
    <w:rsid w:val="000678D3"/>
    <w:rsid w:val="00070D8F"/>
    <w:rsid w:val="000901CF"/>
    <w:rsid w:val="00094105"/>
    <w:rsid w:val="00094810"/>
    <w:rsid w:val="00096DA4"/>
    <w:rsid w:val="000C0294"/>
    <w:rsid w:val="000C7A1C"/>
    <w:rsid w:val="000D2A8A"/>
    <w:rsid w:val="000D32AC"/>
    <w:rsid w:val="000E13B4"/>
    <w:rsid w:val="000E20C1"/>
    <w:rsid w:val="000E3B73"/>
    <w:rsid w:val="000E4E9F"/>
    <w:rsid w:val="000F62A6"/>
    <w:rsid w:val="000F6C56"/>
    <w:rsid w:val="000F7FBF"/>
    <w:rsid w:val="001058F1"/>
    <w:rsid w:val="00106BE5"/>
    <w:rsid w:val="00110947"/>
    <w:rsid w:val="00111906"/>
    <w:rsid w:val="00111CB3"/>
    <w:rsid w:val="00117577"/>
    <w:rsid w:val="00117793"/>
    <w:rsid w:val="001206E4"/>
    <w:rsid w:val="001214D3"/>
    <w:rsid w:val="00121BFC"/>
    <w:rsid w:val="00125923"/>
    <w:rsid w:val="001315E7"/>
    <w:rsid w:val="001402AD"/>
    <w:rsid w:val="001540CE"/>
    <w:rsid w:val="00154DB4"/>
    <w:rsid w:val="0015717B"/>
    <w:rsid w:val="00157ACA"/>
    <w:rsid w:val="00160420"/>
    <w:rsid w:val="00160427"/>
    <w:rsid w:val="00162D46"/>
    <w:rsid w:val="00167B0A"/>
    <w:rsid w:val="00172793"/>
    <w:rsid w:val="0017658F"/>
    <w:rsid w:val="00180558"/>
    <w:rsid w:val="001811E5"/>
    <w:rsid w:val="00183B34"/>
    <w:rsid w:val="00185F46"/>
    <w:rsid w:val="00186F37"/>
    <w:rsid w:val="00187ACA"/>
    <w:rsid w:val="001950BD"/>
    <w:rsid w:val="00196C6A"/>
    <w:rsid w:val="0019787E"/>
    <w:rsid w:val="001A425B"/>
    <w:rsid w:val="001B1B28"/>
    <w:rsid w:val="001B27FB"/>
    <w:rsid w:val="001C4A85"/>
    <w:rsid w:val="001C5443"/>
    <w:rsid w:val="001D0C7D"/>
    <w:rsid w:val="001D1F2D"/>
    <w:rsid w:val="001D2314"/>
    <w:rsid w:val="001D234C"/>
    <w:rsid w:val="001D6398"/>
    <w:rsid w:val="001E0B5A"/>
    <w:rsid w:val="001E1F45"/>
    <w:rsid w:val="001E62C1"/>
    <w:rsid w:val="001F0779"/>
    <w:rsid w:val="001F3C3E"/>
    <w:rsid w:val="001F4327"/>
    <w:rsid w:val="001F4ECC"/>
    <w:rsid w:val="00201C5F"/>
    <w:rsid w:val="0020243A"/>
    <w:rsid w:val="00203BD1"/>
    <w:rsid w:val="0021578E"/>
    <w:rsid w:val="00223470"/>
    <w:rsid w:val="002273C4"/>
    <w:rsid w:val="00227582"/>
    <w:rsid w:val="002308BE"/>
    <w:rsid w:val="00236D30"/>
    <w:rsid w:val="002407C0"/>
    <w:rsid w:val="002461AF"/>
    <w:rsid w:val="002465A1"/>
    <w:rsid w:val="00247A33"/>
    <w:rsid w:val="00252320"/>
    <w:rsid w:val="00253710"/>
    <w:rsid w:val="00256CE3"/>
    <w:rsid w:val="00264576"/>
    <w:rsid w:val="0026585A"/>
    <w:rsid w:val="00266735"/>
    <w:rsid w:val="002718D6"/>
    <w:rsid w:val="00271BA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C4884"/>
    <w:rsid w:val="002E034A"/>
    <w:rsid w:val="002E6B83"/>
    <w:rsid w:val="002E71C0"/>
    <w:rsid w:val="002F05F4"/>
    <w:rsid w:val="002F0CE4"/>
    <w:rsid w:val="002F23EF"/>
    <w:rsid w:val="002F2626"/>
    <w:rsid w:val="0030207E"/>
    <w:rsid w:val="00302082"/>
    <w:rsid w:val="0030517E"/>
    <w:rsid w:val="00306620"/>
    <w:rsid w:val="00307F82"/>
    <w:rsid w:val="003144D2"/>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BC6"/>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309"/>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1D80"/>
    <w:rsid w:val="00420BC4"/>
    <w:rsid w:val="00422B69"/>
    <w:rsid w:val="00423D86"/>
    <w:rsid w:val="00424C90"/>
    <w:rsid w:val="0042539F"/>
    <w:rsid w:val="00425BD1"/>
    <w:rsid w:val="00436BE9"/>
    <w:rsid w:val="00441E76"/>
    <w:rsid w:val="004443DA"/>
    <w:rsid w:val="00446A75"/>
    <w:rsid w:val="004474A2"/>
    <w:rsid w:val="0045662C"/>
    <w:rsid w:val="00457846"/>
    <w:rsid w:val="00460925"/>
    <w:rsid w:val="00461ED1"/>
    <w:rsid w:val="00471C6C"/>
    <w:rsid w:val="00472023"/>
    <w:rsid w:val="00473B92"/>
    <w:rsid w:val="0047438C"/>
    <w:rsid w:val="00486993"/>
    <w:rsid w:val="00492DA4"/>
    <w:rsid w:val="00495986"/>
    <w:rsid w:val="00496620"/>
    <w:rsid w:val="00496AA3"/>
    <w:rsid w:val="00497C98"/>
    <w:rsid w:val="004A0A6C"/>
    <w:rsid w:val="004A1D8B"/>
    <w:rsid w:val="004A326C"/>
    <w:rsid w:val="004A39D7"/>
    <w:rsid w:val="004A55FA"/>
    <w:rsid w:val="004B5D03"/>
    <w:rsid w:val="004C0F05"/>
    <w:rsid w:val="004C1EC4"/>
    <w:rsid w:val="004C7B3F"/>
    <w:rsid w:val="004D035C"/>
    <w:rsid w:val="004E59D8"/>
    <w:rsid w:val="004F2295"/>
    <w:rsid w:val="004F3C18"/>
    <w:rsid w:val="004F4328"/>
    <w:rsid w:val="004F4C65"/>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27AF"/>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4AD1"/>
    <w:rsid w:val="005A65FB"/>
    <w:rsid w:val="005B5A98"/>
    <w:rsid w:val="005B6834"/>
    <w:rsid w:val="005C1A4F"/>
    <w:rsid w:val="005C27D7"/>
    <w:rsid w:val="005D7CD0"/>
    <w:rsid w:val="005E1A3A"/>
    <w:rsid w:val="005E3B0B"/>
    <w:rsid w:val="005E6ADC"/>
    <w:rsid w:val="005E6D10"/>
    <w:rsid w:val="005E6D38"/>
    <w:rsid w:val="005E7B3F"/>
    <w:rsid w:val="005F040F"/>
    <w:rsid w:val="005F2C42"/>
    <w:rsid w:val="005F7468"/>
    <w:rsid w:val="00602998"/>
    <w:rsid w:val="006043FC"/>
    <w:rsid w:val="006050CF"/>
    <w:rsid w:val="00612B9D"/>
    <w:rsid w:val="006139A2"/>
    <w:rsid w:val="006148E2"/>
    <w:rsid w:val="0061595B"/>
    <w:rsid w:val="00615DBA"/>
    <w:rsid w:val="00616CCA"/>
    <w:rsid w:val="0061707D"/>
    <w:rsid w:val="006253AA"/>
    <w:rsid w:val="00625717"/>
    <w:rsid w:val="00625C8A"/>
    <w:rsid w:val="00626023"/>
    <w:rsid w:val="00631742"/>
    <w:rsid w:val="00633150"/>
    <w:rsid w:val="00633DAA"/>
    <w:rsid w:val="00637A50"/>
    <w:rsid w:val="00641308"/>
    <w:rsid w:val="00641D6D"/>
    <w:rsid w:val="0064364E"/>
    <w:rsid w:val="006438F3"/>
    <w:rsid w:val="00645CBF"/>
    <w:rsid w:val="00647907"/>
    <w:rsid w:val="00651A82"/>
    <w:rsid w:val="006525E9"/>
    <w:rsid w:val="0065374E"/>
    <w:rsid w:val="0065564A"/>
    <w:rsid w:val="0065595C"/>
    <w:rsid w:val="00660AEE"/>
    <w:rsid w:val="00660EDE"/>
    <w:rsid w:val="0066251A"/>
    <w:rsid w:val="0066499F"/>
    <w:rsid w:val="00664A6D"/>
    <w:rsid w:val="0066747B"/>
    <w:rsid w:val="006725EC"/>
    <w:rsid w:val="00674ED0"/>
    <w:rsid w:val="00682650"/>
    <w:rsid w:val="006828F1"/>
    <w:rsid w:val="00683609"/>
    <w:rsid w:val="00684851"/>
    <w:rsid w:val="006851AA"/>
    <w:rsid w:val="00692A1C"/>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40DCF"/>
    <w:rsid w:val="00742094"/>
    <w:rsid w:val="0075056F"/>
    <w:rsid w:val="00754069"/>
    <w:rsid w:val="007566EB"/>
    <w:rsid w:val="00764F9E"/>
    <w:rsid w:val="007667DF"/>
    <w:rsid w:val="0077080B"/>
    <w:rsid w:val="00787070"/>
    <w:rsid w:val="007906FD"/>
    <w:rsid w:val="00790E5C"/>
    <w:rsid w:val="00797197"/>
    <w:rsid w:val="007972A7"/>
    <w:rsid w:val="007A2BA2"/>
    <w:rsid w:val="007A6245"/>
    <w:rsid w:val="007B1DB2"/>
    <w:rsid w:val="007B375B"/>
    <w:rsid w:val="007B412A"/>
    <w:rsid w:val="007B635E"/>
    <w:rsid w:val="007B7724"/>
    <w:rsid w:val="007B7CDC"/>
    <w:rsid w:val="007C74B4"/>
    <w:rsid w:val="007C7D19"/>
    <w:rsid w:val="007D0575"/>
    <w:rsid w:val="007D1E13"/>
    <w:rsid w:val="007D31B5"/>
    <w:rsid w:val="007D60A4"/>
    <w:rsid w:val="007D7F05"/>
    <w:rsid w:val="007E3412"/>
    <w:rsid w:val="007F393D"/>
    <w:rsid w:val="007F4B06"/>
    <w:rsid w:val="008029AF"/>
    <w:rsid w:val="00802FFA"/>
    <w:rsid w:val="00805F05"/>
    <w:rsid w:val="008102E5"/>
    <w:rsid w:val="008111B4"/>
    <w:rsid w:val="008133F0"/>
    <w:rsid w:val="00815880"/>
    <w:rsid w:val="0082322C"/>
    <w:rsid w:val="00823942"/>
    <w:rsid w:val="00827FFD"/>
    <w:rsid w:val="0083074C"/>
    <w:rsid w:val="00835FA6"/>
    <w:rsid w:val="008431F4"/>
    <w:rsid w:val="008442B0"/>
    <w:rsid w:val="00852E7F"/>
    <w:rsid w:val="00854535"/>
    <w:rsid w:val="00856EB3"/>
    <w:rsid w:val="0086111E"/>
    <w:rsid w:val="00863C96"/>
    <w:rsid w:val="00864A72"/>
    <w:rsid w:val="00870B98"/>
    <w:rsid w:val="00873E9F"/>
    <w:rsid w:val="00874047"/>
    <w:rsid w:val="008778CB"/>
    <w:rsid w:val="00881545"/>
    <w:rsid w:val="00883204"/>
    <w:rsid w:val="00883A3E"/>
    <w:rsid w:val="00886B09"/>
    <w:rsid w:val="0089148D"/>
    <w:rsid w:val="00891E0D"/>
    <w:rsid w:val="008A0A89"/>
    <w:rsid w:val="008A0F36"/>
    <w:rsid w:val="008B2543"/>
    <w:rsid w:val="008B4B6E"/>
    <w:rsid w:val="008C34BC"/>
    <w:rsid w:val="008D16B0"/>
    <w:rsid w:val="008D6559"/>
    <w:rsid w:val="008D7401"/>
    <w:rsid w:val="008F721B"/>
    <w:rsid w:val="00903DF6"/>
    <w:rsid w:val="00904E80"/>
    <w:rsid w:val="00905D25"/>
    <w:rsid w:val="00921CF6"/>
    <w:rsid w:val="00922E9E"/>
    <w:rsid w:val="00924EF0"/>
    <w:rsid w:val="00930AE6"/>
    <w:rsid w:val="00934D7B"/>
    <w:rsid w:val="00947180"/>
    <w:rsid w:val="00951173"/>
    <w:rsid w:val="0095522D"/>
    <w:rsid w:val="009567BE"/>
    <w:rsid w:val="00956C6D"/>
    <w:rsid w:val="009608AE"/>
    <w:rsid w:val="009676FA"/>
    <w:rsid w:val="009679E0"/>
    <w:rsid w:val="00977632"/>
    <w:rsid w:val="00982A8E"/>
    <w:rsid w:val="00987DB4"/>
    <w:rsid w:val="0099029D"/>
    <w:rsid w:val="00996204"/>
    <w:rsid w:val="009A26CB"/>
    <w:rsid w:val="009A2BC2"/>
    <w:rsid w:val="009A2D37"/>
    <w:rsid w:val="009A72DC"/>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35B56"/>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3DE5"/>
    <w:rsid w:val="00AA5011"/>
    <w:rsid w:val="00AA6330"/>
    <w:rsid w:val="00AC7501"/>
    <w:rsid w:val="00AD3BFA"/>
    <w:rsid w:val="00AD4478"/>
    <w:rsid w:val="00AD748B"/>
    <w:rsid w:val="00AE4403"/>
    <w:rsid w:val="00AE4865"/>
    <w:rsid w:val="00AF50EE"/>
    <w:rsid w:val="00B0591D"/>
    <w:rsid w:val="00B0667B"/>
    <w:rsid w:val="00B10FA2"/>
    <w:rsid w:val="00B13402"/>
    <w:rsid w:val="00B1435C"/>
    <w:rsid w:val="00B14BC2"/>
    <w:rsid w:val="00B16E63"/>
    <w:rsid w:val="00B17024"/>
    <w:rsid w:val="00B17CD2"/>
    <w:rsid w:val="00B213D2"/>
    <w:rsid w:val="00B248BA"/>
    <w:rsid w:val="00B24B56"/>
    <w:rsid w:val="00B30E07"/>
    <w:rsid w:val="00B32AD9"/>
    <w:rsid w:val="00B34ADD"/>
    <w:rsid w:val="00B407EB"/>
    <w:rsid w:val="00B52FF5"/>
    <w:rsid w:val="00B5498B"/>
    <w:rsid w:val="00B57219"/>
    <w:rsid w:val="00B658A3"/>
    <w:rsid w:val="00B66A47"/>
    <w:rsid w:val="00B719C5"/>
    <w:rsid w:val="00B746A8"/>
    <w:rsid w:val="00B7664D"/>
    <w:rsid w:val="00B773D1"/>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1EB0"/>
    <w:rsid w:val="00BC41ED"/>
    <w:rsid w:val="00BD009E"/>
    <w:rsid w:val="00BD0EF8"/>
    <w:rsid w:val="00BD1FA3"/>
    <w:rsid w:val="00BD7A8C"/>
    <w:rsid w:val="00BE2126"/>
    <w:rsid w:val="00BE3B17"/>
    <w:rsid w:val="00BE4471"/>
    <w:rsid w:val="00BF51AB"/>
    <w:rsid w:val="00BF716B"/>
    <w:rsid w:val="00BF7233"/>
    <w:rsid w:val="00C02AA2"/>
    <w:rsid w:val="00C03858"/>
    <w:rsid w:val="00C04C95"/>
    <w:rsid w:val="00C109B6"/>
    <w:rsid w:val="00C10E5D"/>
    <w:rsid w:val="00C12613"/>
    <w:rsid w:val="00C16DEF"/>
    <w:rsid w:val="00C21243"/>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0710"/>
    <w:rsid w:val="00C80A3C"/>
    <w:rsid w:val="00C83354"/>
    <w:rsid w:val="00C84004"/>
    <w:rsid w:val="00C843F6"/>
    <w:rsid w:val="00C84507"/>
    <w:rsid w:val="00C862C7"/>
    <w:rsid w:val="00C90065"/>
    <w:rsid w:val="00C911ED"/>
    <w:rsid w:val="00C920F1"/>
    <w:rsid w:val="00C92A46"/>
    <w:rsid w:val="00C92DD0"/>
    <w:rsid w:val="00C933D7"/>
    <w:rsid w:val="00CA3254"/>
    <w:rsid w:val="00CA570D"/>
    <w:rsid w:val="00CA7D2D"/>
    <w:rsid w:val="00CB11CE"/>
    <w:rsid w:val="00CC00D1"/>
    <w:rsid w:val="00CC25A2"/>
    <w:rsid w:val="00CC59BD"/>
    <w:rsid w:val="00CD5DF8"/>
    <w:rsid w:val="00CD7F07"/>
    <w:rsid w:val="00CE04F3"/>
    <w:rsid w:val="00CE0F68"/>
    <w:rsid w:val="00CE12D8"/>
    <w:rsid w:val="00CE4574"/>
    <w:rsid w:val="00CE70E6"/>
    <w:rsid w:val="00CF2E1E"/>
    <w:rsid w:val="00CF3296"/>
    <w:rsid w:val="00D02E99"/>
    <w:rsid w:val="00D11C01"/>
    <w:rsid w:val="00D13357"/>
    <w:rsid w:val="00D13A13"/>
    <w:rsid w:val="00D236DC"/>
    <w:rsid w:val="00D2689A"/>
    <w:rsid w:val="00D342C0"/>
    <w:rsid w:val="00D44AEB"/>
    <w:rsid w:val="00D646DC"/>
    <w:rsid w:val="00D65506"/>
    <w:rsid w:val="00D773CF"/>
    <w:rsid w:val="00D83563"/>
    <w:rsid w:val="00D8448F"/>
    <w:rsid w:val="00D95553"/>
    <w:rsid w:val="00DA64B6"/>
    <w:rsid w:val="00DA7AA8"/>
    <w:rsid w:val="00DB5C9D"/>
    <w:rsid w:val="00DC18BF"/>
    <w:rsid w:val="00DD02E6"/>
    <w:rsid w:val="00DD54EF"/>
    <w:rsid w:val="00DE1E97"/>
    <w:rsid w:val="00DE712A"/>
    <w:rsid w:val="00DF665B"/>
    <w:rsid w:val="00E01481"/>
    <w:rsid w:val="00E0152A"/>
    <w:rsid w:val="00E03394"/>
    <w:rsid w:val="00E066E5"/>
    <w:rsid w:val="00E17E85"/>
    <w:rsid w:val="00E22AB9"/>
    <w:rsid w:val="00E22F03"/>
    <w:rsid w:val="00E233C1"/>
    <w:rsid w:val="00E40685"/>
    <w:rsid w:val="00E415E5"/>
    <w:rsid w:val="00E51404"/>
    <w:rsid w:val="00E574C9"/>
    <w:rsid w:val="00E610DE"/>
    <w:rsid w:val="00E66167"/>
    <w:rsid w:val="00E6746E"/>
    <w:rsid w:val="00E704B6"/>
    <w:rsid w:val="00E71F2F"/>
    <w:rsid w:val="00E77786"/>
    <w:rsid w:val="00E806FB"/>
    <w:rsid w:val="00E81493"/>
    <w:rsid w:val="00E83777"/>
    <w:rsid w:val="00E85992"/>
    <w:rsid w:val="00EA129D"/>
    <w:rsid w:val="00EA513E"/>
    <w:rsid w:val="00EB1C2D"/>
    <w:rsid w:val="00EC1810"/>
    <w:rsid w:val="00EC3FCC"/>
    <w:rsid w:val="00ED32FF"/>
    <w:rsid w:val="00EF039B"/>
    <w:rsid w:val="00EF4933"/>
    <w:rsid w:val="00EF5044"/>
    <w:rsid w:val="00F01956"/>
    <w:rsid w:val="00F01D8B"/>
    <w:rsid w:val="00F05D51"/>
    <w:rsid w:val="00F116CE"/>
    <w:rsid w:val="00F13107"/>
    <w:rsid w:val="00F176DE"/>
    <w:rsid w:val="00F2055B"/>
    <w:rsid w:val="00F21C47"/>
    <w:rsid w:val="00F244E2"/>
    <w:rsid w:val="00F33E2E"/>
    <w:rsid w:val="00F340DE"/>
    <w:rsid w:val="00F43542"/>
    <w:rsid w:val="00F44BAB"/>
    <w:rsid w:val="00F45C10"/>
    <w:rsid w:val="00F527CB"/>
    <w:rsid w:val="00F562AA"/>
    <w:rsid w:val="00F57E65"/>
    <w:rsid w:val="00F64E58"/>
    <w:rsid w:val="00F65EE9"/>
    <w:rsid w:val="00F66975"/>
    <w:rsid w:val="00F7105A"/>
    <w:rsid w:val="00F712EB"/>
    <w:rsid w:val="00F760B5"/>
    <w:rsid w:val="00F7710E"/>
    <w:rsid w:val="00F77676"/>
    <w:rsid w:val="00F8197C"/>
    <w:rsid w:val="00F82B4E"/>
    <w:rsid w:val="00F836EF"/>
    <w:rsid w:val="00F859E1"/>
    <w:rsid w:val="00F87559"/>
    <w:rsid w:val="00F96D71"/>
    <w:rsid w:val="00F970D6"/>
    <w:rsid w:val="00F97C9E"/>
    <w:rsid w:val="00FA20DE"/>
    <w:rsid w:val="00FA3BC7"/>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character" w:customStyle="1" w:styleId="apple-converted-space">
    <w:name w:val="apple-converted-space"/>
    <w:basedOn w:val="DefaultParagraphFont"/>
    <w:rsid w:val="0037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238783796">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1?ie=UTF8&amp;text=Martin+Brook&amp;search-alias=books-uk&amp;field-author=Martin+Brook&amp;sort=relevancer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BE8D-5627-4BC2-A1F4-B151226A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2015-09-09T08:37:00Z</cp:lastPrinted>
  <dcterms:created xsi:type="dcterms:W3CDTF">2019-02-26T13:51:00Z</dcterms:created>
  <dcterms:modified xsi:type="dcterms:W3CDTF">2019-02-26T13:51:00Z</dcterms:modified>
</cp:coreProperties>
</file>