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302082" w:rsidRDefault="00683609" w:rsidP="00683609">
      <w:pPr>
        <w:spacing w:after="0" w:line="240" w:lineRule="auto"/>
        <w:rPr>
          <w:rFonts w:ascii="Arial" w:hAnsi="Arial" w:cs="Arial"/>
        </w:rPr>
      </w:pP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FE48CA" w:rsidRPr="00302082" w:rsidRDefault="00800512" w:rsidP="00D50113">
      <w:pPr>
        <w:spacing w:after="120" w:line="240" w:lineRule="auto"/>
        <w:ind w:left="426" w:right="260"/>
        <w:jc w:val="both"/>
        <w:rPr>
          <w:rFonts w:ascii="Arial" w:hAnsi="Arial" w:cs="Arial"/>
        </w:rPr>
      </w:pPr>
      <w:bookmarkStart w:id="0" w:name="_GoBack"/>
      <w:bookmarkEnd w:id="0"/>
      <w:r>
        <w:rPr>
          <w:rFonts w:ascii="Arial" w:hAnsi="Arial" w:cs="Arial"/>
        </w:rPr>
        <w:t xml:space="preserve">CB377: </w:t>
      </w:r>
      <w:r w:rsidR="00FE48CA" w:rsidRPr="00FE48CA">
        <w:rPr>
          <w:rFonts w:ascii="Arial" w:hAnsi="Arial" w:cs="Arial"/>
        </w:rPr>
        <w:t xml:space="preserve">The Global Business Environment </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7C7B7B" w:rsidRPr="007C7B7B" w:rsidRDefault="00FE48CA" w:rsidP="007C7B7B">
      <w:pPr>
        <w:spacing w:after="120" w:line="240" w:lineRule="auto"/>
        <w:ind w:left="426" w:right="260"/>
        <w:jc w:val="both"/>
        <w:rPr>
          <w:rFonts w:ascii="Arial" w:hAnsi="Arial" w:cs="Arial"/>
          <w:b/>
        </w:rPr>
      </w:pPr>
      <w:r>
        <w:rPr>
          <w:rFonts w:ascii="Arial" w:hAnsi="Arial" w:cs="Arial"/>
        </w:rPr>
        <w:t>Kent Business School</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331275" w:rsidP="00D50113">
      <w:pPr>
        <w:spacing w:after="120" w:line="240" w:lineRule="auto"/>
        <w:ind w:left="426" w:right="260"/>
        <w:rPr>
          <w:rFonts w:ascii="Arial" w:hAnsi="Arial" w:cs="Arial"/>
          <w:iCs/>
        </w:rPr>
      </w:pPr>
      <w:r>
        <w:rPr>
          <w:rFonts w:ascii="Arial" w:hAnsi="Arial" w:cs="Arial"/>
          <w:iCs/>
        </w:rPr>
        <w:t xml:space="preserve">Level </w:t>
      </w:r>
      <w:r w:rsidR="00FE48CA">
        <w:rPr>
          <w:rFonts w:ascii="Arial" w:hAnsi="Arial" w:cs="Arial"/>
          <w:iCs/>
        </w:rPr>
        <w:t>4</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331275" w:rsidP="00D50113">
      <w:pPr>
        <w:spacing w:after="120" w:line="240" w:lineRule="auto"/>
        <w:ind w:left="426" w:right="260"/>
        <w:rPr>
          <w:rFonts w:ascii="Arial" w:hAnsi="Arial" w:cs="Arial"/>
        </w:rPr>
      </w:pPr>
      <w:r w:rsidRPr="00331275">
        <w:rPr>
          <w:rFonts w:ascii="Arial" w:hAnsi="Arial" w:cs="Arial"/>
        </w:rPr>
        <w:t>15 (ECTS 7.5)</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331275" w:rsidP="00FE48CA">
      <w:pPr>
        <w:spacing w:after="120" w:line="240" w:lineRule="auto"/>
        <w:ind w:left="426" w:right="260"/>
        <w:rPr>
          <w:rFonts w:ascii="Arial" w:hAnsi="Arial" w:cs="Arial"/>
          <w:iCs/>
        </w:rPr>
      </w:pPr>
      <w:r w:rsidRPr="00331275">
        <w:rPr>
          <w:rFonts w:ascii="Arial" w:hAnsi="Arial" w:cs="Arial"/>
          <w:iCs/>
        </w:rPr>
        <w:t xml:space="preserve">This module is </w:t>
      </w:r>
      <w:r w:rsidR="00FE48CA">
        <w:rPr>
          <w:rFonts w:ascii="Arial" w:hAnsi="Arial" w:cs="Arial"/>
          <w:iCs/>
        </w:rPr>
        <w:t xml:space="preserve">to be </w:t>
      </w:r>
      <w:r w:rsidRPr="00331275">
        <w:rPr>
          <w:rFonts w:ascii="Arial" w:hAnsi="Arial" w:cs="Arial"/>
          <w:iCs/>
        </w:rPr>
        <w:t xml:space="preserve">taught as part of </w:t>
      </w:r>
      <w:r w:rsidR="00FE48CA">
        <w:rPr>
          <w:rFonts w:ascii="Arial" w:hAnsi="Arial" w:cs="Arial"/>
          <w:iCs/>
        </w:rPr>
        <w:t xml:space="preserve">the </w:t>
      </w:r>
      <w:r w:rsidR="00FE48CA" w:rsidRPr="00FE48CA">
        <w:rPr>
          <w:rFonts w:ascii="Arial" w:hAnsi="Arial" w:cs="Arial"/>
          <w:iCs/>
        </w:rPr>
        <w:t>new Chartered Manager Degree Apprenticeship</w:t>
      </w:r>
      <w:r w:rsidR="00FE48CA">
        <w:rPr>
          <w:rFonts w:ascii="Arial" w:hAnsi="Arial" w:cs="Arial"/>
          <w:iCs/>
        </w:rPr>
        <w:t xml:space="preserve"> </w:t>
      </w:r>
      <w:r w:rsidRPr="00331275">
        <w:rPr>
          <w:rFonts w:ascii="Arial" w:hAnsi="Arial" w:cs="Arial"/>
          <w:iCs/>
        </w:rPr>
        <w:t xml:space="preserve">which </w:t>
      </w:r>
      <w:r w:rsidR="00FE48CA">
        <w:rPr>
          <w:rFonts w:ascii="Arial" w:hAnsi="Arial" w:cs="Arial"/>
          <w:iCs/>
        </w:rPr>
        <w:t xml:space="preserve">will be </w:t>
      </w:r>
      <w:r w:rsidRPr="00331275">
        <w:rPr>
          <w:rFonts w:ascii="Arial" w:hAnsi="Arial" w:cs="Arial"/>
          <w:iCs/>
        </w:rPr>
        <w:t xml:space="preserve">delivered by </w:t>
      </w:r>
      <w:r>
        <w:rPr>
          <w:rFonts w:ascii="Arial" w:hAnsi="Arial" w:cs="Arial"/>
          <w:iCs/>
        </w:rPr>
        <w:t xml:space="preserve">a </w:t>
      </w:r>
      <w:r w:rsidRPr="00331275">
        <w:rPr>
          <w:rFonts w:ascii="Arial" w:hAnsi="Arial" w:cs="Arial"/>
          <w:iCs/>
        </w:rPr>
        <w:t>part-time blended learning approach.</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331275"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2D5D98" w:rsidRDefault="00FE48CA" w:rsidP="002D5D98">
      <w:pPr>
        <w:spacing w:after="120" w:line="240" w:lineRule="auto"/>
        <w:ind w:left="426" w:right="260"/>
        <w:rPr>
          <w:rFonts w:ascii="Arial" w:hAnsi="Arial" w:cs="Arial"/>
          <w:iCs/>
        </w:rPr>
      </w:pPr>
      <w:r>
        <w:rPr>
          <w:rFonts w:ascii="Arial" w:hAnsi="Arial" w:cs="Arial"/>
          <w:iCs/>
        </w:rPr>
        <w:t>BSc Management</w:t>
      </w:r>
    </w:p>
    <w:p w:rsidR="009A2D3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76D7A" w:rsidRPr="00A7551F" w:rsidRDefault="00876D7A" w:rsidP="00A7551F">
      <w:pPr>
        <w:spacing w:after="120" w:line="240" w:lineRule="auto"/>
        <w:ind w:left="360" w:right="260"/>
        <w:rPr>
          <w:rFonts w:ascii="Arial" w:hAnsi="Arial" w:cs="Arial"/>
        </w:rPr>
      </w:pPr>
      <w:r w:rsidRPr="00A7551F">
        <w:rPr>
          <w:rFonts w:ascii="Arial" w:hAnsi="Arial" w:cs="Arial"/>
        </w:rPr>
        <w:t>8.1</w:t>
      </w:r>
      <w:r w:rsidRPr="00A7551F">
        <w:rPr>
          <w:rFonts w:ascii="Arial" w:hAnsi="Arial" w:cs="Arial"/>
        </w:rPr>
        <w:tab/>
        <w:t xml:space="preserve">Develop knowledge of the global business environment by analysing specific real-world examples. </w:t>
      </w:r>
    </w:p>
    <w:p w:rsidR="00876D7A" w:rsidRPr="00A7551F" w:rsidRDefault="00876D7A" w:rsidP="00A7551F">
      <w:pPr>
        <w:spacing w:after="120" w:line="240" w:lineRule="auto"/>
        <w:ind w:left="360" w:right="260"/>
        <w:rPr>
          <w:rFonts w:ascii="Arial" w:hAnsi="Arial" w:cs="Arial"/>
        </w:rPr>
      </w:pPr>
      <w:r w:rsidRPr="00A7551F">
        <w:rPr>
          <w:rFonts w:ascii="Arial" w:hAnsi="Arial" w:cs="Arial"/>
        </w:rPr>
        <w:t>8.2</w:t>
      </w:r>
      <w:r w:rsidRPr="00A7551F">
        <w:rPr>
          <w:rFonts w:ascii="Arial" w:hAnsi="Arial" w:cs="Arial"/>
        </w:rPr>
        <w:tab/>
        <w:t>Understand the complexity and diversity associated with undertaking business internationally.</w:t>
      </w:r>
    </w:p>
    <w:p w:rsidR="00876D7A" w:rsidRPr="00A7551F" w:rsidRDefault="00876D7A" w:rsidP="00A7551F">
      <w:pPr>
        <w:spacing w:after="120" w:line="240" w:lineRule="auto"/>
        <w:ind w:left="360" w:right="260"/>
        <w:rPr>
          <w:rFonts w:ascii="Arial" w:hAnsi="Arial" w:cs="Arial"/>
        </w:rPr>
      </w:pPr>
      <w:r w:rsidRPr="00A7551F">
        <w:rPr>
          <w:rFonts w:ascii="Arial" w:hAnsi="Arial" w:cs="Arial"/>
        </w:rPr>
        <w:t>8.3</w:t>
      </w:r>
      <w:r w:rsidRPr="00A7551F">
        <w:rPr>
          <w:rFonts w:ascii="Arial" w:hAnsi="Arial" w:cs="Arial"/>
        </w:rPr>
        <w:tab/>
        <w:t>Understand the premises of, and risks associated with, international business.</w:t>
      </w:r>
    </w:p>
    <w:p w:rsidR="00876D7A" w:rsidRPr="00A7551F" w:rsidRDefault="00876D7A" w:rsidP="00A7551F">
      <w:pPr>
        <w:spacing w:after="120" w:line="240" w:lineRule="auto"/>
        <w:ind w:left="360" w:right="260"/>
        <w:rPr>
          <w:rFonts w:ascii="Arial" w:hAnsi="Arial" w:cs="Arial"/>
        </w:rPr>
      </w:pPr>
      <w:r w:rsidRPr="00A7551F">
        <w:rPr>
          <w:rFonts w:ascii="Arial" w:hAnsi="Arial" w:cs="Arial"/>
        </w:rPr>
        <w:t>8.4</w:t>
      </w:r>
      <w:r w:rsidRPr="00A7551F">
        <w:rPr>
          <w:rFonts w:ascii="Arial" w:hAnsi="Arial" w:cs="Arial"/>
        </w:rPr>
        <w:tab/>
        <w:t>Understand different approaches for competing internationally, and their advantages and disadvantages.</w:t>
      </w:r>
    </w:p>
    <w:p w:rsidR="00C729D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76D7A" w:rsidRPr="005D601D" w:rsidRDefault="00876D7A" w:rsidP="00A7551F">
      <w:pPr>
        <w:spacing w:after="120" w:line="240" w:lineRule="auto"/>
        <w:ind w:left="993" w:right="260" w:hanging="567"/>
        <w:rPr>
          <w:rFonts w:ascii="Arial" w:hAnsi="Arial" w:cs="Arial"/>
        </w:rPr>
      </w:pPr>
      <w:r w:rsidRPr="005D601D">
        <w:rPr>
          <w:rFonts w:ascii="Arial" w:hAnsi="Arial" w:cs="Arial"/>
        </w:rPr>
        <w:t>9.1</w:t>
      </w:r>
      <w:r w:rsidRPr="005D601D">
        <w:rPr>
          <w:rFonts w:ascii="Arial" w:hAnsi="Arial" w:cs="Arial"/>
        </w:rPr>
        <w:tab/>
        <w:t>Explain, and begin to analyse, international business situations.</w:t>
      </w:r>
    </w:p>
    <w:p w:rsidR="00876D7A" w:rsidRPr="005D601D" w:rsidRDefault="00876D7A" w:rsidP="00A7551F">
      <w:pPr>
        <w:spacing w:after="120" w:line="240" w:lineRule="auto"/>
        <w:ind w:left="993" w:right="260" w:hanging="567"/>
        <w:rPr>
          <w:rFonts w:ascii="Arial" w:hAnsi="Arial" w:cs="Arial"/>
        </w:rPr>
      </w:pPr>
      <w:r w:rsidRPr="005D601D">
        <w:rPr>
          <w:rFonts w:ascii="Arial" w:hAnsi="Arial" w:cs="Arial"/>
        </w:rPr>
        <w:t>9.2</w:t>
      </w:r>
      <w:r w:rsidRPr="005D601D">
        <w:rPr>
          <w:rFonts w:ascii="Arial" w:hAnsi="Arial" w:cs="Arial"/>
        </w:rPr>
        <w:tab/>
        <w:t>Source, select and use effectively relevant information.</w:t>
      </w:r>
    </w:p>
    <w:p w:rsidR="00876D7A" w:rsidRPr="005D601D" w:rsidRDefault="00876D7A" w:rsidP="00A7551F">
      <w:pPr>
        <w:spacing w:after="120" w:line="240" w:lineRule="auto"/>
        <w:ind w:left="993" w:right="260" w:hanging="567"/>
        <w:rPr>
          <w:rFonts w:ascii="Arial" w:hAnsi="Arial" w:cs="Arial"/>
        </w:rPr>
      </w:pPr>
      <w:r w:rsidRPr="005D601D">
        <w:rPr>
          <w:rFonts w:ascii="Arial" w:hAnsi="Arial" w:cs="Arial"/>
        </w:rPr>
        <w:lastRenderedPageBreak/>
        <w:t>9.3</w:t>
      </w:r>
      <w:r w:rsidRPr="005D601D">
        <w:rPr>
          <w:rFonts w:ascii="Arial" w:hAnsi="Arial" w:cs="Arial"/>
        </w:rPr>
        <w:tab/>
        <w:t>Undertake personal responsibility and self-discipline in studying independently.</w:t>
      </w:r>
    </w:p>
    <w:p w:rsidR="00876D7A" w:rsidRDefault="00876D7A" w:rsidP="00876D7A">
      <w:pPr>
        <w:spacing w:after="120" w:line="240" w:lineRule="auto"/>
        <w:ind w:left="426" w:right="260"/>
        <w:rPr>
          <w:rFonts w:ascii="Arial" w:hAnsi="Arial" w:cs="Arial"/>
        </w:rPr>
      </w:pPr>
      <w:r w:rsidRPr="005D601D">
        <w:rPr>
          <w:rFonts w:ascii="Arial" w:hAnsi="Arial" w:cs="Arial"/>
        </w:rPr>
        <w:t>9.4</w:t>
      </w:r>
      <w:r w:rsidRPr="005D601D">
        <w:rPr>
          <w:rFonts w:ascii="Arial" w:hAnsi="Arial" w:cs="Arial"/>
        </w:rPr>
        <w:tab/>
        <w:t>Demonstrate and enhance communication skills.</w:t>
      </w:r>
    </w:p>
    <w:p w:rsidR="009A2D37" w:rsidRPr="00302082" w:rsidRDefault="00876D7A" w:rsidP="00A7551F">
      <w:pPr>
        <w:spacing w:after="120" w:line="240" w:lineRule="auto"/>
        <w:ind w:right="260"/>
        <w:rPr>
          <w:rFonts w:ascii="Arial" w:hAnsi="Arial" w:cs="Arial"/>
          <w:b/>
        </w:rPr>
      </w:pPr>
      <w:r>
        <w:rPr>
          <w:rFonts w:ascii="Arial" w:hAnsi="Arial" w:cs="Arial"/>
        </w:rPr>
        <w:t xml:space="preserve">10. </w:t>
      </w:r>
      <w:r w:rsidR="009A2D37" w:rsidRPr="00302082">
        <w:rPr>
          <w:rFonts w:ascii="Arial" w:hAnsi="Arial" w:cs="Arial"/>
          <w:b/>
        </w:rPr>
        <w:t>A synopsis of the curriculum</w:t>
      </w:r>
    </w:p>
    <w:p w:rsidR="00876D7A" w:rsidRDefault="00A2036C" w:rsidP="00A2036C">
      <w:pPr>
        <w:ind w:left="360"/>
        <w:rPr>
          <w:rFonts w:ascii="Arial" w:hAnsi="Arial" w:cs="Arial"/>
        </w:rPr>
      </w:pPr>
      <w:r w:rsidRPr="00B45FD7">
        <w:rPr>
          <w:rFonts w:ascii="Arial" w:hAnsi="Arial" w:cs="Arial"/>
        </w:rPr>
        <w:t xml:space="preserve">The module will cover various aspects of the changing global </w:t>
      </w:r>
      <w:r>
        <w:rPr>
          <w:rFonts w:ascii="Arial" w:hAnsi="Arial" w:cs="Arial"/>
        </w:rPr>
        <w:t xml:space="preserve">environment. </w:t>
      </w:r>
      <w:r w:rsidRPr="00B45FD7">
        <w:rPr>
          <w:rFonts w:ascii="Arial" w:hAnsi="Arial" w:cs="Arial"/>
        </w:rPr>
        <w:t>An indicative list of topics is given below</w:t>
      </w:r>
      <w:r w:rsidR="00876D7A">
        <w:rPr>
          <w:rFonts w:ascii="Arial" w:hAnsi="Arial" w:cs="Arial"/>
        </w:rPr>
        <w:t>;</w:t>
      </w:r>
    </w:p>
    <w:p w:rsidR="00876D7A" w:rsidRDefault="00876D7A" w:rsidP="00876D7A">
      <w:pPr>
        <w:widowControl w:val="0"/>
        <w:snapToGrid w:val="0"/>
        <w:spacing w:after="0" w:line="240" w:lineRule="auto"/>
        <w:ind w:left="567"/>
        <w:jc w:val="both"/>
        <w:rPr>
          <w:rFonts w:ascii="Arial" w:hAnsi="Arial" w:cs="Arial"/>
        </w:rPr>
      </w:pPr>
      <w:r>
        <w:rPr>
          <w:rFonts w:ascii="Arial" w:hAnsi="Arial" w:cs="Arial"/>
        </w:rPr>
        <w:t>Part A: Framing the Business Environment</w:t>
      </w:r>
    </w:p>
    <w:p w:rsidR="00876D7A" w:rsidRDefault="00876D7A" w:rsidP="00876D7A">
      <w:pPr>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Introduction: Business Enterprise, globalisation, and institutions</w:t>
      </w:r>
    </w:p>
    <w:p w:rsidR="00876D7A" w:rsidRDefault="00876D7A" w:rsidP="00876D7A">
      <w:pPr>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The economic environment</w:t>
      </w:r>
    </w:p>
    <w:p w:rsidR="00876D7A" w:rsidRDefault="00876D7A" w:rsidP="00876D7A">
      <w:pPr>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The political environment</w:t>
      </w:r>
    </w:p>
    <w:p w:rsidR="00876D7A" w:rsidRDefault="00876D7A" w:rsidP="00876D7A">
      <w:pPr>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The legal environment</w:t>
      </w:r>
    </w:p>
    <w:p w:rsidR="00876D7A" w:rsidRPr="003F79D8" w:rsidRDefault="00876D7A" w:rsidP="00876D7A">
      <w:pPr>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The cultural environment</w:t>
      </w:r>
    </w:p>
    <w:p w:rsidR="00876D7A" w:rsidRDefault="00876D7A" w:rsidP="00876D7A">
      <w:pPr>
        <w:widowControl w:val="0"/>
        <w:snapToGrid w:val="0"/>
        <w:spacing w:after="0" w:line="240" w:lineRule="auto"/>
        <w:ind w:left="1287"/>
        <w:jc w:val="both"/>
        <w:rPr>
          <w:rFonts w:ascii="Arial" w:hAnsi="Arial" w:cs="Arial"/>
        </w:rPr>
      </w:pPr>
    </w:p>
    <w:p w:rsidR="00876D7A" w:rsidRDefault="00876D7A" w:rsidP="00876D7A">
      <w:pPr>
        <w:widowControl w:val="0"/>
        <w:snapToGrid w:val="0"/>
        <w:spacing w:after="0" w:line="240" w:lineRule="auto"/>
        <w:ind w:left="567"/>
        <w:jc w:val="both"/>
        <w:rPr>
          <w:rFonts w:ascii="Arial" w:hAnsi="Arial" w:cs="Arial"/>
        </w:rPr>
      </w:pPr>
      <w:r>
        <w:rPr>
          <w:rFonts w:ascii="Arial" w:hAnsi="Arial" w:cs="Arial"/>
        </w:rPr>
        <w:t>Part B: Shaping International Business Activities</w:t>
      </w:r>
    </w:p>
    <w:p w:rsidR="00876D7A" w:rsidRDefault="00876D7A" w:rsidP="00876D7A">
      <w:pPr>
        <w:pStyle w:val="ListParagraph"/>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International trade</w:t>
      </w:r>
    </w:p>
    <w:p w:rsidR="00876D7A" w:rsidRDefault="00876D7A" w:rsidP="00876D7A">
      <w:pPr>
        <w:pStyle w:val="ListParagraph"/>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Global finance</w:t>
      </w:r>
    </w:p>
    <w:p w:rsidR="00876D7A" w:rsidRDefault="00876D7A" w:rsidP="00876D7A">
      <w:pPr>
        <w:pStyle w:val="ListParagraph"/>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Technology and Innovation</w:t>
      </w:r>
    </w:p>
    <w:p w:rsidR="00876D7A" w:rsidRDefault="00876D7A" w:rsidP="00876D7A">
      <w:pPr>
        <w:widowControl w:val="0"/>
        <w:snapToGrid w:val="0"/>
        <w:spacing w:after="0" w:line="240" w:lineRule="auto"/>
        <w:ind w:left="567"/>
        <w:jc w:val="both"/>
        <w:rPr>
          <w:rFonts w:ascii="Arial" w:hAnsi="Arial" w:cs="Arial"/>
        </w:rPr>
      </w:pPr>
    </w:p>
    <w:p w:rsidR="00876D7A" w:rsidRPr="00110AC3" w:rsidRDefault="00876D7A" w:rsidP="00876D7A">
      <w:pPr>
        <w:widowControl w:val="0"/>
        <w:snapToGrid w:val="0"/>
        <w:spacing w:after="0" w:line="240" w:lineRule="auto"/>
        <w:ind w:left="567"/>
        <w:jc w:val="both"/>
        <w:rPr>
          <w:rFonts w:ascii="Arial" w:hAnsi="Arial" w:cs="Arial"/>
        </w:rPr>
      </w:pPr>
      <w:r>
        <w:rPr>
          <w:rFonts w:ascii="Arial" w:hAnsi="Arial" w:cs="Arial"/>
        </w:rPr>
        <w:t>Part C: Emerging Issues</w:t>
      </w:r>
    </w:p>
    <w:p w:rsidR="00876D7A" w:rsidRDefault="00876D7A" w:rsidP="00876D7A">
      <w:pPr>
        <w:pStyle w:val="ListParagraph"/>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Social responsibility and ecological environment</w:t>
      </w:r>
    </w:p>
    <w:p w:rsidR="00876D7A" w:rsidRDefault="00876D7A" w:rsidP="00876D7A">
      <w:pPr>
        <w:pStyle w:val="ListParagraph"/>
        <w:widowControl w:val="0"/>
        <w:numPr>
          <w:ilvl w:val="0"/>
          <w:numId w:val="9"/>
        </w:numPr>
        <w:tabs>
          <w:tab w:val="clear" w:pos="720"/>
          <w:tab w:val="num" w:pos="1287"/>
        </w:tabs>
        <w:snapToGrid w:val="0"/>
        <w:spacing w:after="0" w:line="240" w:lineRule="auto"/>
        <w:ind w:left="1287"/>
        <w:jc w:val="both"/>
        <w:rPr>
          <w:rFonts w:ascii="Arial" w:hAnsi="Arial" w:cs="Arial"/>
        </w:rPr>
      </w:pPr>
      <w:r>
        <w:rPr>
          <w:rFonts w:ascii="Arial" w:hAnsi="Arial" w:cs="Arial"/>
        </w:rPr>
        <w:t>Geopolitical context and international risk</w:t>
      </w:r>
    </w:p>
    <w:p w:rsidR="00A2036C" w:rsidRPr="00F0317A" w:rsidRDefault="00A2036C" w:rsidP="00A2036C">
      <w:pPr>
        <w:pStyle w:val="ListParagraph"/>
        <w:spacing w:before="60" w:after="60" w:line="240" w:lineRule="auto"/>
        <w:ind w:right="-330"/>
        <w:rPr>
          <w:rFonts w:ascii="Arial" w:hAnsi="Arial" w:cs="Arial"/>
          <w:iCs/>
          <w:sz w:val="20"/>
          <w:szCs w:val="20"/>
        </w:rPr>
      </w:pPr>
    </w:p>
    <w:p w:rsidR="009A2D37" w:rsidRPr="00A7551F" w:rsidRDefault="00B129B5" w:rsidP="00A7551F">
      <w:pPr>
        <w:spacing w:after="120" w:line="240" w:lineRule="auto"/>
        <w:ind w:right="260"/>
        <w:jc w:val="both"/>
        <w:rPr>
          <w:rFonts w:ascii="Arial" w:hAnsi="Arial" w:cs="Arial"/>
          <w:b/>
        </w:rPr>
      </w:pPr>
      <w:r>
        <w:rPr>
          <w:rFonts w:ascii="Arial" w:hAnsi="Arial" w:cs="Arial"/>
          <w:b/>
        </w:rPr>
        <w:t xml:space="preserve">11. </w:t>
      </w:r>
      <w:r w:rsidR="002A7F48" w:rsidRPr="00A7551F">
        <w:rPr>
          <w:rFonts w:ascii="Arial" w:hAnsi="Arial" w:cs="Arial"/>
          <w:b/>
        </w:rPr>
        <w:t>Reading l</w:t>
      </w:r>
      <w:r w:rsidR="009A2D37" w:rsidRPr="00A7551F">
        <w:rPr>
          <w:rFonts w:ascii="Arial" w:hAnsi="Arial" w:cs="Arial"/>
          <w:b/>
        </w:rPr>
        <w:t xml:space="preserve">ist </w:t>
      </w:r>
      <w:r w:rsidR="00274ED7" w:rsidRPr="00A7551F">
        <w:rPr>
          <w:rFonts w:ascii="Arial" w:hAnsi="Arial" w:cs="Arial"/>
          <w:b/>
        </w:rPr>
        <w:t>(Indicative list, current at time of publication. Reading lists will be published annually)</w:t>
      </w:r>
    </w:p>
    <w:p w:rsidR="00A2036C" w:rsidRPr="00915D57" w:rsidRDefault="00915D57" w:rsidP="00915D57">
      <w:pPr>
        <w:spacing w:after="120" w:line="240" w:lineRule="auto"/>
        <w:ind w:left="426" w:right="260"/>
        <w:jc w:val="both"/>
        <w:rPr>
          <w:rFonts w:ascii="Arial" w:hAnsi="Arial" w:cs="Arial"/>
        </w:rPr>
      </w:pPr>
      <w:r>
        <w:rPr>
          <w:rFonts w:ascii="Arial" w:hAnsi="Arial" w:cs="Arial"/>
        </w:rPr>
        <w:t xml:space="preserve">Harrison, A. (2013). </w:t>
      </w:r>
      <w:r w:rsidRPr="00915D57">
        <w:rPr>
          <w:rFonts w:ascii="Arial" w:hAnsi="Arial" w:cs="Arial"/>
        </w:rPr>
        <w:t>Business Environment in a Global Context</w:t>
      </w:r>
      <w:r>
        <w:rPr>
          <w:rFonts w:ascii="Arial" w:hAnsi="Arial" w:cs="Arial"/>
        </w:rPr>
        <w:t xml:space="preserve">, </w:t>
      </w:r>
      <w:r w:rsidRPr="00915D57">
        <w:rPr>
          <w:rFonts w:ascii="Arial" w:hAnsi="Arial" w:cs="Arial"/>
        </w:rPr>
        <w:t>Second edition</w:t>
      </w:r>
      <w:r>
        <w:rPr>
          <w:rFonts w:ascii="Arial" w:hAnsi="Arial" w:cs="Arial"/>
        </w:rPr>
        <w:t xml:space="preserve">. </w:t>
      </w:r>
      <w:r w:rsidRPr="00915D57">
        <w:rPr>
          <w:rFonts w:ascii="Arial" w:hAnsi="Arial" w:cs="Arial"/>
        </w:rPr>
        <w:t>Oxford University Press, Oxford</w:t>
      </w:r>
      <w:r>
        <w:rPr>
          <w:rFonts w:ascii="Arial" w:hAnsi="Arial" w:cs="Arial"/>
        </w:rPr>
        <w:t xml:space="preserve">. </w:t>
      </w:r>
      <w:r w:rsidR="002C7FD1">
        <w:rPr>
          <w:rFonts w:ascii="Arial" w:hAnsi="Arial" w:cs="Arial"/>
        </w:rPr>
        <w:t>ISBN:</w:t>
      </w:r>
      <w:r w:rsidR="001A46F8">
        <w:rPr>
          <w:rFonts w:ascii="Arial" w:hAnsi="Arial" w:cs="Arial"/>
        </w:rPr>
        <w:t xml:space="preserve"> </w:t>
      </w:r>
      <w:r w:rsidR="002C7FD1" w:rsidRPr="002C7FD1">
        <w:rPr>
          <w:rFonts w:ascii="Arial" w:hAnsi="Arial" w:cs="Arial"/>
        </w:rPr>
        <w:t xml:space="preserve">9780199672585 </w:t>
      </w:r>
      <w:r>
        <w:rPr>
          <w:rFonts w:ascii="Arial" w:hAnsi="Arial" w:cs="Arial"/>
        </w:rPr>
        <w:t>(</w:t>
      </w:r>
      <w:r w:rsidR="001A46F8">
        <w:rPr>
          <w:rFonts w:ascii="Arial" w:hAnsi="Arial" w:cs="Arial"/>
        </w:rPr>
        <w:t>e-book</w:t>
      </w:r>
      <w:r w:rsidR="002C7FD1">
        <w:rPr>
          <w:rFonts w:ascii="Arial" w:hAnsi="Arial" w:cs="Arial"/>
        </w:rPr>
        <w:t xml:space="preserve"> also available</w:t>
      </w:r>
      <w:r>
        <w:rPr>
          <w:rFonts w:ascii="Arial" w:hAnsi="Arial" w:cs="Arial"/>
        </w:rPr>
        <w:t>).</w:t>
      </w:r>
    </w:p>
    <w:p w:rsidR="002C7FD1" w:rsidRPr="00915D57" w:rsidRDefault="002C7FD1" w:rsidP="002C7FD1">
      <w:pPr>
        <w:spacing w:after="120" w:line="240" w:lineRule="auto"/>
        <w:ind w:left="426" w:right="260"/>
        <w:jc w:val="both"/>
        <w:rPr>
          <w:rFonts w:ascii="Arial" w:hAnsi="Arial" w:cs="Arial"/>
        </w:rPr>
      </w:pPr>
      <w:r w:rsidRPr="002C7FD1">
        <w:rPr>
          <w:rFonts w:ascii="Arial" w:hAnsi="Arial" w:cs="Arial"/>
        </w:rPr>
        <w:t>Leslie Hamilton</w:t>
      </w:r>
      <w:r>
        <w:rPr>
          <w:rFonts w:ascii="Arial" w:hAnsi="Arial" w:cs="Arial"/>
        </w:rPr>
        <w:t>, L. and</w:t>
      </w:r>
      <w:r w:rsidRPr="002C7FD1">
        <w:rPr>
          <w:rFonts w:ascii="Arial" w:hAnsi="Arial" w:cs="Arial"/>
        </w:rPr>
        <w:t xml:space="preserve"> Webster</w:t>
      </w:r>
      <w:r>
        <w:rPr>
          <w:rFonts w:ascii="Arial" w:hAnsi="Arial" w:cs="Arial"/>
        </w:rPr>
        <w:t xml:space="preserve">, P. (2015). </w:t>
      </w:r>
      <w:r w:rsidRPr="002C7FD1">
        <w:rPr>
          <w:rFonts w:ascii="Arial" w:hAnsi="Arial" w:cs="Arial"/>
        </w:rPr>
        <w:t>The Inte</w:t>
      </w:r>
      <w:r>
        <w:rPr>
          <w:rFonts w:ascii="Arial" w:hAnsi="Arial" w:cs="Arial"/>
        </w:rPr>
        <w:t>rnational Business Environment, 3</w:t>
      </w:r>
      <w:r w:rsidRPr="002C7FD1">
        <w:rPr>
          <w:rFonts w:ascii="Arial" w:hAnsi="Arial" w:cs="Arial"/>
          <w:vertAlign w:val="superscript"/>
        </w:rPr>
        <w:t>rd</w:t>
      </w:r>
      <w:r>
        <w:rPr>
          <w:rFonts w:ascii="Arial" w:hAnsi="Arial" w:cs="Arial"/>
        </w:rPr>
        <w:t xml:space="preserve"> Edition. </w:t>
      </w:r>
      <w:r w:rsidRPr="00915D57">
        <w:rPr>
          <w:rFonts w:ascii="Arial" w:hAnsi="Arial" w:cs="Arial"/>
        </w:rPr>
        <w:t>Oxford University Press, Oxford</w:t>
      </w:r>
      <w:r>
        <w:rPr>
          <w:rFonts w:ascii="Arial" w:hAnsi="Arial" w:cs="Arial"/>
        </w:rPr>
        <w:t>.</w:t>
      </w:r>
      <w:r w:rsidRPr="002C7FD1">
        <w:t xml:space="preserve"> </w:t>
      </w:r>
      <w:r w:rsidRPr="002C7FD1">
        <w:rPr>
          <w:rFonts w:ascii="Arial" w:hAnsi="Arial" w:cs="Arial"/>
        </w:rPr>
        <w:t>ISBN: 9780198704195</w:t>
      </w:r>
      <w:r>
        <w:rPr>
          <w:rFonts w:ascii="Arial" w:hAnsi="Arial" w:cs="Arial"/>
        </w:rPr>
        <w:t>.</w:t>
      </w:r>
    </w:p>
    <w:p w:rsidR="009A2D37" w:rsidRPr="00A7551F" w:rsidRDefault="009A2D37" w:rsidP="00A7551F">
      <w:pPr>
        <w:pStyle w:val="ListParagraph"/>
        <w:numPr>
          <w:ilvl w:val="0"/>
          <w:numId w:val="12"/>
        </w:numPr>
        <w:spacing w:after="120" w:line="240" w:lineRule="auto"/>
        <w:ind w:right="260"/>
        <w:rPr>
          <w:rFonts w:ascii="Arial" w:hAnsi="Arial" w:cs="Arial"/>
          <w:i/>
          <w:iCs/>
        </w:rPr>
      </w:pPr>
      <w:r w:rsidRPr="00A7551F">
        <w:rPr>
          <w:rFonts w:ascii="Arial" w:hAnsi="Arial" w:cs="Arial"/>
          <w:b/>
        </w:rPr>
        <w:t>Learning</w:t>
      </w:r>
      <w:r w:rsidR="002A7F48" w:rsidRPr="00A7551F">
        <w:rPr>
          <w:rFonts w:ascii="Arial" w:hAnsi="Arial" w:cs="Arial"/>
          <w:b/>
        </w:rPr>
        <w:t xml:space="preserve"> and t</w:t>
      </w:r>
      <w:r w:rsidR="006F3F8B" w:rsidRPr="00A7551F">
        <w:rPr>
          <w:rFonts w:ascii="Arial" w:hAnsi="Arial" w:cs="Arial"/>
          <w:b/>
        </w:rPr>
        <w:t>eaching m</w:t>
      </w:r>
      <w:r w:rsidRPr="00A7551F">
        <w:rPr>
          <w:rFonts w:ascii="Arial" w:hAnsi="Arial" w:cs="Arial"/>
          <w:b/>
        </w:rPr>
        <w:t>ethods</w:t>
      </w:r>
    </w:p>
    <w:p w:rsidR="00F86BDD" w:rsidRDefault="00F86BDD" w:rsidP="002C7FD1">
      <w:pPr>
        <w:spacing w:after="120" w:line="240" w:lineRule="auto"/>
        <w:ind w:left="426" w:right="260"/>
        <w:jc w:val="both"/>
        <w:rPr>
          <w:rFonts w:ascii="Arial" w:hAnsi="Arial" w:cs="Arial"/>
          <w:iCs/>
        </w:rPr>
      </w:pPr>
      <w:r w:rsidRPr="00F86BDD">
        <w:rPr>
          <w:rFonts w:ascii="Arial" w:hAnsi="Arial" w:cs="Arial"/>
          <w:iCs/>
        </w:rPr>
        <w:lastRenderedPageBreak/>
        <w:t>The total study time for this module is 150 hours incorporating online e-learning, work-based experience and private study.</w:t>
      </w:r>
    </w:p>
    <w:p w:rsidR="00F078D2" w:rsidRPr="003A1070" w:rsidRDefault="00F078D2" w:rsidP="002C7FD1">
      <w:pPr>
        <w:spacing w:after="120" w:line="240" w:lineRule="auto"/>
        <w:ind w:left="426" w:right="260"/>
        <w:rPr>
          <w:rFonts w:ascii="Arial" w:hAnsi="Arial" w:cs="Arial"/>
          <w:iCs/>
        </w:rPr>
      </w:pPr>
      <w:r>
        <w:rPr>
          <w:rFonts w:ascii="Arial" w:hAnsi="Arial" w:cs="Arial"/>
          <w:iCs/>
        </w:rPr>
        <w:t>Teaching is delivered as a blended learning approach.</w:t>
      </w:r>
      <w:r w:rsidRPr="00F078D2">
        <w:rPr>
          <w:rFonts w:ascii="Arial" w:hAnsi="Arial" w:cs="Arial"/>
          <w:iCs/>
        </w:rPr>
        <w:t xml:space="preserve"> </w:t>
      </w:r>
      <w:r>
        <w:rPr>
          <w:rFonts w:ascii="Arial" w:hAnsi="Arial" w:cs="Arial"/>
          <w:iCs/>
        </w:rPr>
        <w:t xml:space="preserve">VLE-delivered </w:t>
      </w:r>
      <w:r w:rsidRPr="003A1070">
        <w:rPr>
          <w:rFonts w:ascii="Arial" w:hAnsi="Arial" w:cs="Arial"/>
          <w:iCs/>
        </w:rPr>
        <w:t xml:space="preserve">E-activities, </w:t>
      </w:r>
      <w:r>
        <w:rPr>
          <w:rFonts w:ascii="Arial" w:hAnsi="Arial" w:cs="Arial"/>
          <w:iCs/>
        </w:rPr>
        <w:t xml:space="preserve">VLE-delivered </w:t>
      </w:r>
      <w:r w:rsidRPr="003A1070">
        <w:rPr>
          <w:rFonts w:ascii="Arial" w:hAnsi="Arial" w:cs="Arial"/>
          <w:iCs/>
        </w:rPr>
        <w:t>practicals and work activities serve to reinforce material presented online and also relate directly</w:t>
      </w:r>
      <w:r>
        <w:rPr>
          <w:rFonts w:ascii="Arial" w:hAnsi="Arial" w:cs="Arial"/>
          <w:iCs/>
        </w:rPr>
        <w:t xml:space="preserve"> </w:t>
      </w:r>
      <w:r w:rsidRPr="003A1070">
        <w:rPr>
          <w:rFonts w:ascii="Arial" w:hAnsi="Arial" w:cs="Arial"/>
          <w:iCs/>
        </w:rPr>
        <w:t>to the learning objectives. These are specifically based on enabling students to relate their theoretical knowledge to the</w:t>
      </w:r>
      <w:r w:rsidR="00A964FC">
        <w:rPr>
          <w:rFonts w:ascii="Arial" w:hAnsi="Arial" w:cs="Arial"/>
          <w:iCs/>
        </w:rPr>
        <w:t xml:space="preserve"> </w:t>
      </w:r>
      <w:r w:rsidRPr="003A1070">
        <w:rPr>
          <w:rFonts w:ascii="Arial" w:hAnsi="Arial" w:cs="Arial"/>
          <w:iCs/>
        </w:rPr>
        <w:t>workplace in a variety of industries.</w:t>
      </w:r>
    </w:p>
    <w:p w:rsidR="00F078D2" w:rsidRDefault="00F078D2" w:rsidP="00F86BDD">
      <w:pPr>
        <w:spacing w:after="120" w:line="240" w:lineRule="auto"/>
        <w:ind w:left="426" w:right="260"/>
        <w:jc w:val="both"/>
        <w:rPr>
          <w:rFonts w:ascii="Arial" w:hAnsi="Arial" w:cs="Arial"/>
          <w:iCs/>
        </w:rPr>
      </w:pPr>
      <w:r>
        <w:rPr>
          <w:rFonts w:ascii="Arial" w:hAnsi="Arial" w:cs="Arial"/>
          <w:iCs/>
        </w:rPr>
        <w:t>Work-based experience serves to reinforce and provide real-life context to the material</w:t>
      </w:r>
      <w:r w:rsidR="00F86BDD">
        <w:rPr>
          <w:rFonts w:ascii="Arial" w:hAnsi="Arial" w:cs="Arial"/>
          <w:iCs/>
        </w:rPr>
        <w:t xml:space="preserve"> being delivered in the module.</w:t>
      </w:r>
    </w:p>
    <w:p w:rsidR="00F86BDD" w:rsidRDefault="00F86BDD" w:rsidP="00F86BDD">
      <w:pPr>
        <w:spacing w:after="120" w:line="240" w:lineRule="auto"/>
        <w:ind w:left="426" w:right="260"/>
        <w:jc w:val="both"/>
        <w:rPr>
          <w:rFonts w:ascii="Arial" w:hAnsi="Arial" w:cs="Arial"/>
          <w:iCs/>
        </w:rPr>
      </w:pPr>
      <w:r w:rsidRPr="003A1070">
        <w:rPr>
          <w:rFonts w:ascii="Arial" w:hAnsi="Arial" w:cs="Arial"/>
          <w:iCs/>
        </w:rPr>
        <w:t>Private study encompasses the revising of all material presented in the above various forms of teaching and learning, together with the opportunity to explore and read mor</w:t>
      </w:r>
      <w:r>
        <w:rPr>
          <w:rFonts w:ascii="Arial" w:hAnsi="Arial" w:cs="Arial"/>
          <w:iCs/>
        </w:rPr>
        <w:t>e widely around specific topics.</w:t>
      </w:r>
    </w:p>
    <w:p w:rsidR="00B9109B" w:rsidRPr="0036174D" w:rsidRDefault="00EF4933" w:rsidP="00A7551F">
      <w:pPr>
        <w:numPr>
          <w:ilvl w:val="0"/>
          <w:numId w:val="12"/>
        </w:numPr>
        <w:spacing w:after="120" w:line="240" w:lineRule="auto"/>
        <w:ind w:left="426" w:right="260" w:hanging="426"/>
        <w:rPr>
          <w:rFonts w:ascii="Arial" w:hAnsi="Arial" w:cs="Arial"/>
          <w:b/>
          <w:i/>
          <w:iCs/>
        </w:rPr>
      </w:pPr>
      <w:r w:rsidRPr="00302082">
        <w:rPr>
          <w:rFonts w:ascii="Arial" w:hAnsi="Arial" w:cs="Arial"/>
          <w:b/>
        </w:rPr>
        <w:t>Assessment methods</w:t>
      </w:r>
    </w:p>
    <w:p w:rsidR="00876D7A" w:rsidRDefault="00876D7A" w:rsidP="00876D7A">
      <w:pPr>
        <w:ind w:left="360" w:firstLine="207"/>
        <w:contextualSpacing/>
        <w:rPr>
          <w:rFonts w:ascii="Arial" w:hAnsi="Arial" w:cs="Arial"/>
          <w:iCs/>
        </w:rPr>
      </w:pPr>
      <w:r w:rsidRPr="0089304C">
        <w:rPr>
          <w:rFonts w:ascii="Arial" w:hAnsi="Arial" w:cs="Arial"/>
          <w:iCs/>
        </w:rPr>
        <w:t>The module will be assessed through</w:t>
      </w:r>
      <w:r>
        <w:rPr>
          <w:rFonts w:ascii="Arial" w:hAnsi="Arial" w:cs="Arial"/>
          <w:iCs/>
        </w:rPr>
        <w:t>:</w:t>
      </w:r>
    </w:p>
    <w:p w:rsidR="00876D7A" w:rsidRDefault="00876D7A" w:rsidP="00876D7A">
      <w:pPr>
        <w:pStyle w:val="ListParagraph"/>
        <w:numPr>
          <w:ilvl w:val="0"/>
          <w:numId w:val="10"/>
        </w:numPr>
        <w:rPr>
          <w:rFonts w:ascii="Arial" w:hAnsi="Arial" w:cs="Arial"/>
          <w:iCs/>
        </w:rPr>
      </w:pPr>
      <w:r w:rsidRPr="00651E0A">
        <w:rPr>
          <w:rFonts w:ascii="Arial" w:hAnsi="Arial" w:cs="Arial"/>
          <w:iCs/>
        </w:rPr>
        <w:t>40% coursework comprising an essay (30%) and a</w:t>
      </w:r>
      <w:r>
        <w:rPr>
          <w:rFonts w:ascii="Arial" w:hAnsi="Arial" w:cs="Arial"/>
          <w:iCs/>
        </w:rPr>
        <w:t xml:space="preserve"> VLE</w:t>
      </w:r>
      <w:r w:rsidRPr="00651E0A">
        <w:rPr>
          <w:rFonts w:ascii="Arial" w:hAnsi="Arial" w:cs="Arial"/>
          <w:iCs/>
        </w:rPr>
        <w:t xml:space="preserve"> test/quiz (10%</w:t>
      </w:r>
      <w:r>
        <w:rPr>
          <w:rFonts w:ascii="Arial" w:hAnsi="Arial" w:cs="Arial"/>
          <w:iCs/>
        </w:rPr>
        <w:t>)</w:t>
      </w:r>
    </w:p>
    <w:p w:rsidR="00876D7A" w:rsidRPr="00651E0A" w:rsidRDefault="00876D7A" w:rsidP="00876D7A">
      <w:pPr>
        <w:pStyle w:val="ListParagraph"/>
        <w:numPr>
          <w:ilvl w:val="0"/>
          <w:numId w:val="10"/>
        </w:numPr>
        <w:rPr>
          <w:rFonts w:ascii="Arial" w:hAnsi="Arial" w:cs="Arial"/>
          <w:iCs/>
        </w:rPr>
      </w:pPr>
      <w:r>
        <w:rPr>
          <w:rFonts w:ascii="Arial" w:hAnsi="Arial" w:cs="Arial"/>
          <w:iCs/>
        </w:rPr>
        <w:t>T</w:t>
      </w:r>
      <w:r w:rsidRPr="00651E0A">
        <w:rPr>
          <w:rFonts w:ascii="Arial" w:hAnsi="Arial" w:cs="Arial"/>
          <w:iCs/>
        </w:rPr>
        <w:t xml:space="preserve">wo hour, closed book examination (60%) at the end of the year. </w:t>
      </w:r>
    </w:p>
    <w:p w:rsidR="00876D7A" w:rsidRPr="0089304C" w:rsidRDefault="00876D7A" w:rsidP="00876D7A">
      <w:pPr>
        <w:spacing w:after="0"/>
        <w:ind w:left="504"/>
        <w:contextualSpacing/>
        <w:rPr>
          <w:rFonts w:ascii="Arial" w:hAnsi="Arial" w:cs="Arial"/>
          <w:iCs/>
        </w:rPr>
      </w:pPr>
    </w:p>
    <w:p w:rsidR="00876D7A" w:rsidRDefault="00876D7A" w:rsidP="00876D7A">
      <w:pPr>
        <w:pStyle w:val="ListParagraph"/>
        <w:spacing w:after="120"/>
        <w:ind w:left="567"/>
        <w:contextualSpacing w:val="0"/>
        <w:rPr>
          <w:rFonts w:ascii="Arial" w:hAnsi="Arial" w:cs="Arial"/>
          <w:iCs/>
        </w:rPr>
      </w:pPr>
      <w:r>
        <w:rPr>
          <w:rFonts w:ascii="Arial" w:hAnsi="Arial" w:cs="Arial"/>
          <w:iCs/>
        </w:rPr>
        <w:t>Reassessment methods:</w:t>
      </w:r>
    </w:p>
    <w:p w:rsidR="001A46F8" w:rsidRPr="007C7B7B" w:rsidRDefault="00876D7A" w:rsidP="002D5D98">
      <w:pPr>
        <w:spacing w:after="120" w:line="240" w:lineRule="auto"/>
        <w:ind w:left="426" w:right="260"/>
        <w:rPr>
          <w:rFonts w:ascii="Arial" w:hAnsi="Arial" w:cs="Arial"/>
          <w:iCs/>
        </w:rPr>
      </w:pPr>
      <w:r w:rsidRPr="00E27A77">
        <w:rPr>
          <w:rFonts w:ascii="Arial" w:hAnsi="Arial" w:cs="Arial"/>
          <w:iCs/>
        </w:rPr>
        <w:t>100% examination</w:t>
      </w:r>
    </w:p>
    <w:p w:rsidR="00274ED7" w:rsidRPr="00D50113" w:rsidRDefault="006F3F8B" w:rsidP="00A7551F">
      <w:pPr>
        <w:numPr>
          <w:ilvl w:val="0"/>
          <w:numId w:val="12"/>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4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66"/>
        <w:gridCol w:w="1419"/>
        <w:gridCol w:w="643"/>
        <w:gridCol w:w="643"/>
        <w:gridCol w:w="643"/>
        <w:gridCol w:w="646"/>
        <w:gridCol w:w="641"/>
        <w:gridCol w:w="641"/>
        <w:gridCol w:w="646"/>
        <w:gridCol w:w="640"/>
      </w:tblGrid>
      <w:tr w:rsidR="00B129B5" w:rsidTr="00A7551F">
        <w:trPr>
          <w:trHeight w:hRule="exact" w:val="891"/>
        </w:trPr>
        <w:tc>
          <w:tcPr>
            <w:tcW w:w="1152" w:type="pct"/>
            <w:shd w:val="clear" w:color="auto" w:fill="D9D9D9"/>
          </w:tcPr>
          <w:p w:rsidR="00B129B5" w:rsidRDefault="00B129B5" w:rsidP="001F0BAC">
            <w:pPr>
              <w:pStyle w:val="TableParagraph"/>
              <w:spacing w:before="2" w:line="252" w:lineRule="exact"/>
              <w:ind w:left="136" w:right="648"/>
              <w:rPr>
                <w:b/>
              </w:rPr>
            </w:pPr>
            <w:r>
              <w:rPr>
                <w:b/>
              </w:rPr>
              <w:t>Module learning outcome</w:t>
            </w:r>
          </w:p>
        </w:tc>
        <w:tc>
          <w:tcPr>
            <w:tcW w:w="832" w:type="pct"/>
          </w:tcPr>
          <w:p w:rsidR="00B129B5" w:rsidRDefault="00B129B5" w:rsidP="001F0BAC"/>
        </w:tc>
        <w:tc>
          <w:tcPr>
            <w:tcW w:w="377" w:type="pct"/>
          </w:tcPr>
          <w:p w:rsidR="00B129B5" w:rsidRDefault="00B129B5" w:rsidP="001F0BAC">
            <w:pPr>
              <w:pStyle w:val="TableParagraph"/>
              <w:ind w:left="100"/>
              <w:rPr>
                <w:i/>
              </w:rPr>
            </w:pPr>
            <w:r>
              <w:rPr>
                <w:i/>
              </w:rPr>
              <w:t>8.1</w:t>
            </w:r>
          </w:p>
        </w:tc>
        <w:tc>
          <w:tcPr>
            <w:tcW w:w="377" w:type="pct"/>
          </w:tcPr>
          <w:p w:rsidR="00B129B5" w:rsidRDefault="00B129B5" w:rsidP="001F0BAC">
            <w:pPr>
              <w:pStyle w:val="TableParagraph"/>
              <w:rPr>
                <w:i/>
              </w:rPr>
            </w:pPr>
            <w:r>
              <w:rPr>
                <w:i/>
              </w:rPr>
              <w:t>8.2</w:t>
            </w:r>
          </w:p>
        </w:tc>
        <w:tc>
          <w:tcPr>
            <w:tcW w:w="377" w:type="pct"/>
          </w:tcPr>
          <w:p w:rsidR="00B129B5" w:rsidRDefault="00B129B5" w:rsidP="001F0BAC">
            <w:pPr>
              <w:pStyle w:val="TableParagraph"/>
              <w:rPr>
                <w:i/>
              </w:rPr>
            </w:pPr>
            <w:r>
              <w:rPr>
                <w:i/>
              </w:rPr>
              <w:t>8.3</w:t>
            </w:r>
          </w:p>
        </w:tc>
        <w:tc>
          <w:tcPr>
            <w:tcW w:w="379" w:type="pct"/>
          </w:tcPr>
          <w:p w:rsidR="00B129B5" w:rsidRDefault="00B129B5" w:rsidP="001F0BAC">
            <w:pPr>
              <w:pStyle w:val="TableParagraph"/>
              <w:rPr>
                <w:i/>
              </w:rPr>
            </w:pPr>
            <w:r>
              <w:rPr>
                <w:i/>
              </w:rPr>
              <w:t>8.4</w:t>
            </w:r>
          </w:p>
        </w:tc>
        <w:tc>
          <w:tcPr>
            <w:tcW w:w="376" w:type="pct"/>
          </w:tcPr>
          <w:p w:rsidR="00B129B5" w:rsidRDefault="00B129B5" w:rsidP="001F0BAC">
            <w:pPr>
              <w:pStyle w:val="TableParagraph"/>
              <w:rPr>
                <w:i/>
              </w:rPr>
            </w:pPr>
            <w:r>
              <w:rPr>
                <w:i/>
              </w:rPr>
              <w:t>9.1</w:t>
            </w:r>
          </w:p>
        </w:tc>
        <w:tc>
          <w:tcPr>
            <w:tcW w:w="376" w:type="pct"/>
          </w:tcPr>
          <w:p w:rsidR="00B129B5" w:rsidRDefault="00B129B5" w:rsidP="001F0BAC">
            <w:pPr>
              <w:pStyle w:val="TableParagraph"/>
              <w:rPr>
                <w:i/>
              </w:rPr>
            </w:pPr>
            <w:r>
              <w:rPr>
                <w:i/>
              </w:rPr>
              <w:t>9.2</w:t>
            </w:r>
          </w:p>
        </w:tc>
        <w:tc>
          <w:tcPr>
            <w:tcW w:w="379" w:type="pct"/>
          </w:tcPr>
          <w:p w:rsidR="00B129B5" w:rsidRDefault="00B129B5" w:rsidP="001F0BAC">
            <w:pPr>
              <w:pStyle w:val="TableParagraph"/>
              <w:rPr>
                <w:i/>
              </w:rPr>
            </w:pPr>
            <w:r>
              <w:rPr>
                <w:i/>
              </w:rPr>
              <w:t>9.3</w:t>
            </w:r>
          </w:p>
        </w:tc>
        <w:tc>
          <w:tcPr>
            <w:tcW w:w="375" w:type="pct"/>
          </w:tcPr>
          <w:p w:rsidR="00B129B5" w:rsidRDefault="00B129B5" w:rsidP="001F0BAC">
            <w:pPr>
              <w:pStyle w:val="TableParagraph"/>
              <w:ind w:left="100"/>
              <w:rPr>
                <w:i/>
              </w:rPr>
            </w:pPr>
            <w:r>
              <w:rPr>
                <w:i/>
              </w:rPr>
              <w:t>9.4</w:t>
            </w:r>
          </w:p>
        </w:tc>
      </w:tr>
      <w:tr w:rsidR="00B129B5" w:rsidTr="00A7551F">
        <w:trPr>
          <w:trHeight w:hRule="exact" w:val="888"/>
        </w:trPr>
        <w:tc>
          <w:tcPr>
            <w:tcW w:w="1152" w:type="pct"/>
            <w:shd w:val="clear" w:color="auto" w:fill="D9D9D9"/>
          </w:tcPr>
          <w:p w:rsidR="00B129B5" w:rsidRDefault="00B129B5" w:rsidP="001F0BAC">
            <w:pPr>
              <w:pStyle w:val="TableParagraph"/>
              <w:ind w:right="608"/>
              <w:rPr>
                <w:b/>
              </w:rPr>
            </w:pPr>
            <w:r>
              <w:rPr>
                <w:b/>
              </w:rPr>
              <w:t>Learning/ teaching method</w:t>
            </w:r>
          </w:p>
        </w:tc>
        <w:tc>
          <w:tcPr>
            <w:tcW w:w="832" w:type="pct"/>
            <w:shd w:val="clear" w:color="auto" w:fill="D9D9D9"/>
          </w:tcPr>
          <w:p w:rsidR="00B129B5" w:rsidRDefault="00B129B5" w:rsidP="001F0BAC">
            <w:pPr>
              <w:pStyle w:val="TableParagraph"/>
              <w:spacing w:line="252" w:lineRule="exact"/>
              <w:ind w:right="162"/>
              <w:rPr>
                <w:b/>
              </w:rPr>
            </w:pPr>
            <w:r>
              <w:rPr>
                <w:b/>
              </w:rPr>
              <w:t>Hours allocated</w:t>
            </w:r>
          </w:p>
        </w:tc>
        <w:tc>
          <w:tcPr>
            <w:tcW w:w="377" w:type="pct"/>
          </w:tcPr>
          <w:p w:rsidR="00B129B5" w:rsidRDefault="00B129B5" w:rsidP="001F0BAC"/>
        </w:tc>
        <w:tc>
          <w:tcPr>
            <w:tcW w:w="377" w:type="pct"/>
          </w:tcPr>
          <w:p w:rsidR="00B129B5" w:rsidRDefault="00B129B5" w:rsidP="001F0BAC"/>
        </w:tc>
        <w:tc>
          <w:tcPr>
            <w:tcW w:w="377" w:type="pct"/>
          </w:tcPr>
          <w:p w:rsidR="00B129B5" w:rsidRDefault="00B129B5" w:rsidP="001F0BAC"/>
        </w:tc>
        <w:tc>
          <w:tcPr>
            <w:tcW w:w="379" w:type="pct"/>
          </w:tcPr>
          <w:p w:rsidR="00B129B5" w:rsidRDefault="00B129B5" w:rsidP="001F0BAC"/>
        </w:tc>
        <w:tc>
          <w:tcPr>
            <w:tcW w:w="376" w:type="pct"/>
          </w:tcPr>
          <w:p w:rsidR="00B129B5" w:rsidRDefault="00B129B5" w:rsidP="001F0BAC"/>
        </w:tc>
        <w:tc>
          <w:tcPr>
            <w:tcW w:w="376" w:type="pct"/>
          </w:tcPr>
          <w:p w:rsidR="00B129B5" w:rsidRDefault="00B129B5" w:rsidP="001F0BAC"/>
        </w:tc>
        <w:tc>
          <w:tcPr>
            <w:tcW w:w="379" w:type="pct"/>
          </w:tcPr>
          <w:p w:rsidR="00B129B5" w:rsidRDefault="00B129B5" w:rsidP="001F0BAC"/>
        </w:tc>
        <w:tc>
          <w:tcPr>
            <w:tcW w:w="375" w:type="pct"/>
          </w:tcPr>
          <w:p w:rsidR="00B129B5" w:rsidRDefault="00B129B5" w:rsidP="001F0BAC"/>
        </w:tc>
      </w:tr>
      <w:tr w:rsidR="00B129B5" w:rsidTr="00A7551F">
        <w:trPr>
          <w:trHeight w:hRule="exact" w:val="384"/>
        </w:trPr>
        <w:tc>
          <w:tcPr>
            <w:tcW w:w="1152" w:type="pct"/>
          </w:tcPr>
          <w:p w:rsidR="00B129B5" w:rsidRPr="00A7551F" w:rsidRDefault="00B129B5" w:rsidP="001F0BAC">
            <w:pPr>
              <w:pStyle w:val="TableParagraph"/>
              <w:spacing w:line="248" w:lineRule="exact"/>
            </w:pPr>
            <w:r w:rsidRPr="00A7551F">
              <w:t>Private Study</w:t>
            </w:r>
          </w:p>
        </w:tc>
        <w:tc>
          <w:tcPr>
            <w:tcW w:w="832" w:type="pct"/>
          </w:tcPr>
          <w:p w:rsidR="00B129B5" w:rsidRDefault="00B129B5" w:rsidP="001F0BAC">
            <w:pPr>
              <w:pStyle w:val="TableParagraph"/>
              <w:spacing w:line="251" w:lineRule="exact"/>
              <w:rPr>
                <w:i/>
              </w:rPr>
            </w:pPr>
            <w:r>
              <w:rPr>
                <w:i/>
              </w:rPr>
              <w:t>50</w:t>
            </w:r>
          </w:p>
        </w:tc>
        <w:tc>
          <w:tcPr>
            <w:tcW w:w="377" w:type="pct"/>
            <w:vAlign w:val="center"/>
          </w:tcPr>
          <w:p w:rsidR="00B129B5" w:rsidRDefault="00B129B5" w:rsidP="001A46F8">
            <w:pPr>
              <w:jc w:val="center"/>
              <w:rPr>
                <w:b/>
              </w:rPr>
            </w:pPr>
            <w:r>
              <w:rPr>
                <w:b/>
              </w:rPr>
              <w:t>X</w:t>
            </w:r>
          </w:p>
        </w:tc>
        <w:tc>
          <w:tcPr>
            <w:tcW w:w="377" w:type="pct"/>
            <w:vAlign w:val="center"/>
          </w:tcPr>
          <w:p w:rsidR="00B129B5" w:rsidRDefault="00B129B5" w:rsidP="001A46F8">
            <w:pPr>
              <w:jc w:val="center"/>
              <w:rPr>
                <w:b/>
              </w:rPr>
            </w:pPr>
            <w:r>
              <w:rPr>
                <w:b/>
              </w:rPr>
              <w:t>X</w:t>
            </w:r>
          </w:p>
        </w:tc>
        <w:tc>
          <w:tcPr>
            <w:tcW w:w="377" w:type="pct"/>
            <w:vAlign w:val="center"/>
          </w:tcPr>
          <w:p w:rsidR="00B129B5" w:rsidRDefault="00B129B5" w:rsidP="001A46F8">
            <w:pPr>
              <w:jc w:val="center"/>
              <w:rPr>
                <w:b/>
              </w:rPr>
            </w:pPr>
            <w:r>
              <w:rPr>
                <w:b/>
              </w:rPr>
              <w:t>X</w:t>
            </w:r>
          </w:p>
        </w:tc>
        <w:tc>
          <w:tcPr>
            <w:tcW w:w="379" w:type="pct"/>
            <w:vAlign w:val="center"/>
          </w:tcPr>
          <w:p w:rsidR="00B129B5" w:rsidRDefault="00B129B5" w:rsidP="001A46F8">
            <w:pPr>
              <w:jc w:val="center"/>
              <w:rPr>
                <w:b/>
              </w:rPr>
            </w:pPr>
            <w:r>
              <w:rPr>
                <w:b/>
              </w:rPr>
              <w:t>X</w:t>
            </w:r>
          </w:p>
        </w:tc>
        <w:tc>
          <w:tcPr>
            <w:tcW w:w="376" w:type="pct"/>
            <w:vAlign w:val="center"/>
          </w:tcPr>
          <w:p w:rsidR="00B129B5" w:rsidRPr="001A46F8" w:rsidRDefault="00B129B5" w:rsidP="001A46F8">
            <w:pPr>
              <w:jc w:val="center"/>
              <w:rPr>
                <w:b/>
              </w:rPr>
            </w:pPr>
            <w:r w:rsidRPr="00C75912">
              <w:rPr>
                <w:b/>
              </w:rPr>
              <w:t>X</w:t>
            </w:r>
          </w:p>
        </w:tc>
        <w:tc>
          <w:tcPr>
            <w:tcW w:w="376" w:type="pct"/>
            <w:vAlign w:val="center"/>
          </w:tcPr>
          <w:p w:rsidR="00B129B5" w:rsidRPr="001A46F8" w:rsidRDefault="00B129B5" w:rsidP="001A46F8">
            <w:pPr>
              <w:jc w:val="center"/>
              <w:rPr>
                <w:b/>
              </w:rPr>
            </w:pPr>
            <w:r w:rsidRPr="00C75912">
              <w:rPr>
                <w:b/>
              </w:rPr>
              <w:t>X</w:t>
            </w:r>
          </w:p>
        </w:tc>
        <w:tc>
          <w:tcPr>
            <w:tcW w:w="379" w:type="pct"/>
            <w:vAlign w:val="center"/>
          </w:tcPr>
          <w:p w:rsidR="00B129B5" w:rsidRPr="001A46F8" w:rsidRDefault="00B129B5" w:rsidP="001A46F8">
            <w:pPr>
              <w:jc w:val="center"/>
              <w:rPr>
                <w:b/>
              </w:rPr>
            </w:pPr>
            <w:r w:rsidRPr="00C75912">
              <w:rPr>
                <w:b/>
              </w:rPr>
              <w:t>X</w:t>
            </w:r>
          </w:p>
        </w:tc>
        <w:tc>
          <w:tcPr>
            <w:tcW w:w="375" w:type="pct"/>
            <w:vAlign w:val="center"/>
          </w:tcPr>
          <w:p w:rsidR="00B129B5" w:rsidRPr="001A46F8" w:rsidRDefault="00B129B5" w:rsidP="001A46F8">
            <w:pPr>
              <w:jc w:val="center"/>
              <w:rPr>
                <w:b/>
              </w:rPr>
            </w:pPr>
            <w:r w:rsidRPr="00C75912">
              <w:rPr>
                <w:b/>
              </w:rPr>
              <w:t>X</w:t>
            </w:r>
          </w:p>
        </w:tc>
      </w:tr>
      <w:tr w:rsidR="00B129B5" w:rsidTr="00A7551F">
        <w:trPr>
          <w:trHeight w:hRule="exact" w:val="382"/>
        </w:trPr>
        <w:tc>
          <w:tcPr>
            <w:tcW w:w="1152" w:type="pct"/>
          </w:tcPr>
          <w:p w:rsidR="00B129B5" w:rsidRDefault="00B129B5" w:rsidP="001F0BAC">
            <w:pPr>
              <w:pStyle w:val="TableParagraph"/>
              <w:spacing w:line="251" w:lineRule="exact"/>
            </w:pPr>
            <w:r>
              <w:t>Teaching</w:t>
            </w:r>
          </w:p>
        </w:tc>
        <w:tc>
          <w:tcPr>
            <w:tcW w:w="832" w:type="pct"/>
          </w:tcPr>
          <w:p w:rsidR="00B129B5" w:rsidRDefault="00B129B5" w:rsidP="001F0BAC">
            <w:pPr>
              <w:pStyle w:val="TableParagraph"/>
              <w:spacing w:line="251" w:lineRule="exact"/>
              <w:rPr>
                <w:i/>
              </w:rPr>
            </w:pPr>
            <w:r>
              <w:rPr>
                <w:i/>
              </w:rPr>
              <w:t>50</w:t>
            </w:r>
          </w:p>
        </w:tc>
        <w:tc>
          <w:tcPr>
            <w:tcW w:w="377" w:type="pct"/>
            <w:vAlign w:val="center"/>
          </w:tcPr>
          <w:p w:rsidR="00B129B5" w:rsidRPr="001A46F8" w:rsidRDefault="00B129B5" w:rsidP="001A46F8">
            <w:pPr>
              <w:jc w:val="center"/>
              <w:rPr>
                <w:b/>
              </w:rPr>
            </w:pPr>
            <w:r w:rsidRPr="00C11C5F">
              <w:rPr>
                <w:b/>
              </w:rPr>
              <w:t>X</w:t>
            </w:r>
          </w:p>
        </w:tc>
        <w:tc>
          <w:tcPr>
            <w:tcW w:w="377" w:type="pct"/>
            <w:vAlign w:val="center"/>
          </w:tcPr>
          <w:p w:rsidR="00B129B5" w:rsidRPr="001A46F8" w:rsidRDefault="00B129B5" w:rsidP="001A46F8">
            <w:pPr>
              <w:jc w:val="center"/>
              <w:rPr>
                <w:b/>
              </w:rPr>
            </w:pPr>
            <w:r w:rsidRPr="00C11C5F">
              <w:rPr>
                <w:b/>
              </w:rPr>
              <w:t>X</w:t>
            </w:r>
          </w:p>
        </w:tc>
        <w:tc>
          <w:tcPr>
            <w:tcW w:w="377" w:type="pct"/>
            <w:vAlign w:val="center"/>
          </w:tcPr>
          <w:p w:rsidR="00B129B5" w:rsidRPr="001A46F8" w:rsidRDefault="00B129B5" w:rsidP="001A46F8">
            <w:pPr>
              <w:jc w:val="center"/>
              <w:rPr>
                <w:b/>
              </w:rPr>
            </w:pPr>
            <w:r w:rsidRPr="00C11C5F">
              <w:rPr>
                <w:b/>
              </w:rPr>
              <w:t>X</w:t>
            </w:r>
          </w:p>
        </w:tc>
        <w:tc>
          <w:tcPr>
            <w:tcW w:w="379" w:type="pct"/>
            <w:vAlign w:val="center"/>
          </w:tcPr>
          <w:p w:rsidR="00B129B5" w:rsidRPr="001A46F8" w:rsidRDefault="00B129B5" w:rsidP="001A46F8">
            <w:pPr>
              <w:jc w:val="center"/>
              <w:rPr>
                <w:b/>
              </w:rPr>
            </w:pPr>
            <w:r w:rsidRPr="00C11C5F">
              <w:rPr>
                <w:b/>
              </w:rPr>
              <w:t>X</w:t>
            </w:r>
          </w:p>
        </w:tc>
        <w:tc>
          <w:tcPr>
            <w:tcW w:w="376" w:type="pct"/>
            <w:vAlign w:val="center"/>
          </w:tcPr>
          <w:p w:rsidR="00B129B5" w:rsidRPr="001A46F8" w:rsidRDefault="00B129B5" w:rsidP="001A46F8">
            <w:pPr>
              <w:jc w:val="center"/>
              <w:rPr>
                <w:b/>
              </w:rPr>
            </w:pPr>
            <w:r w:rsidRPr="00C11C5F">
              <w:rPr>
                <w:b/>
              </w:rPr>
              <w:t>X</w:t>
            </w:r>
          </w:p>
        </w:tc>
        <w:tc>
          <w:tcPr>
            <w:tcW w:w="376" w:type="pct"/>
            <w:vAlign w:val="center"/>
          </w:tcPr>
          <w:p w:rsidR="00B129B5" w:rsidRPr="001A46F8" w:rsidRDefault="00B129B5" w:rsidP="001A46F8">
            <w:pPr>
              <w:jc w:val="center"/>
              <w:rPr>
                <w:b/>
              </w:rPr>
            </w:pPr>
            <w:r w:rsidRPr="00C11C5F">
              <w:rPr>
                <w:b/>
              </w:rPr>
              <w:t>X</w:t>
            </w:r>
          </w:p>
        </w:tc>
        <w:tc>
          <w:tcPr>
            <w:tcW w:w="379" w:type="pct"/>
            <w:vAlign w:val="center"/>
          </w:tcPr>
          <w:p w:rsidR="00B129B5" w:rsidRPr="001A46F8" w:rsidRDefault="00B129B5" w:rsidP="001A46F8">
            <w:pPr>
              <w:jc w:val="center"/>
              <w:rPr>
                <w:b/>
              </w:rPr>
            </w:pPr>
            <w:r w:rsidRPr="00C11C5F">
              <w:rPr>
                <w:b/>
              </w:rPr>
              <w:t>X</w:t>
            </w:r>
          </w:p>
        </w:tc>
        <w:tc>
          <w:tcPr>
            <w:tcW w:w="375" w:type="pct"/>
            <w:vAlign w:val="center"/>
          </w:tcPr>
          <w:p w:rsidR="00B129B5" w:rsidRPr="001A46F8" w:rsidRDefault="00B129B5" w:rsidP="001A46F8">
            <w:pPr>
              <w:jc w:val="center"/>
              <w:rPr>
                <w:b/>
              </w:rPr>
            </w:pPr>
            <w:r w:rsidRPr="00C11C5F">
              <w:rPr>
                <w:b/>
              </w:rPr>
              <w:t>X</w:t>
            </w:r>
          </w:p>
        </w:tc>
      </w:tr>
      <w:tr w:rsidR="00B129B5" w:rsidTr="00A7551F">
        <w:trPr>
          <w:trHeight w:hRule="exact" w:val="636"/>
        </w:trPr>
        <w:tc>
          <w:tcPr>
            <w:tcW w:w="1152" w:type="pct"/>
          </w:tcPr>
          <w:p w:rsidR="00B129B5" w:rsidRDefault="00B129B5" w:rsidP="001F0BAC">
            <w:pPr>
              <w:pStyle w:val="TableParagraph"/>
              <w:spacing w:line="242" w:lineRule="auto"/>
              <w:ind w:right="412"/>
            </w:pPr>
            <w:r>
              <w:t>Work-based experience</w:t>
            </w:r>
          </w:p>
        </w:tc>
        <w:tc>
          <w:tcPr>
            <w:tcW w:w="832" w:type="pct"/>
          </w:tcPr>
          <w:p w:rsidR="00B129B5" w:rsidRDefault="00B129B5" w:rsidP="001F0BAC">
            <w:pPr>
              <w:pStyle w:val="TableParagraph"/>
              <w:spacing w:line="251" w:lineRule="exact"/>
              <w:rPr>
                <w:i/>
              </w:rPr>
            </w:pPr>
            <w:r>
              <w:rPr>
                <w:i/>
              </w:rPr>
              <w:t>50</w:t>
            </w:r>
          </w:p>
        </w:tc>
        <w:tc>
          <w:tcPr>
            <w:tcW w:w="377" w:type="pct"/>
            <w:vAlign w:val="center"/>
          </w:tcPr>
          <w:p w:rsidR="00B129B5" w:rsidRPr="001A46F8" w:rsidRDefault="00B129B5" w:rsidP="001A46F8">
            <w:pPr>
              <w:jc w:val="center"/>
              <w:rPr>
                <w:b/>
              </w:rPr>
            </w:pPr>
          </w:p>
        </w:tc>
        <w:tc>
          <w:tcPr>
            <w:tcW w:w="377" w:type="pct"/>
            <w:vAlign w:val="center"/>
          </w:tcPr>
          <w:p w:rsidR="00B129B5" w:rsidRPr="001A46F8" w:rsidRDefault="00B129B5" w:rsidP="001A46F8">
            <w:pPr>
              <w:jc w:val="center"/>
              <w:rPr>
                <w:b/>
              </w:rPr>
            </w:pPr>
          </w:p>
        </w:tc>
        <w:tc>
          <w:tcPr>
            <w:tcW w:w="377" w:type="pct"/>
            <w:vAlign w:val="center"/>
          </w:tcPr>
          <w:p w:rsidR="00B129B5" w:rsidRPr="001A46F8" w:rsidRDefault="00B129B5" w:rsidP="001A46F8">
            <w:pPr>
              <w:jc w:val="center"/>
              <w:rPr>
                <w:b/>
              </w:rPr>
            </w:pPr>
          </w:p>
        </w:tc>
        <w:tc>
          <w:tcPr>
            <w:tcW w:w="379" w:type="pct"/>
            <w:vAlign w:val="center"/>
          </w:tcPr>
          <w:p w:rsidR="00B129B5" w:rsidRPr="001A46F8" w:rsidRDefault="00B129B5" w:rsidP="001A46F8">
            <w:pPr>
              <w:jc w:val="center"/>
              <w:rPr>
                <w:b/>
              </w:rPr>
            </w:pPr>
          </w:p>
        </w:tc>
        <w:tc>
          <w:tcPr>
            <w:tcW w:w="376" w:type="pct"/>
            <w:vAlign w:val="center"/>
          </w:tcPr>
          <w:p w:rsidR="00B129B5" w:rsidRPr="001A46F8" w:rsidRDefault="00B129B5" w:rsidP="001A46F8">
            <w:pPr>
              <w:pStyle w:val="TableParagraph"/>
              <w:spacing w:line="248" w:lineRule="exact"/>
              <w:jc w:val="center"/>
              <w:rPr>
                <w:rFonts w:asciiTheme="minorHAnsi" w:eastAsiaTheme="minorEastAsia" w:hAnsiTheme="minorHAnsi" w:cstheme="minorBidi"/>
                <w:b/>
                <w:lang w:val="en-GB" w:eastAsia="en-GB"/>
              </w:rPr>
            </w:pPr>
            <w:r w:rsidRPr="001A46F8">
              <w:rPr>
                <w:rFonts w:asciiTheme="minorHAnsi" w:eastAsiaTheme="minorEastAsia" w:hAnsiTheme="minorHAnsi" w:cstheme="minorBidi"/>
                <w:b/>
                <w:lang w:val="en-GB" w:eastAsia="en-GB"/>
              </w:rPr>
              <w:t>X</w:t>
            </w:r>
          </w:p>
        </w:tc>
        <w:tc>
          <w:tcPr>
            <w:tcW w:w="376" w:type="pct"/>
            <w:vAlign w:val="center"/>
          </w:tcPr>
          <w:p w:rsidR="00B129B5" w:rsidRPr="001A46F8" w:rsidRDefault="00B129B5" w:rsidP="001A46F8">
            <w:pPr>
              <w:pStyle w:val="TableParagraph"/>
              <w:spacing w:line="248" w:lineRule="exact"/>
              <w:jc w:val="center"/>
              <w:rPr>
                <w:rFonts w:asciiTheme="minorHAnsi" w:eastAsiaTheme="minorEastAsia" w:hAnsiTheme="minorHAnsi" w:cstheme="minorBidi"/>
                <w:b/>
                <w:lang w:val="en-GB" w:eastAsia="en-GB"/>
              </w:rPr>
            </w:pPr>
            <w:r w:rsidRPr="001A46F8">
              <w:rPr>
                <w:rFonts w:asciiTheme="minorHAnsi" w:eastAsiaTheme="minorEastAsia" w:hAnsiTheme="minorHAnsi" w:cstheme="minorBidi"/>
                <w:b/>
                <w:lang w:val="en-GB" w:eastAsia="en-GB"/>
              </w:rPr>
              <w:t>X</w:t>
            </w:r>
          </w:p>
        </w:tc>
        <w:tc>
          <w:tcPr>
            <w:tcW w:w="379" w:type="pct"/>
            <w:vAlign w:val="center"/>
          </w:tcPr>
          <w:p w:rsidR="00B129B5" w:rsidRPr="001A46F8" w:rsidRDefault="00B129B5" w:rsidP="001A46F8">
            <w:pPr>
              <w:pStyle w:val="TableParagraph"/>
              <w:spacing w:line="248" w:lineRule="exact"/>
              <w:jc w:val="center"/>
              <w:rPr>
                <w:rFonts w:asciiTheme="minorHAnsi" w:eastAsiaTheme="minorEastAsia" w:hAnsiTheme="minorHAnsi" w:cstheme="minorBidi"/>
                <w:b/>
                <w:lang w:val="en-GB" w:eastAsia="en-GB"/>
              </w:rPr>
            </w:pPr>
            <w:r w:rsidRPr="001A46F8">
              <w:rPr>
                <w:rFonts w:asciiTheme="minorHAnsi" w:eastAsiaTheme="minorEastAsia" w:hAnsiTheme="minorHAnsi" w:cstheme="minorBidi"/>
                <w:b/>
                <w:lang w:val="en-GB" w:eastAsia="en-GB"/>
              </w:rPr>
              <w:t>X</w:t>
            </w:r>
          </w:p>
        </w:tc>
        <w:tc>
          <w:tcPr>
            <w:tcW w:w="375" w:type="pct"/>
            <w:vAlign w:val="center"/>
          </w:tcPr>
          <w:p w:rsidR="00B129B5" w:rsidRPr="001A46F8" w:rsidRDefault="00B129B5" w:rsidP="001A46F8">
            <w:pPr>
              <w:pStyle w:val="TableParagraph"/>
              <w:spacing w:line="248" w:lineRule="exact"/>
              <w:ind w:left="100"/>
              <w:jc w:val="center"/>
              <w:rPr>
                <w:rFonts w:asciiTheme="minorHAnsi" w:eastAsiaTheme="minorEastAsia" w:hAnsiTheme="minorHAnsi" w:cstheme="minorBidi"/>
                <w:b/>
                <w:lang w:val="en-GB" w:eastAsia="en-GB"/>
              </w:rPr>
            </w:pPr>
            <w:r w:rsidRPr="001A46F8">
              <w:rPr>
                <w:rFonts w:asciiTheme="minorHAnsi" w:eastAsiaTheme="minorEastAsia" w:hAnsiTheme="minorHAnsi" w:cstheme="minorBidi"/>
                <w:b/>
                <w:lang w:val="en-GB" w:eastAsia="en-GB"/>
              </w:rPr>
              <w:t>X</w:t>
            </w:r>
          </w:p>
        </w:tc>
      </w:tr>
      <w:tr w:rsidR="00B129B5" w:rsidTr="00A7551F">
        <w:trPr>
          <w:trHeight w:hRule="exact" w:val="636"/>
        </w:trPr>
        <w:tc>
          <w:tcPr>
            <w:tcW w:w="1152" w:type="pct"/>
            <w:shd w:val="clear" w:color="auto" w:fill="D9D9D9"/>
          </w:tcPr>
          <w:p w:rsidR="00B129B5" w:rsidRDefault="00B129B5" w:rsidP="001F0BAC">
            <w:pPr>
              <w:pStyle w:val="TableParagraph"/>
              <w:spacing w:line="242" w:lineRule="auto"/>
              <w:ind w:right="301"/>
              <w:rPr>
                <w:b/>
              </w:rPr>
            </w:pPr>
            <w:r>
              <w:rPr>
                <w:b/>
              </w:rPr>
              <w:t>Assessment method</w:t>
            </w:r>
          </w:p>
        </w:tc>
        <w:tc>
          <w:tcPr>
            <w:tcW w:w="832" w:type="pct"/>
            <w:shd w:val="clear" w:color="auto" w:fill="D9D9D9"/>
          </w:tcPr>
          <w:p w:rsidR="00B129B5" w:rsidRDefault="00B129B5" w:rsidP="001F0BAC"/>
        </w:tc>
        <w:tc>
          <w:tcPr>
            <w:tcW w:w="377" w:type="pct"/>
            <w:vAlign w:val="center"/>
          </w:tcPr>
          <w:p w:rsidR="00B129B5" w:rsidRPr="001A46F8" w:rsidRDefault="00B129B5" w:rsidP="001A46F8">
            <w:pPr>
              <w:jc w:val="center"/>
              <w:rPr>
                <w:b/>
              </w:rPr>
            </w:pPr>
          </w:p>
        </w:tc>
        <w:tc>
          <w:tcPr>
            <w:tcW w:w="377" w:type="pct"/>
            <w:vAlign w:val="center"/>
          </w:tcPr>
          <w:p w:rsidR="00B129B5" w:rsidRPr="001A46F8" w:rsidRDefault="00B129B5" w:rsidP="001A46F8">
            <w:pPr>
              <w:jc w:val="center"/>
              <w:rPr>
                <w:b/>
              </w:rPr>
            </w:pPr>
          </w:p>
        </w:tc>
        <w:tc>
          <w:tcPr>
            <w:tcW w:w="377" w:type="pct"/>
            <w:vAlign w:val="center"/>
          </w:tcPr>
          <w:p w:rsidR="00B129B5" w:rsidRPr="001A46F8" w:rsidRDefault="00B129B5" w:rsidP="001A46F8">
            <w:pPr>
              <w:jc w:val="center"/>
              <w:rPr>
                <w:b/>
              </w:rPr>
            </w:pPr>
          </w:p>
        </w:tc>
        <w:tc>
          <w:tcPr>
            <w:tcW w:w="379" w:type="pct"/>
            <w:vAlign w:val="center"/>
          </w:tcPr>
          <w:p w:rsidR="00B129B5" w:rsidRPr="001A46F8" w:rsidRDefault="00B129B5" w:rsidP="001A46F8">
            <w:pPr>
              <w:jc w:val="center"/>
              <w:rPr>
                <w:b/>
              </w:rPr>
            </w:pPr>
          </w:p>
        </w:tc>
        <w:tc>
          <w:tcPr>
            <w:tcW w:w="376" w:type="pct"/>
            <w:vAlign w:val="center"/>
          </w:tcPr>
          <w:p w:rsidR="00B129B5" w:rsidRPr="001A46F8" w:rsidRDefault="00B129B5" w:rsidP="001A46F8">
            <w:pPr>
              <w:jc w:val="center"/>
              <w:rPr>
                <w:b/>
              </w:rPr>
            </w:pPr>
          </w:p>
        </w:tc>
        <w:tc>
          <w:tcPr>
            <w:tcW w:w="376" w:type="pct"/>
            <w:vAlign w:val="center"/>
          </w:tcPr>
          <w:p w:rsidR="00B129B5" w:rsidRPr="001A46F8" w:rsidRDefault="00B129B5" w:rsidP="001A46F8">
            <w:pPr>
              <w:jc w:val="center"/>
              <w:rPr>
                <w:b/>
              </w:rPr>
            </w:pPr>
          </w:p>
        </w:tc>
        <w:tc>
          <w:tcPr>
            <w:tcW w:w="379" w:type="pct"/>
            <w:vAlign w:val="center"/>
          </w:tcPr>
          <w:p w:rsidR="00B129B5" w:rsidRPr="001A46F8" w:rsidRDefault="00B129B5" w:rsidP="001A46F8">
            <w:pPr>
              <w:jc w:val="center"/>
              <w:rPr>
                <w:b/>
              </w:rPr>
            </w:pPr>
          </w:p>
        </w:tc>
        <w:tc>
          <w:tcPr>
            <w:tcW w:w="375" w:type="pct"/>
            <w:vAlign w:val="center"/>
          </w:tcPr>
          <w:p w:rsidR="00B129B5" w:rsidRPr="001A46F8" w:rsidRDefault="00B129B5" w:rsidP="001A46F8">
            <w:pPr>
              <w:jc w:val="center"/>
              <w:rPr>
                <w:b/>
              </w:rPr>
            </w:pPr>
          </w:p>
        </w:tc>
      </w:tr>
      <w:tr w:rsidR="00B129B5" w:rsidTr="00A7551F">
        <w:trPr>
          <w:trHeight w:hRule="exact" w:val="1338"/>
        </w:trPr>
        <w:tc>
          <w:tcPr>
            <w:tcW w:w="1152" w:type="pct"/>
          </w:tcPr>
          <w:p w:rsidR="00B129B5" w:rsidRDefault="00B129B5" w:rsidP="001F0BAC">
            <w:pPr>
              <w:pStyle w:val="TableParagraph"/>
              <w:spacing w:line="242" w:lineRule="auto"/>
              <w:ind w:right="473"/>
            </w:pPr>
            <w:r>
              <w:t>VLE</w:t>
            </w:r>
            <w:r w:rsidRPr="00E27A77">
              <w:t xml:space="preserve"> Test</w:t>
            </w:r>
            <w:r>
              <w:t>/Quiz</w:t>
            </w:r>
          </w:p>
        </w:tc>
        <w:tc>
          <w:tcPr>
            <w:tcW w:w="832" w:type="pct"/>
          </w:tcPr>
          <w:p w:rsidR="00B129B5" w:rsidRDefault="00B129B5" w:rsidP="001F0BAC">
            <w:pPr>
              <w:pStyle w:val="TableParagraph"/>
              <w:spacing w:line="251" w:lineRule="exact"/>
              <w:rPr>
                <w:i/>
              </w:rPr>
            </w:pPr>
            <w:r>
              <w:t>10%</w:t>
            </w:r>
          </w:p>
        </w:tc>
        <w:tc>
          <w:tcPr>
            <w:tcW w:w="377" w:type="pct"/>
          </w:tcPr>
          <w:p w:rsidR="00B129B5" w:rsidRPr="001A46F8" w:rsidRDefault="00B129B5" w:rsidP="001A46F8">
            <w:pPr>
              <w:jc w:val="center"/>
              <w:rPr>
                <w:b/>
              </w:rPr>
            </w:pPr>
            <w:r w:rsidRPr="005D601D">
              <w:rPr>
                <w:rFonts w:ascii="Arial" w:hAnsi="Arial" w:cs="Arial"/>
              </w:rPr>
              <w:t>X</w:t>
            </w:r>
          </w:p>
        </w:tc>
        <w:tc>
          <w:tcPr>
            <w:tcW w:w="377" w:type="pct"/>
          </w:tcPr>
          <w:p w:rsidR="00B129B5" w:rsidRPr="001A46F8" w:rsidRDefault="00B129B5" w:rsidP="001A46F8">
            <w:pPr>
              <w:jc w:val="center"/>
              <w:rPr>
                <w:b/>
              </w:rPr>
            </w:pPr>
            <w:r w:rsidRPr="005D601D">
              <w:rPr>
                <w:rFonts w:ascii="Arial" w:hAnsi="Arial" w:cs="Arial"/>
              </w:rPr>
              <w:t>X</w:t>
            </w:r>
          </w:p>
        </w:tc>
        <w:tc>
          <w:tcPr>
            <w:tcW w:w="377" w:type="pct"/>
          </w:tcPr>
          <w:p w:rsidR="00B129B5" w:rsidRPr="001A46F8" w:rsidRDefault="00B129B5" w:rsidP="001A46F8">
            <w:pPr>
              <w:jc w:val="center"/>
              <w:rPr>
                <w:b/>
              </w:rPr>
            </w:pPr>
            <w:r w:rsidRPr="005D601D">
              <w:rPr>
                <w:rFonts w:ascii="Arial" w:hAnsi="Arial" w:cs="Arial"/>
              </w:rPr>
              <w:t>X</w:t>
            </w:r>
          </w:p>
        </w:tc>
        <w:tc>
          <w:tcPr>
            <w:tcW w:w="379" w:type="pct"/>
          </w:tcPr>
          <w:p w:rsidR="00B129B5" w:rsidRPr="001A46F8" w:rsidRDefault="00B129B5" w:rsidP="001A46F8">
            <w:pPr>
              <w:jc w:val="center"/>
              <w:rPr>
                <w:b/>
              </w:rPr>
            </w:pPr>
            <w:r w:rsidRPr="005D601D">
              <w:rPr>
                <w:rFonts w:ascii="Arial" w:hAnsi="Arial" w:cs="Arial"/>
              </w:rPr>
              <w:t>X</w:t>
            </w:r>
          </w:p>
        </w:tc>
        <w:tc>
          <w:tcPr>
            <w:tcW w:w="376" w:type="pct"/>
          </w:tcPr>
          <w:p w:rsidR="00B129B5" w:rsidRPr="001A46F8" w:rsidRDefault="00B129B5" w:rsidP="001A46F8">
            <w:pPr>
              <w:jc w:val="center"/>
              <w:rPr>
                <w:b/>
              </w:rPr>
            </w:pPr>
            <w:r w:rsidRPr="005D601D">
              <w:rPr>
                <w:rFonts w:ascii="Arial" w:hAnsi="Arial" w:cs="Arial"/>
              </w:rPr>
              <w:t>X</w:t>
            </w:r>
          </w:p>
        </w:tc>
        <w:tc>
          <w:tcPr>
            <w:tcW w:w="376" w:type="pct"/>
          </w:tcPr>
          <w:p w:rsidR="00B129B5" w:rsidRPr="001A46F8" w:rsidRDefault="00B129B5" w:rsidP="001A46F8">
            <w:pPr>
              <w:jc w:val="center"/>
              <w:rPr>
                <w:b/>
              </w:rPr>
            </w:pPr>
            <w:r w:rsidRPr="005D601D">
              <w:rPr>
                <w:rFonts w:ascii="Arial" w:hAnsi="Arial" w:cs="Arial"/>
              </w:rPr>
              <w:t>X</w:t>
            </w:r>
          </w:p>
        </w:tc>
        <w:tc>
          <w:tcPr>
            <w:tcW w:w="379" w:type="pct"/>
          </w:tcPr>
          <w:p w:rsidR="00B129B5" w:rsidRPr="001A46F8" w:rsidRDefault="00B129B5" w:rsidP="001A46F8">
            <w:pPr>
              <w:jc w:val="center"/>
              <w:rPr>
                <w:b/>
              </w:rPr>
            </w:pPr>
            <w:r w:rsidRPr="005D601D">
              <w:rPr>
                <w:rFonts w:ascii="Arial" w:hAnsi="Arial" w:cs="Arial"/>
              </w:rPr>
              <w:t>X</w:t>
            </w:r>
          </w:p>
        </w:tc>
        <w:tc>
          <w:tcPr>
            <w:tcW w:w="375" w:type="pct"/>
          </w:tcPr>
          <w:p w:rsidR="00B129B5" w:rsidRPr="001A46F8" w:rsidRDefault="00B129B5" w:rsidP="001A46F8">
            <w:pPr>
              <w:jc w:val="center"/>
              <w:rPr>
                <w:b/>
              </w:rPr>
            </w:pPr>
            <w:r w:rsidRPr="005D601D">
              <w:rPr>
                <w:rFonts w:ascii="Arial" w:hAnsi="Arial" w:cs="Arial"/>
              </w:rPr>
              <w:t>X</w:t>
            </w:r>
          </w:p>
        </w:tc>
      </w:tr>
      <w:tr w:rsidR="00B129B5" w:rsidTr="00A7551F">
        <w:trPr>
          <w:trHeight w:hRule="exact" w:val="554"/>
        </w:trPr>
        <w:tc>
          <w:tcPr>
            <w:tcW w:w="1152" w:type="pct"/>
          </w:tcPr>
          <w:p w:rsidR="00B129B5" w:rsidRDefault="00B129B5" w:rsidP="001F0BAC">
            <w:pPr>
              <w:pStyle w:val="TableParagraph"/>
              <w:spacing w:line="251" w:lineRule="exact"/>
            </w:pPr>
            <w:r>
              <w:t>Essay</w:t>
            </w:r>
          </w:p>
        </w:tc>
        <w:tc>
          <w:tcPr>
            <w:tcW w:w="832" w:type="pct"/>
          </w:tcPr>
          <w:p w:rsidR="00B129B5" w:rsidRDefault="00B129B5" w:rsidP="001F0BAC">
            <w:pPr>
              <w:pStyle w:val="TableParagraph"/>
              <w:spacing w:line="251" w:lineRule="exact"/>
              <w:rPr>
                <w:i/>
              </w:rPr>
            </w:pPr>
            <w:r>
              <w:t>30%</w:t>
            </w:r>
          </w:p>
        </w:tc>
        <w:tc>
          <w:tcPr>
            <w:tcW w:w="377" w:type="pct"/>
          </w:tcPr>
          <w:p w:rsidR="00B129B5" w:rsidRPr="001A46F8" w:rsidRDefault="00B129B5" w:rsidP="001A46F8">
            <w:pPr>
              <w:jc w:val="center"/>
              <w:rPr>
                <w:b/>
              </w:rPr>
            </w:pPr>
            <w:r w:rsidRPr="005D601D">
              <w:rPr>
                <w:rFonts w:ascii="Arial" w:hAnsi="Arial" w:cs="Arial"/>
              </w:rPr>
              <w:t>X</w:t>
            </w:r>
          </w:p>
        </w:tc>
        <w:tc>
          <w:tcPr>
            <w:tcW w:w="377" w:type="pct"/>
          </w:tcPr>
          <w:p w:rsidR="00B129B5" w:rsidRPr="001A46F8" w:rsidRDefault="00B129B5" w:rsidP="001A46F8">
            <w:pPr>
              <w:jc w:val="center"/>
              <w:rPr>
                <w:b/>
              </w:rPr>
            </w:pPr>
            <w:r w:rsidRPr="005D601D">
              <w:rPr>
                <w:rFonts w:ascii="Arial" w:hAnsi="Arial" w:cs="Arial"/>
              </w:rPr>
              <w:t>X</w:t>
            </w:r>
          </w:p>
        </w:tc>
        <w:tc>
          <w:tcPr>
            <w:tcW w:w="377" w:type="pct"/>
          </w:tcPr>
          <w:p w:rsidR="00B129B5" w:rsidRPr="001A46F8" w:rsidRDefault="00B129B5" w:rsidP="001A46F8">
            <w:pPr>
              <w:jc w:val="center"/>
              <w:rPr>
                <w:b/>
              </w:rPr>
            </w:pPr>
            <w:r w:rsidRPr="005D601D">
              <w:rPr>
                <w:rFonts w:ascii="Arial" w:hAnsi="Arial" w:cs="Arial"/>
              </w:rPr>
              <w:t>X</w:t>
            </w:r>
          </w:p>
        </w:tc>
        <w:tc>
          <w:tcPr>
            <w:tcW w:w="379" w:type="pct"/>
          </w:tcPr>
          <w:p w:rsidR="00B129B5" w:rsidRPr="001A46F8" w:rsidRDefault="00B129B5" w:rsidP="001A46F8">
            <w:pPr>
              <w:jc w:val="center"/>
              <w:rPr>
                <w:b/>
              </w:rPr>
            </w:pPr>
            <w:r w:rsidRPr="005D601D">
              <w:rPr>
                <w:rFonts w:ascii="Arial" w:hAnsi="Arial" w:cs="Arial"/>
              </w:rPr>
              <w:t>X</w:t>
            </w:r>
          </w:p>
        </w:tc>
        <w:tc>
          <w:tcPr>
            <w:tcW w:w="376" w:type="pct"/>
          </w:tcPr>
          <w:p w:rsidR="00B129B5" w:rsidRPr="001A46F8" w:rsidRDefault="00B129B5" w:rsidP="001A46F8">
            <w:pPr>
              <w:jc w:val="center"/>
              <w:rPr>
                <w:b/>
              </w:rPr>
            </w:pPr>
          </w:p>
        </w:tc>
        <w:tc>
          <w:tcPr>
            <w:tcW w:w="376" w:type="pct"/>
          </w:tcPr>
          <w:p w:rsidR="00B129B5" w:rsidRPr="001A46F8" w:rsidRDefault="00B129B5" w:rsidP="001A46F8">
            <w:pPr>
              <w:jc w:val="center"/>
              <w:rPr>
                <w:b/>
              </w:rPr>
            </w:pPr>
            <w:r w:rsidRPr="005D601D">
              <w:rPr>
                <w:rFonts w:ascii="Arial" w:hAnsi="Arial" w:cs="Arial"/>
              </w:rPr>
              <w:t>X</w:t>
            </w:r>
          </w:p>
        </w:tc>
        <w:tc>
          <w:tcPr>
            <w:tcW w:w="379" w:type="pct"/>
          </w:tcPr>
          <w:p w:rsidR="00B129B5" w:rsidRPr="001A46F8" w:rsidRDefault="00B129B5" w:rsidP="001A46F8">
            <w:pPr>
              <w:jc w:val="center"/>
              <w:rPr>
                <w:b/>
              </w:rPr>
            </w:pPr>
            <w:r w:rsidRPr="005D601D">
              <w:rPr>
                <w:rFonts w:ascii="Arial" w:hAnsi="Arial" w:cs="Arial"/>
              </w:rPr>
              <w:t>X</w:t>
            </w:r>
          </w:p>
        </w:tc>
        <w:tc>
          <w:tcPr>
            <w:tcW w:w="375" w:type="pct"/>
          </w:tcPr>
          <w:p w:rsidR="00B129B5" w:rsidRPr="001A46F8" w:rsidRDefault="00B129B5" w:rsidP="001A46F8">
            <w:pPr>
              <w:jc w:val="center"/>
              <w:rPr>
                <w:b/>
              </w:rPr>
            </w:pPr>
          </w:p>
        </w:tc>
      </w:tr>
      <w:tr w:rsidR="00B129B5" w:rsidTr="00A7551F">
        <w:trPr>
          <w:trHeight w:hRule="exact" w:val="554"/>
        </w:trPr>
        <w:tc>
          <w:tcPr>
            <w:tcW w:w="1152" w:type="pct"/>
          </w:tcPr>
          <w:p w:rsidR="00B129B5" w:rsidRDefault="00B129B5" w:rsidP="001F0BAC">
            <w:pPr>
              <w:pStyle w:val="TableParagraph"/>
              <w:spacing w:line="251" w:lineRule="exact"/>
            </w:pPr>
            <w:r w:rsidRPr="005D601D">
              <w:t>Examination</w:t>
            </w:r>
          </w:p>
        </w:tc>
        <w:tc>
          <w:tcPr>
            <w:tcW w:w="832" w:type="pct"/>
          </w:tcPr>
          <w:p w:rsidR="00B129B5" w:rsidRDefault="00B129B5" w:rsidP="001F0BAC">
            <w:pPr>
              <w:pStyle w:val="TableParagraph"/>
              <w:spacing w:line="251" w:lineRule="exact"/>
              <w:rPr>
                <w:i/>
              </w:rPr>
            </w:pPr>
            <w:r>
              <w:t>60%</w:t>
            </w:r>
          </w:p>
        </w:tc>
        <w:tc>
          <w:tcPr>
            <w:tcW w:w="377" w:type="pct"/>
          </w:tcPr>
          <w:p w:rsidR="00B129B5" w:rsidRPr="00262D10" w:rsidRDefault="00B129B5" w:rsidP="001A46F8">
            <w:pPr>
              <w:jc w:val="center"/>
              <w:rPr>
                <w:b/>
              </w:rPr>
            </w:pPr>
            <w:r w:rsidRPr="005D601D">
              <w:rPr>
                <w:rFonts w:ascii="Arial" w:hAnsi="Arial" w:cs="Arial"/>
              </w:rPr>
              <w:t>X</w:t>
            </w:r>
          </w:p>
        </w:tc>
        <w:tc>
          <w:tcPr>
            <w:tcW w:w="377" w:type="pct"/>
          </w:tcPr>
          <w:p w:rsidR="00B129B5" w:rsidRPr="00262D10" w:rsidRDefault="00B129B5" w:rsidP="001A46F8">
            <w:pPr>
              <w:jc w:val="center"/>
              <w:rPr>
                <w:b/>
              </w:rPr>
            </w:pPr>
            <w:r w:rsidRPr="005D601D">
              <w:rPr>
                <w:rFonts w:ascii="Arial" w:hAnsi="Arial" w:cs="Arial"/>
              </w:rPr>
              <w:t>X</w:t>
            </w:r>
          </w:p>
        </w:tc>
        <w:tc>
          <w:tcPr>
            <w:tcW w:w="377" w:type="pct"/>
          </w:tcPr>
          <w:p w:rsidR="00B129B5" w:rsidRPr="00262D10" w:rsidRDefault="00B129B5" w:rsidP="001A46F8">
            <w:pPr>
              <w:jc w:val="center"/>
              <w:rPr>
                <w:b/>
              </w:rPr>
            </w:pPr>
            <w:r w:rsidRPr="005D601D">
              <w:rPr>
                <w:rFonts w:ascii="Arial" w:hAnsi="Arial" w:cs="Arial"/>
              </w:rPr>
              <w:t>X</w:t>
            </w:r>
          </w:p>
        </w:tc>
        <w:tc>
          <w:tcPr>
            <w:tcW w:w="379" w:type="pct"/>
          </w:tcPr>
          <w:p w:rsidR="00B129B5" w:rsidRPr="00262D10" w:rsidRDefault="00B129B5" w:rsidP="001A46F8">
            <w:pPr>
              <w:jc w:val="center"/>
              <w:rPr>
                <w:b/>
              </w:rPr>
            </w:pPr>
            <w:r w:rsidRPr="005D601D">
              <w:rPr>
                <w:rFonts w:ascii="Arial" w:hAnsi="Arial" w:cs="Arial"/>
              </w:rPr>
              <w:t>X</w:t>
            </w:r>
          </w:p>
        </w:tc>
        <w:tc>
          <w:tcPr>
            <w:tcW w:w="376" w:type="pct"/>
          </w:tcPr>
          <w:p w:rsidR="00B129B5" w:rsidRPr="00262D10" w:rsidRDefault="00B129B5" w:rsidP="001A46F8">
            <w:pPr>
              <w:jc w:val="center"/>
              <w:rPr>
                <w:b/>
              </w:rPr>
            </w:pPr>
            <w:r w:rsidRPr="005D601D">
              <w:rPr>
                <w:rFonts w:ascii="Arial" w:hAnsi="Arial" w:cs="Arial"/>
              </w:rPr>
              <w:t>X</w:t>
            </w:r>
          </w:p>
        </w:tc>
        <w:tc>
          <w:tcPr>
            <w:tcW w:w="376" w:type="pct"/>
          </w:tcPr>
          <w:p w:rsidR="00B129B5" w:rsidRPr="00262D10" w:rsidRDefault="00B129B5" w:rsidP="001A46F8">
            <w:pPr>
              <w:jc w:val="center"/>
              <w:rPr>
                <w:b/>
              </w:rPr>
            </w:pPr>
            <w:r w:rsidRPr="005D601D">
              <w:rPr>
                <w:rFonts w:ascii="Arial" w:hAnsi="Arial" w:cs="Arial"/>
              </w:rPr>
              <w:t>X</w:t>
            </w:r>
          </w:p>
        </w:tc>
        <w:tc>
          <w:tcPr>
            <w:tcW w:w="379" w:type="pct"/>
          </w:tcPr>
          <w:p w:rsidR="00B129B5" w:rsidRPr="00262D10" w:rsidRDefault="00B129B5" w:rsidP="001A46F8">
            <w:pPr>
              <w:jc w:val="center"/>
              <w:rPr>
                <w:b/>
              </w:rPr>
            </w:pPr>
            <w:r w:rsidRPr="005D601D">
              <w:rPr>
                <w:rFonts w:ascii="Arial" w:hAnsi="Arial" w:cs="Arial"/>
              </w:rPr>
              <w:t>X</w:t>
            </w:r>
          </w:p>
        </w:tc>
        <w:tc>
          <w:tcPr>
            <w:tcW w:w="375" w:type="pct"/>
          </w:tcPr>
          <w:p w:rsidR="00B129B5" w:rsidRPr="00262D10" w:rsidRDefault="00B129B5" w:rsidP="001A46F8">
            <w:pPr>
              <w:jc w:val="center"/>
              <w:rPr>
                <w:b/>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7551F">
      <w:pPr>
        <w:numPr>
          <w:ilvl w:val="0"/>
          <w:numId w:val="12"/>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3A1070">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7551F">
      <w:pPr>
        <w:numPr>
          <w:ilvl w:val="0"/>
          <w:numId w:val="12"/>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Pr="003A1070" w:rsidRDefault="00FE20F8" w:rsidP="002A7F48">
      <w:pPr>
        <w:spacing w:after="120" w:line="240" w:lineRule="auto"/>
        <w:ind w:left="426" w:right="260"/>
        <w:jc w:val="both"/>
        <w:rPr>
          <w:rFonts w:ascii="Arial" w:hAnsi="Arial" w:cs="Arial"/>
        </w:rPr>
      </w:pPr>
      <w:r>
        <w:rPr>
          <w:rFonts w:ascii="Arial" w:hAnsi="Arial" w:cs="Arial"/>
        </w:rPr>
        <w:t xml:space="preserve">Blended learning, </w:t>
      </w:r>
      <w:r w:rsidR="003A1070" w:rsidRPr="003A1070">
        <w:rPr>
          <w:rFonts w:ascii="Arial" w:hAnsi="Arial" w:cs="Arial"/>
        </w:rPr>
        <w:t>Medway, Canterbury, Employer</w:t>
      </w:r>
    </w:p>
    <w:p w:rsidR="002A7F48" w:rsidRPr="002A7F48" w:rsidRDefault="002A7F48" w:rsidP="00A7551F">
      <w:pPr>
        <w:numPr>
          <w:ilvl w:val="0"/>
          <w:numId w:val="12"/>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9A2D37" w:rsidRDefault="005671EE" w:rsidP="005671EE">
      <w:pPr>
        <w:spacing w:after="120" w:line="240" w:lineRule="auto"/>
        <w:ind w:left="426" w:right="260"/>
        <w:rPr>
          <w:rFonts w:ascii="Arial" w:hAnsi="Arial" w:cs="Arial"/>
        </w:rPr>
      </w:pPr>
      <w:r>
        <w:rPr>
          <w:rFonts w:ascii="Arial" w:hAnsi="Arial" w:cs="Arial"/>
          <w:iCs/>
        </w:rPr>
        <w:t>The module</w:t>
      </w:r>
      <w:r w:rsidRPr="0084163B">
        <w:rPr>
          <w:rFonts w:ascii="Arial" w:hAnsi="Arial" w:cs="Arial"/>
          <w:iCs/>
        </w:rPr>
        <w:t xml:space="preserve"> content and cases </w:t>
      </w:r>
      <w:r>
        <w:rPr>
          <w:rFonts w:ascii="Arial" w:hAnsi="Arial" w:cs="Arial"/>
          <w:iCs/>
        </w:rPr>
        <w:t xml:space="preserve">used in practical sessions will </w:t>
      </w:r>
      <w:r w:rsidRPr="00ED7F2A">
        <w:rPr>
          <w:rFonts w:ascii="Arial" w:hAnsi="Arial" w:cs="Arial"/>
          <w:iCs/>
        </w:rPr>
        <w:t xml:space="preserve">focus on using emerging markets and developed countries’ companies to </w:t>
      </w:r>
      <w:r>
        <w:rPr>
          <w:rFonts w:ascii="Arial" w:hAnsi="Arial" w:cs="Arial"/>
          <w:iCs/>
        </w:rPr>
        <w:t xml:space="preserve">explore and </w:t>
      </w:r>
      <w:r w:rsidRPr="00ED7F2A">
        <w:rPr>
          <w:rFonts w:ascii="Arial" w:hAnsi="Arial" w:cs="Arial"/>
          <w:iCs/>
        </w:rPr>
        <w:t xml:space="preserve">link theory </w:t>
      </w:r>
      <w:r>
        <w:rPr>
          <w:rFonts w:ascii="Arial" w:hAnsi="Arial" w:cs="Arial"/>
          <w:iCs/>
        </w:rPr>
        <w:t>to</w:t>
      </w:r>
      <w:r w:rsidRPr="00ED7F2A">
        <w:rPr>
          <w:rFonts w:ascii="Arial" w:hAnsi="Arial" w:cs="Arial"/>
          <w:iCs/>
        </w:rPr>
        <w:t xml:space="preserve"> practice.</w:t>
      </w:r>
      <w:r>
        <w:rPr>
          <w:rFonts w:ascii="Arial" w:hAnsi="Arial" w:cs="Arial"/>
        </w:rPr>
        <w:t xml:space="preserve"> </w:t>
      </w:r>
      <w:r w:rsidR="003A1070" w:rsidRPr="003A1070">
        <w:rPr>
          <w:rFonts w:ascii="Arial" w:hAnsi="Arial" w:cs="Arial"/>
        </w:rPr>
        <w:t>There may be non-British students; employers m</w:t>
      </w:r>
      <w:r>
        <w:rPr>
          <w:rFonts w:ascii="Arial" w:hAnsi="Arial" w:cs="Arial"/>
        </w:rPr>
        <w:t xml:space="preserve">ay be international companies. </w:t>
      </w:r>
    </w:p>
    <w:p w:rsidR="001A46F8" w:rsidRDefault="001A46F8">
      <w:pPr>
        <w:rPr>
          <w:rFonts w:ascii="Arial" w:hAnsi="Arial" w:cs="Arial"/>
          <w:iCs/>
        </w:rPr>
      </w:pPr>
      <w:r>
        <w:rPr>
          <w:rFonts w:ascii="Arial" w:hAnsi="Arial" w:cs="Arial"/>
          <w:iCs/>
        </w:rPr>
        <w:br w:type="page"/>
      </w: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AC" w:rsidRDefault="00B97FAC" w:rsidP="009A2D37">
      <w:pPr>
        <w:spacing w:after="0" w:line="240" w:lineRule="auto"/>
      </w:pPr>
      <w:r>
        <w:separator/>
      </w:r>
    </w:p>
  </w:endnote>
  <w:endnote w:type="continuationSeparator" w:id="0">
    <w:p w:rsidR="00B97FAC" w:rsidRDefault="00B97FAC" w:rsidP="009A2D37">
      <w:pPr>
        <w:spacing w:after="0" w:line="240" w:lineRule="auto"/>
      </w:pPr>
      <w:r>
        <w:continuationSeparator/>
      </w:r>
    </w:p>
  </w:endnote>
  <w:endnote w:type="continuationNotice" w:id="1">
    <w:p w:rsidR="00B97FAC" w:rsidRDefault="00B97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02C75">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1A46F8">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AC" w:rsidRDefault="00B97FAC" w:rsidP="009A2D37">
      <w:pPr>
        <w:spacing w:after="0" w:line="240" w:lineRule="auto"/>
      </w:pPr>
      <w:r>
        <w:separator/>
      </w:r>
    </w:p>
  </w:footnote>
  <w:footnote w:type="continuationSeparator" w:id="0">
    <w:p w:rsidR="00B97FAC" w:rsidRDefault="00B97FAC" w:rsidP="009A2D37">
      <w:pPr>
        <w:spacing w:after="0" w:line="240" w:lineRule="auto"/>
      </w:pPr>
      <w:r>
        <w:continuationSeparator/>
      </w:r>
    </w:p>
  </w:footnote>
  <w:footnote w:type="continuationNotice" w:id="1">
    <w:p w:rsidR="00B97FAC" w:rsidRDefault="00B97F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64F14"/>
    <w:multiLevelType w:val="hybridMultilevel"/>
    <w:tmpl w:val="F814D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C7CA428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2C5600"/>
    <w:multiLevelType w:val="hybridMultilevel"/>
    <w:tmpl w:val="F67E0924"/>
    <w:lvl w:ilvl="0" w:tplc="D8FE38E4">
      <w:start w:val="12"/>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490E1E"/>
    <w:multiLevelType w:val="hybridMultilevel"/>
    <w:tmpl w:val="8BDAA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023933"/>
    <w:multiLevelType w:val="multilevel"/>
    <w:tmpl w:val="C7CA428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2"/>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35B8"/>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6F8"/>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E2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11A7"/>
    <w:rsid w:val="002B20F5"/>
    <w:rsid w:val="002B2A1A"/>
    <w:rsid w:val="002B71F2"/>
    <w:rsid w:val="002C69CA"/>
    <w:rsid w:val="002C7FD1"/>
    <w:rsid w:val="002D5D98"/>
    <w:rsid w:val="002E71C0"/>
    <w:rsid w:val="002F05F4"/>
    <w:rsid w:val="002F0CE4"/>
    <w:rsid w:val="002F23EF"/>
    <w:rsid w:val="002F2626"/>
    <w:rsid w:val="00302082"/>
    <w:rsid w:val="00302C75"/>
    <w:rsid w:val="00306620"/>
    <w:rsid w:val="003262B9"/>
    <w:rsid w:val="00331275"/>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0CDE"/>
    <w:rsid w:val="003934D2"/>
    <w:rsid w:val="003973A1"/>
    <w:rsid w:val="003A1070"/>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B11"/>
    <w:rsid w:val="004A39D7"/>
    <w:rsid w:val="004A55FA"/>
    <w:rsid w:val="004B5D03"/>
    <w:rsid w:val="004C1EC4"/>
    <w:rsid w:val="004D035C"/>
    <w:rsid w:val="004E7D00"/>
    <w:rsid w:val="004F3C18"/>
    <w:rsid w:val="004F4328"/>
    <w:rsid w:val="00500559"/>
    <w:rsid w:val="005005E4"/>
    <w:rsid w:val="00503BA9"/>
    <w:rsid w:val="00512F34"/>
    <w:rsid w:val="00513689"/>
    <w:rsid w:val="0051375A"/>
    <w:rsid w:val="00521097"/>
    <w:rsid w:val="005245D3"/>
    <w:rsid w:val="0053059E"/>
    <w:rsid w:val="00532F6F"/>
    <w:rsid w:val="00533663"/>
    <w:rsid w:val="005460C2"/>
    <w:rsid w:val="005526FB"/>
    <w:rsid w:val="0055280A"/>
    <w:rsid w:val="005548E1"/>
    <w:rsid w:val="0055585D"/>
    <w:rsid w:val="0056127B"/>
    <w:rsid w:val="00561D26"/>
    <w:rsid w:val="00564738"/>
    <w:rsid w:val="00567196"/>
    <w:rsid w:val="005671EE"/>
    <w:rsid w:val="00567EC9"/>
    <w:rsid w:val="00571630"/>
    <w:rsid w:val="00575279"/>
    <w:rsid w:val="005759F4"/>
    <w:rsid w:val="005779D1"/>
    <w:rsid w:val="0058041A"/>
    <w:rsid w:val="0058743D"/>
    <w:rsid w:val="00587BF7"/>
    <w:rsid w:val="00592034"/>
    <w:rsid w:val="0059477B"/>
    <w:rsid w:val="00596884"/>
    <w:rsid w:val="005A14B5"/>
    <w:rsid w:val="005B5A98"/>
    <w:rsid w:val="005C1A4F"/>
    <w:rsid w:val="005C27D7"/>
    <w:rsid w:val="005D0A6B"/>
    <w:rsid w:val="005D7CD0"/>
    <w:rsid w:val="005E1A3A"/>
    <w:rsid w:val="005E6ADC"/>
    <w:rsid w:val="005E6D10"/>
    <w:rsid w:val="005E6D38"/>
    <w:rsid w:val="005E7B3F"/>
    <w:rsid w:val="005F040F"/>
    <w:rsid w:val="005F2C42"/>
    <w:rsid w:val="005F4F1B"/>
    <w:rsid w:val="006043FC"/>
    <w:rsid w:val="006050CF"/>
    <w:rsid w:val="006253AA"/>
    <w:rsid w:val="00626023"/>
    <w:rsid w:val="00633150"/>
    <w:rsid w:val="00637A50"/>
    <w:rsid w:val="00641D6D"/>
    <w:rsid w:val="0064364E"/>
    <w:rsid w:val="006438F3"/>
    <w:rsid w:val="00647481"/>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B7B"/>
    <w:rsid w:val="007E3412"/>
    <w:rsid w:val="007F393D"/>
    <w:rsid w:val="00800512"/>
    <w:rsid w:val="008029AF"/>
    <w:rsid w:val="00802FFA"/>
    <w:rsid w:val="008102E5"/>
    <w:rsid w:val="008111B4"/>
    <w:rsid w:val="008133F0"/>
    <w:rsid w:val="00815880"/>
    <w:rsid w:val="0082322C"/>
    <w:rsid w:val="00823942"/>
    <w:rsid w:val="00827FFD"/>
    <w:rsid w:val="00854535"/>
    <w:rsid w:val="00856EB3"/>
    <w:rsid w:val="00860935"/>
    <w:rsid w:val="00863C96"/>
    <w:rsid w:val="00864A72"/>
    <w:rsid w:val="00873E9F"/>
    <w:rsid w:val="00874047"/>
    <w:rsid w:val="00876D7A"/>
    <w:rsid w:val="008778CB"/>
    <w:rsid w:val="00881545"/>
    <w:rsid w:val="00883A3E"/>
    <w:rsid w:val="0089148D"/>
    <w:rsid w:val="00891E0D"/>
    <w:rsid w:val="008A0F36"/>
    <w:rsid w:val="008B2543"/>
    <w:rsid w:val="008B4B6E"/>
    <w:rsid w:val="008D7401"/>
    <w:rsid w:val="008D7840"/>
    <w:rsid w:val="00903DF6"/>
    <w:rsid w:val="00915D57"/>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6BB7"/>
    <w:rsid w:val="009C2474"/>
    <w:rsid w:val="009C7082"/>
    <w:rsid w:val="009D0006"/>
    <w:rsid w:val="009D068C"/>
    <w:rsid w:val="009F3A2A"/>
    <w:rsid w:val="009F731F"/>
    <w:rsid w:val="00A021FE"/>
    <w:rsid w:val="00A1270E"/>
    <w:rsid w:val="00A15342"/>
    <w:rsid w:val="00A2036C"/>
    <w:rsid w:val="00A3007E"/>
    <w:rsid w:val="00A32048"/>
    <w:rsid w:val="00A41F06"/>
    <w:rsid w:val="00A50FD4"/>
    <w:rsid w:val="00A52DB4"/>
    <w:rsid w:val="00A56CF4"/>
    <w:rsid w:val="00A618E1"/>
    <w:rsid w:val="00A629B9"/>
    <w:rsid w:val="00A62BE3"/>
    <w:rsid w:val="00A70C20"/>
    <w:rsid w:val="00A74292"/>
    <w:rsid w:val="00A7551F"/>
    <w:rsid w:val="00A776DE"/>
    <w:rsid w:val="00A80640"/>
    <w:rsid w:val="00A87FFD"/>
    <w:rsid w:val="00A964FC"/>
    <w:rsid w:val="00A97038"/>
    <w:rsid w:val="00AA3C15"/>
    <w:rsid w:val="00AA6330"/>
    <w:rsid w:val="00AC7501"/>
    <w:rsid w:val="00AD748B"/>
    <w:rsid w:val="00AE4865"/>
    <w:rsid w:val="00AF50EE"/>
    <w:rsid w:val="00B04B37"/>
    <w:rsid w:val="00B0591D"/>
    <w:rsid w:val="00B129B5"/>
    <w:rsid w:val="00B13402"/>
    <w:rsid w:val="00B14BC2"/>
    <w:rsid w:val="00B17024"/>
    <w:rsid w:val="00B17CD2"/>
    <w:rsid w:val="00B213D2"/>
    <w:rsid w:val="00B248BA"/>
    <w:rsid w:val="00B24B56"/>
    <w:rsid w:val="00B30E07"/>
    <w:rsid w:val="00B34ADD"/>
    <w:rsid w:val="00B3776C"/>
    <w:rsid w:val="00B4603C"/>
    <w:rsid w:val="00B52FF5"/>
    <w:rsid w:val="00B5498B"/>
    <w:rsid w:val="00B57219"/>
    <w:rsid w:val="00B658A3"/>
    <w:rsid w:val="00B746A8"/>
    <w:rsid w:val="00B7664D"/>
    <w:rsid w:val="00B80989"/>
    <w:rsid w:val="00B9109B"/>
    <w:rsid w:val="00B927AE"/>
    <w:rsid w:val="00B93721"/>
    <w:rsid w:val="00B937B1"/>
    <w:rsid w:val="00B97FAC"/>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4117"/>
    <w:rsid w:val="00C83354"/>
    <w:rsid w:val="00C84004"/>
    <w:rsid w:val="00C843F6"/>
    <w:rsid w:val="00C84507"/>
    <w:rsid w:val="00C862C7"/>
    <w:rsid w:val="00CA3254"/>
    <w:rsid w:val="00CB11CE"/>
    <w:rsid w:val="00CC031A"/>
    <w:rsid w:val="00CC25A2"/>
    <w:rsid w:val="00CD7F07"/>
    <w:rsid w:val="00CE04F3"/>
    <w:rsid w:val="00CE12D8"/>
    <w:rsid w:val="00CE2D0A"/>
    <w:rsid w:val="00CE4574"/>
    <w:rsid w:val="00CE70E6"/>
    <w:rsid w:val="00CF2E1E"/>
    <w:rsid w:val="00D02E99"/>
    <w:rsid w:val="00D13357"/>
    <w:rsid w:val="00D13A13"/>
    <w:rsid w:val="00D2689A"/>
    <w:rsid w:val="00D50113"/>
    <w:rsid w:val="00D54F04"/>
    <w:rsid w:val="00D571B0"/>
    <w:rsid w:val="00D63229"/>
    <w:rsid w:val="00D65506"/>
    <w:rsid w:val="00D773CF"/>
    <w:rsid w:val="00D83563"/>
    <w:rsid w:val="00D8448F"/>
    <w:rsid w:val="00DA64B6"/>
    <w:rsid w:val="00DB5C9D"/>
    <w:rsid w:val="00DD02E6"/>
    <w:rsid w:val="00DE007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78D2"/>
    <w:rsid w:val="00F116CE"/>
    <w:rsid w:val="00F16B40"/>
    <w:rsid w:val="00F176DE"/>
    <w:rsid w:val="00F21C47"/>
    <w:rsid w:val="00F244E2"/>
    <w:rsid w:val="00F340DE"/>
    <w:rsid w:val="00F43542"/>
    <w:rsid w:val="00F527CB"/>
    <w:rsid w:val="00F562AA"/>
    <w:rsid w:val="00F664AA"/>
    <w:rsid w:val="00F7105A"/>
    <w:rsid w:val="00F77676"/>
    <w:rsid w:val="00F8197C"/>
    <w:rsid w:val="00F82B4E"/>
    <w:rsid w:val="00F86BDD"/>
    <w:rsid w:val="00F87559"/>
    <w:rsid w:val="00F91E12"/>
    <w:rsid w:val="00F94A47"/>
    <w:rsid w:val="00F96D71"/>
    <w:rsid w:val="00F97C9E"/>
    <w:rsid w:val="00FA20DE"/>
    <w:rsid w:val="00FA4EE8"/>
    <w:rsid w:val="00FB12CA"/>
    <w:rsid w:val="00FB36EC"/>
    <w:rsid w:val="00FB4E1B"/>
    <w:rsid w:val="00FC0291"/>
    <w:rsid w:val="00FC1C92"/>
    <w:rsid w:val="00FD333B"/>
    <w:rsid w:val="00FD689C"/>
    <w:rsid w:val="00FD705C"/>
    <w:rsid w:val="00FD777A"/>
    <w:rsid w:val="00FE20F8"/>
    <w:rsid w:val="00FE260B"/>
    <w:rsid w:val="00FE48CA"/>
    <w:rsid w:val="00FE692E"/>
    <w:rsid w:val="00FF31CA"/>
    <w:rsid w:val="00FF5C49"/>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4C85BA-3164-4CD1-9443-72D4F3B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A62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2B11A7"/>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A62BE3"/>
    <w:rPr>
      <w:rFonts w:asciiTheme="majorHAnsi" w:eastAsiaTheme="majorEastAsia" w:hAnsiTheme="majorHAnsi" w:cstheme="majorBidi"/>
      <w:b/>
      <w:b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0505">
      <w:bodyDiv w:val="1"/>
      <w:marLeft w:val="0"/>
      <w:marRight w:val="0"/>
      <w:marTop w:val="0"/>
      <w:marBottom w:val="0"/>
      <w:divBdr>
        <w:top w:val="none" w:sz="0" w:space="0" w:color="auto"/>
        <w:left w:val="none" w:sz="0" w:space="0" w:color="auto"/>
        <w:bottom w:val="none" w:sz="0" w:space="0" w:color="auto"/>
        <w:right w:val="none" w:sz="0" w:space="0" w:color="auto"/>
      </w:divBdr>
      <w:divsChild>
        <w:div w:id="376973963">
          <w:marLeft w:val="0"/>
          <w:marRight w:val="0"/>
          <w:marTop w:val="0"/>
          <w:marBottom w:val="0"/>
          <w:divBdr>
            <w:top w:val="none" w:sz="0" w:space="0" w:color="auto"/>
            <w:left w:val="none" w:sz="0" w:space="0" w:color="auto"/>
            <w:bottom w:val="none" w:sz="0" w:space="0" w:color="auto"/>
            <w:right w:val="none" w:sz="0" w:space="0" w:color="auto"/>
          </w:divBdr>
          <w:divsChild>
            <w:div w:id="1078818935">
              <w:marLeft w:val="0"/>
              <w:marRight w:val="0"/>
              <w:marTop w:val="0"/>
              <w:marBottom w:val="75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20364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4533605">
      <w:bodyDiv w:val="1"/>
      <w:marLeft w:val="0"/>
      <w:marRight w:val="0"/>
      <w:marTop w:val="0"/>
      <w:marBottom w:val="0"/>
      <w:divBdr>
        <w:top w:val="none" w:sz="0" w:space="0" w:color="auto"/>
        <w:left w:val="none" w:sz="0" w:space="0" w:color="auto"/>
        <w:bottom w:val="none" w:sz="0" w:space="0" w:color="auto"/>
        <w:right w:val="none" w:sz="0" w:space="0" w:color="auto"/>
      </w:divBdr>
      <w:divsChild>
        <w:div w:id="1203517550">
          <w:marLeft w:val="0"/>
          <w:marRight w:val="0"/>
          <w:marTop w:val="0"/>
          <w:marBottom w:val="0"/>
          <w:divBdr>
            <w:top w:val="none" w:sz="0" w:space="0" w:color="auto"/>
            <w:left w:val="none" w:sz="0" w:space="0" w:color="auto"/>
            <w:bottom w:val="none" w:sz="0" w:space="0" w:color="auto"/>
            <w:right w:val="none" w:sz="0" w:space="0" w:color="auto"/>
          </w:divBdr>
          <w:divsChild>
            <w:div w:id="1122110583">
              <w:marLeft w:val="0"/>
              <w:marRight w:val="0"/>
              <w:marTop w:val="0"/>
              <w:marBottom w:val="750"/>
              <w:divBdr>
                <w:top w:val="none" w:sz="0" w:space="0" w:color="auto"/>
                <w:left w:val="none" w:sz="0" w:space="0" w:color="auto"/>
                <w:bottom w:val="none" w:sz="0" w:space="0" w:color="auto"/>
                <w:right w:val="none" w:sz="0" w:space="0" w:color="auto"/>
              </w:divBdr>
              <w:divsChild>
                <w:div w:id="5327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B332-4DD5-4F73-ABB2-C1AFC79D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2017-11-14T09:01:00Z</cp:lastPrinted>
  <dcterms:created xsi:type="dcterms:W3CDTF">2018-10-25T10:23:00Z</dcterms:created>
  <dcterms:modified xsi:type="dcterms:W3CDTF">2018-10-25T10:23:00Z</dcterms:modified>
</cp:coreProperties>
</file>