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0A05B" w14:textId="12A2C6E0" w:rsidR="00EF2C07" w:rsidRDefault="00EF2C07">
      <w:pPr>
        <w:rPr>
          <w:rFonts w:ascii="Arial" w:hAnsi="Arial" w:cs="Arial"/>
          <w:b/>
        </w:rPr>
      </w:pPr>
    </w:p>
    <w:p w14:paraId="5F0C8C07" w14:textId="5627F075"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22433F22" w:rsidR="009A2D37" w:rsidRPr="00302082" w:rsidRDefault="00527FB6" w:rsidP="00CB34E8">
      <w:pPr>
        <w:spacing w:after="120" w:line="240" w:lineRule="auto"/>
        <w:ind w:left="567" w:right="260"/>
        <w:jc w:val="both"/>
        <w:rPr>
          <w:rFonts w:ascii="Arial" w:hAnsi="Arial" w:cs="Arial"/>
        </w:rPr>
      </w:pPr>
      <w:r>
        <w:rPr>
          <w:rFonts w:ascii="Arial" w:hAnsi="Arial" w:cs="Arial"/>
        </w:rPr>
        <w:t>BUSN</w:t>
      </w:r>
      <w:r w:rsidR="00C11815">
        <w:rPr>
          <w:rFonts w:ascii="Arial" w:hAnsi="Arial" w:cs="Arial"/>
        </w:rPr>
        <w:t>6010</w:t>
      </w:r>
      <w:r w:rsidR="00FB02A2">
        <w:rPr>
          <w:rFonts w:ascii="Arial" w:hAnsi="Arial" w:cs="Arial"/>
        </w:rPr>
        <w:t xml:space="preserve"> (CB</w:t>
      </w:r>
      <w:r w:rsidR="00C11815">
        <w:rPr>
          <w:rFonts w:ascii="Arial" w:hAnsi="Arial" w:cs="Arial"/>
        </w:rPr>
        <w:t>6010</w:t>
      </w:r>
      <w:r w:rsidR="007C05EE">
        <w:rPr>
          <w:rFonts w:ascii="Arial" w:hAnsi="Arial" w:cs="Arial"/>
        </w:rPr>
        <w:t>)</w:t>
      </w:r>
      <w:r w:rsidR="00017FCA">
        <w:rPr>
          <w:rFonts w:ascii="Arial" w:hAnsi="Arial" w:cs="Arial"/>
        </w:rPr>
        <w:t xml:space="preserve"> </w:t>
      </w:r>
      <w:r w:rsidR="00FB02A2" w:rsidRPr="00FB02A2">
        <w:rPr>
          <w:rFonts w:ascii="Arial" w:hAnsi="Arial" w:cs="Arial"/>
        </w:rPr>
        <w:t>Entrepreneurship</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98565C8" w:rsidR="009A2D37" w:rsidRPr="00CB34E8" w:rsidRDefault="00FB02A2"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EB31425" w:rsidR="009A2D37" w:rsidRPr="00CB34E8" w:rsidRDefault="00017FCA"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22E6A340" w:rsidR="005F0105" w:rsidRPr="005F0105" w:rsidRDefault="00527FB6" w:rsidP="005F0105">
      <w:pPr>
        <w:pStyle w:val="ListParagraph"/>
        <w:spacing w:after="0"/>
        <w:ind w:left="567"/>
        <w:rPr>
          <w:rFonts w:ascii="Arial" w:hAnsi="Arial" w:cs="Arial"/>
        </w:rPr>
      </w:pPr>
      <w:r w:rsidRPr="00A7724F">
        <w:rPr>
          <w:rFonts w:ascii="Arial" w:hAnsi="Arial" w:cs="Arial"/>
        </w:rPr>
        <w:t>This module is to be taught as part of the new Chartered Manager Degree Apprenticeship which will be delivered by a part-time blended learning approach</w:t>
      </w:r>
      <w:r w:rsidDel="00527FB6">
        <w:rPr>
          <w:rFonts w:ascii="Arial" w:hAnsi="Arial" w:cs="Arial"/>
        </w:rPr>
        <w:t xml:space="preserve"> </w:t>
      </w:r>
    </w:p>
    <w:p w14:paraId="21BD3DD5" w14:textId="1C8B90F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1461C24" w14:textId="3D69B327" w:rsidR="00AB2677" w:rsidRPr="00AB2677" w:rsidRDefault="00AB2677" w:rsidP="00AB2677">
      <w:pPr>
        <w:spacing w:after="120" w:line="240" w:lineRule="auto"/>
        <w:ind w:left="567" w:right="260"/>
        <w:jc w:val="both"/>
        <w:rPr>
          <w:rFonts w:ascii="Arial" w:hAnsi="Arial" w:cs="Arial"/>
        </w:rPr>
      </w:pPr>
      <w:r w:rsidRPr="00AB2677">
        <w:rPr>
          <w:rFonts w:ascii="Arial" w:hAnsi="Arial" w:cs="Arial"/>
        </w:rPr>
        <w:t>None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15033B1" w14:textId="05118759" w:rsidR="00527FB6" w:rsidRPr="00527FB6" w:rsidRDefault="00A65544" w:rsidP="00527FB6">
      <w:pPr>
        <w:ind w:left="567"/>
        <w:rPr>
          <w:rFonts w:ascii="Arial" w:hAnsi="Arial" w:cs="Arial"/>
          <w:iCs/>
        </w:rPr>
      </w:pPr>
      <w:r w:rsidRPr="00124F49">
        <w:rPr>
          <w:rFonts w:ascii="Arial" w:hAnsi="Arial" w:cs="Arial"/>
          <w:iCs/>
        </w:rPr>
        <w:t>BSc Ma</w:t>
      </w:r>
      <w:r>
        <w:rPr>
          <w:rFonts w:ascii="Arial" w:hAnsi="Arial" w:cs="Arial"/>
          <w:iCs/>
        </w:rPr>
        <w:t>nagement</w:t>
      </w:r>
      <w:r w:rsidRPr="00124F49">
        <w:rPr>
          <w:rFonts w:ascii="Arial" w:hAnsi="Arial" w:cs="Arial"/>
          <w:iCs/>
        </w:rPr>
        <w:t xml:space="preserve"> </w:t>
      </w:r>
      <w:r w:rsidR="00527FB6" w:rsidRPr="00527FB6">
        <w:rPr>
          <w:rFonts w:ascii="Arial" w:hAnsi="Arial" w:cs="Arial"/>
          <w:iCs/>
        </w:rPr>
        <w:t>as part of the Chartered Manager Higher and Degree Apprenticeship</w:t>
      </w:r>
    </w:p>
    <w:p w14:paraId="4187ACFA" w14:textId="77777777" w:rsidR="00C13F3D" w:rsidRPr="00F53E02" w:rsidRDefault="00C13F3D" w:rsidP="00C13F3D">
      <w:pPr>
        <w:spacing w:after="0" w:line="240" w:lineRule="auto"/>
        <w:ind w:left="567"/>
        <w:rPr>
          <w:rFonts w:ascii="Arial" w:hAnsi="Arial" w:cs="Arial"/>
          <w:iCs/>
        </w:rPr>
      </w:pPr>
    </w:p>
    <w:p w14:paraId="671AB754" w14:textId="6F2E895B"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A0A90D3" w14:textId="6B4A6E01" w:rsidR="0047376C" w:rsidRPr="0047376C" w:rsidRDefault="0047376C" w:rsidP="0047376C">
      <w:pPr>
        <w:spacing w:after="0" w:line="240" w:lineRule="auto"/>
        <w:ind w:left="567" w:right="260"/>
        <w:rPr>
          <w:rFonts w:ascii="Arial" w:hAnsi="Arial" w:cs="Arial"/>
        </w:rPr>
      </w:pPr>
      <w:r>
        <w:rPr>
          <w:rFonts w:ascii="Arial" w:hAnsi="Arial" w:cs="Arial"/>
        </w:rPr>
        <w:t>8.1 d</w:t>
      </w:r>
      <w:r w:rsidRPr="0047376C">
        <w:rPr>
          <w:rFonts w:ascii="Arial" w:hAnsi="Arial" w:cs="Arial"/>
        </w:rPr>
        <w:t>emonstrate a systematic understanding of the pathways for becoming an entrepreneur in a wide array of settings including large organisation, start-ups, universities, governm</w:t>
      </w:r>
      <w:r>
        <w:rPr>
          <w:rFonts w:ascii="Arial" w:hAnsi="Arial" w:cs="Arial"/>
        </w:rPr>
        <w:t>ent, intermediaries and society;</w:t>
      </w:r>
      <w:r w:rsidRPr="0047376C">
        <w:rPr>
          <w:rFonts w:ascii="Arial" w:hAnsi="Arial" w:cs="Arial"/>
        </w:rPr>
        <w:t xml:space="preserve"> </w:t>
      </w:r>
    </w:p>
    <w:p w14:paraId="2262BDB4" w14:textId="5955327B" w:rsidR="0047376C" w:rsidRPr="0047376C" w:rsidRDefault="0047376C" w:rsidP="0047376C">
      <w:pPr>
        <w:spacing w:after="0" w:line="240" w:lineRule="auto"/>
        <w:ind w:left="567" w:right="260"/>
        <w:rPr>
          <w:rFonts w:ascii="Arial" w:hAnsi="Arial" w:cs="Arial"/>
        </w:rPr>
      </w:pPr>
      <w:r>
        <w:rPr>
          <w:rFonts w:ascii="Arial" w:hAnsi="Arial" w:cs="Arial"/>
        </w:rPr>
        <w:t>8.2 c</w:t>
      </w:r>
      <w:r w:rsidRPr="0047376C">
        <w:rPr>
          <w:rFonts w:ascii="Arial" w:hAnsi="Arial" w:cs="Arial"/>
        </w:rPr>
        <w:t>ritically evaluate – by making use of scholarly reviews and primary sources – the processes and organisational forms involved in co-creating value to solve complex challenges in collaboration with di</w:t>
      </w:r>
      <w:r>
        <w:rPr>
          <w:rFonts w:ascii="Arial" w:hAnsi="Arial" w:cs="Arial"/>
        </w:rPr>
        <w:t>fferent types of entrepreneurs;</w:t>
      </w:r>
    </w:p>
    <w:p w14:paraId="41146E12" w14:textId="516BD1D8" w:rsidR="0047376C" w:rsidRPr="0047376C" w:rsidRDefault="0047376C" w:rsidP="0047376C">
      <w:pPr>
        <w:spacing w:after="0" w:line="240" w:lineRule="auto"/>
        <w:ind w:left="567" w:right="260"/>
        <w:rPr>
          <w:rFonts w:ascii="Arial" w:hAnsi="Arial" w:cs="Arial"/>
        </w:rPr>
      </w:pPr>
      <w:r>
        <w:rPr>
          <w:rFonts w:ascii="Arial" w:hAnsi="Arial" w:cs="Arial"/>
        </w:rPr>
        <w:t>8.3 d</w:t>
      </w:r>
      <w:r w:rsidRPr="0047376C">
        <w:rPr>
          <w:rFonts w:ascii="Arial" w:hAnsi="Arial" w:cs="Arial"/>
        </w:rPr>
        <w:t>eploy accurately established knowledge and techniques of analysis and enquiry to manage innovation entrepreneurially</w:t>
      </w:r>
      <w:r>
        <w:rPr>
          <w:rFonts w:ascii="Arial" w:hAnsi="Arial" w:cs="Arial"/>
        </w:rPr>
        <w:t xml:space="preserve"> in a </w:t>
      </w:r>
      <w:proofErr w:type="gramStart"/>
      <w:r>
        <w:rPr>
          <w:rFonts w:ascii="Arial" w:hAnsi="Arial" w:cs="Arial"/>
        </w:rPr>
        <w:t>knowledge based</w:t>
      </w:r>
      <w:proofErr w:type="gramEnd"/>
      <w:r>
        <w:rPr>
          <w:rFonts w:ascii="Arial" w:hAnsi="Arial" w:cs="Arial"/>
        </w:rPr>
        <w:t xml:space="preserve"> economy;</w:t>
      </w:r>
      <w:r w:rsidRPr="0047376C">
        <w:rPr>
          <w:rFonts w:ascii="Arial" w:hAnsi="Arial" w:cs="Arial"/>
        </w:rPr>
        <w:t xml:space="preserve"> </w:t>
      </w:r>
    </w:p>
    <w:p w14:paraId="67586B08" w14:textId="0776B3F2" w:rsidR="0047376C" w:rsidRDefault="0047376C" w:rsidP="0047376C">
      <w:pPr>
        <w:spacing w:after="0" w:line="240" w:lineRule="auto"/>
        <w:ind w:left="567" w:right="260"/>
        <w:rPr>
          <w:rFonts w:ascii="Arial" w:hAnsi="Arial" w:cs="Arial"/>
        </w:rPr>
      </w:pPr>
      <w:r>
        <w:rPr>
          <w:rFonts w:ascii="Arial" w:hAnsi="Arial" w:cs="Arial"/>
        </w:rPr>
        <w:t>8.4 d</w:t>
      </w:r>
      <w:r w:rsidRPr="0047376C">
        <w:rPr>
          <w:rFonts w:ascii="Arial" w:hAnsi="Arial" w:cs="Arial"/>
        </w:rPr>
        <w:t>evelop an entrepreneurial mind-set by understanding and applying key debates in the areas of entrepreneurial opportunity, motivation, marketing and finance.</w:t>
      </w:r>
    </w:p>
    <w:p w14:paraId="6FE1EC68" w14:textId="77777777" w:rsidR="0047376C" w:rsidRPr="0047376C" w:rsidRDefault="0047376C" w:rsidP="0047376C">
      <w:pPr>
        <w:spacing w:after="0" w:line="240" w:lineRule="auto"/>
        <w:ind w:left="567" w:right="260"/>
        <w:rPr>
          <w:rFonts w:ascii="Arial" w:hAnsi="Arial" w:cs="Arial"/>
        </w:rPr>
      </w:pPr>
    </w:p>
    <w:p w14:paraId="0F260B2D" w14:textId="4F247558"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CFEFB5E" w14:textId="5C51ADF4" w:rsidR="0047376C" w:rsidRPr="0047376C" w:rsidRDefault="0047376C" w:rsidP="0047376C">
      <w:pPr>
        <w:spacing w:after="0" w:line="240" w:lineRule="auto"/>
        <w:ind w:left="567" w:right="260"/>
        <w:rPr>
          <w:rFonts w:ascii="Arial" w:hAnsi="Arial" w:cs="Arial"/>
        </w:rPr>
      </w:pPr>
      <w:r>
        <w:rPr>
          <w:rFonts w:ascii="Arial" w:hAnsi="Arial" w:cs="Arial"/>
        </w:rPr>
        <w:t>9.1 w</w:t>
      </w:r>
      <w:r w:rsidRPr="0047376C">
        <w:rPr>
          <w:rFonts w:ascii="Arial" w:hAnsi="Arial" w:cs="Arial"/>
        </w:rPr>
        <w:t>ork in interdisciplinary areas relating t</w:t>
      </w:r>
      <w:r>
        <w:rPr>
          <w:rFonts w:ascii="Arial" w:hAnsi="Arial" w:cs="Arial"/>
        </w:rPr>
        <w:t>heories from different subjects;</w:t>
      </w:r>
    </w:p>
    <w:p w14:paraId="4CFE1792" w14:textId="59F9011A" w:rsidR="0047376C" w:rsidRPr="0047376C" w:rsidRDefault="0047376C" w:rsidP="0047376C">
      <w:pPr>
        <w:spacing w:after="0" w:line="240" w:lineRule="auto"/>
        <w:ind w:left="567" w:right="260"/>
        <w:rPr>
          <w:rFonts w:ascii="Arial" w:hAnsi="Arial" w:cs="Arial"/>
        </w:rPr>
      </w:pPr>
      <w:r>
        <w:rPr>
          <w:rFonts w:ascii="Arial" w:hAnsi="Arial" w:cs="Arial"/>
        </w:rPr>
        <w:t>9.2 self-manage their learning;</w:t>
      </w:r>
    </w:p>
    <w:p w14:paraId="4ADB0E63" w14:textId="7D507D4C" w:rsidR="0047376C" w:rsidRPr="0047376C" w:rsidRDefault="0047376C" w:rsidP="0047376C">
      <w:pPr>
        <w:spacing w:after="0" w:line="240" w:lineRule="auto"/>
        <w:ind w:left="567" w:right="260"/>
        <w:rPr>
          <w:rFonts w:ascii="Arial" w:hAnsi="Arial" w:cs="Arial"/>
        </w:rPr>
      </w:pPr>
      <w:r>
        <w:rPr>
          <w:rFonts w:ascii="Arial" w:hAnsi="Arial" w:cs="Arial"/>
        </w:rPr>
        <w:t>9.3 c</w:t>
      </w:r>
      <w:r w:rsidRPr="0047376C">
        <w:rPr>
          <w:rFonts w:ascii="Arial" w:hAnsi="Arial" w:cs="Arial"/>
        </w:rPr>
        <w:t>ommunicate effectively through oral pres</w:t>
      </w:r>
      <w:r>
        <w:rPr>
          <w:rFonts w:ascii="Arial" w:hAnsi="Arial" w:cs="Arial"/>
        </w:rPr>
        <w:t>entations and written documents;</w:t>
      </w:r>
    </w:p>
    <w:p w14:paraId="50C3B758" w14:textId="39F3CCEA" w:rsidR="0047376C" w:rsidRPr="0047376C" w:rsidRDefault="0047376C" w:rsidP="0047376C">
      <w:pPr>
        <w:spacing w:after="0" w:line="240" w:lineRule="auto"/>
        <w:ind w:left="567" w:right="260"/>
        <w:rPr>
          <w:rFonts w:ascii="Arial" w:hAnsi="Arial" w:cs="Arial"/>
        </w:rPr>
      </w:pPr>
      <w:r>
        <w:rPr>
          <w:rFonts w:ascii="Arial" w:hAnsi="Arial" w:cs="Arial"/>
        </w:rPr>
        <w:t>9.4 w</w:t>
      </w:r>
      <w:r w:rsidRPr="0047376C">
        <w:rPr>
          <w:rFonts w:ascii="Arial" w:hAnsi="Arial" w:cs="Arial"/>
        </w:rPr>
        <w:t>ork with other</w:t>
      </w:r>
      <w:r>
        <w:rPr>
          <w:rFonts w:ascii="Arial" w:hAnsi="Arial" w:cs="Arial"/>
        </w:rPr>
        <w:t>s efficiently and effectively;</w:t>
      </w:r>
    </w:p>
    <w:p w14:paraId="44B67FA5" w14:textId="06D2B045" w:rsidR="0047376C" w:rsidRDefault="0047376C" w:rsidP="0047376C">
      <w:pPr>
        <w:spacing w:after="0" w:line="240" w:lineRule="auto"/>
        <w:ind w:left="567" w:right="260"/>
        <w:rPr>
          <w:rFonts w:ascii="Arial" w:hAnsi="Arial" w:cs="Arial"/>
        </w:rPr>
      </w:pPr>
      <w:r>
        <w:rPr>
          <w:rFonts w:ascii="Arial" w:hAnsi="Arial" w:cs="Arial"/>
        </w:rPr>
        <w:t>9.5 a</w:t>
      </w:r>
      <w:r w:rsidRPr="0047376C">
        <w:rPr>
          <w:rFonts w:ascii="Arial" w:hAnsi="Arial" w:cs="Arial"/>
        </w:rPr>
        <w:t>pply numeracy and IT skills appropriately.</w:t>
      </w:r>
    </w:p>
    <w:p w14:paraId="5BC10B53" w14:textId="77777777" w:rsidR="0047376C" w:rsidRPr="0047376C" w:rsidRDefault="0047376C" w:rsidP="0047376C">
      <w:pPr>
        <w:spacing w:after="0" w:line="240" w:lineRule="auto"/>
        <w:ind w:left="567" w:right="260"/>
        <w:rPr>
          <w:rFonts w:ascii="Arial" w:hAnsi="Arial" w:cs="Arial"/>
        </w:rPr>
      </w:pPr>
    </w:p>
    <w:p w14:paraId="7499F0A1" w14:textId="5F74969C" w:rsidR="009A2D37" w:rsidRDefault="009A2D37" w:rsidP="00696FF5">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2A2468BC" w14:textId="77777777" w:rsidR="0047376C" w:rsidRPr="002811CB" w:rsidRDefault="0047376C" w:rsidP="0047376C">
      <w:pPr>
        <w:spacing w:before="60" w:after="60" w:line="240" w:lineRule="auto"/>
        <w:ind w:left="567" w:right="-330"/>
        <w:rPr>
          <w:rFonts w:ascii="Arial" w:hAnsi="Arial" w:cs="Arial"/>
        </w:rPr>
      </w:pPr>
      <w:r w:rsidRPr="00330374">
        <w:rPr>
          <w:rFonts w:ascii="Arial" w:hAnsi="Arial" w:cs="Arial"/>
          <w:iCs/>
        </w:rPr>
        <w:t xml:space="preserve">This module facilitates the development of an entrepreneurial mind-set, and equips students with necessary cutting-edge knowledge and skills vital for generating value in a </w:t>
      </w:r>
      <w:proofErr w:type="gramStart"/>
      <w:r w:rsidRPr="00330374">
        <w:rPr>
          <w:rFonts w:ascii="Arial" w:hAnsi="Arial" w:cs="Arial"/>
          <w:iCs/>
        </w:rPr>
        <w:t>knowledge based</w:t>
      </w:r>
      <w:proofErr w:type="gramEnd"/>
      <w:r w:rsidRPr="00330374">
        <w:rPr>
          <w:rFonts w:ascii="Arial" w:hAnsi="Arial" w:cs="Arial"/>
          <w:iCs/>
        </w:rPr>
        <w:t xml:space="preserve"> economy. </w:t>
      </w:r>
      <w:r w:rsidRPr="002811CB">
        <w:rPr>
          <w:rFonts w:ascii="Arial" w:hAnsi="Arial" w:cs="Arial"/>
        </w:rPr>
        <w:t>The curriculum will include the following areas of study:</w:t>
      </w:r>
    </w:p>
    <w:p w14:paraId="51D2C54B" w14:textId="0DBFDCB6" w:rsidR="0047376C" w:rsidRPr="002811CB" w:rsidRDefault="0047376C" w:rsidP="0047376C">
      <w:pPr>
        <w:pStyle w:val="ListParagraph"/>
        <w:numPr>
          <w:ilvl w:val="0"/>
          <w:numId w:val="20"/>
        </w:numPr>
        <w:tabs>
          <w:tab w:val="left" w:pos="720"/>
        </w:tabs>
        <w:ind w:left="1080"/>
        <w:rPr>
          <w:rFonts w:ascii="Arial" w:hAnsi="Arial" w:cs="Arial"/>
        </w:rPr>
      </w:pPr>
      <w:r w:rsidRPr="002811CB">
        <w:rPr>
          <w:rFonts w:ascii="Arial" w:hAnsi="Arial" w:cs="Arial"/>
        </w:rPr>
        <w:t xml:space="preserve">Broader application of entrepreneurship </w:t>
      </w:r>
    </w:p>
    <w:p w14:paraId="1DE7B5A6" w14:textId="72BA1253" w:rsidR="0047376C" w:rsidRPr="002811CB" w:rsidRDefault="0047376C" w:rsidP="0047376C">
      <w:pPr>
        <w:pStyle w:val="ListParagraph"/>
        <w:numPr>
          <w:ilvl w:val="0"/>
          <w:numId w:val="20"/>
        </w:numPr>
        <w:tabs>
          <w:tab w:val="left" w:pos="720"/>
        </w:tabs>
        <w:ind w:left="1080"/>
        <w:rPr>
          <w:rFonts w:ascii="Arial" w:hAnsi="Arial" w:cs="Arial"/>
        </w:rPr>
      </w:pPr>
      <w:r w:rsidRPr="002811CB">
        <w:rPr>
          <w:rFonts w:ascii="Arial" w:hAnsi="Arial" w:cs="Arial"/>
        </w:rPr>
        <w:t xml:space="preserve">Co-creation as a new form of generating value in an innovation ecosystem. </w:t>
      </w:r>
    </w:p>
    <w:p w14:paraId="5D306E41" w14:textId="46A2E864" w:rsidR="0047376C" w:rsidRPr="002811CB" w:rsidRDefault="0047376C" w:rsidP="0047376C">
      <w:pPr>
        <w:pStyle w:val="ListParagraph"/>
        <w:numPr>
          <w:ilvl w:val="0"/>
          <w:numId w:val="20"/>
        </w:numPr>
        <w:tabs>
          <w:tab w:val="left" w:pos="720"/>
        </w:tabs>
        <w:ind w:left="1080"/>
        <w:rPr>
          <w:rFonts w:ascii="Arial" w:hAnsi="Arial" w:cs="Arial"/>
        </w:rPr>
      </w:pPr>
      <w:r w:rsidRPr="002811CB">
        <w:rPr>
          <w:rFonts w:ascii="Arial" w:hAnsi="Arial" w:cs="Arial"/>
        </w:rPr>
        <w:t xml:space="preserve">Managing innovation entrepreneurially </w:t>
      </w:r>
    </w:p>
    <w:p w14:paraId="2602A25C" w14:textId="07118834" w:rsidR="0047376C" w:rsidRPr="002811CB" w:rsidRDefault="0047376C" w:rsidP="0047376C">
      <w:pPr>
        <w:pStyle w:val="ListParagraph"/>
        <w:numPr>
          <w:ilvl w:val="0"/>
          <w:numId w:val="20"/>
        </w:numPr>
        <w:tabs>
          <w:tab w:val="left" w:pos="720"/>
        </w:tabs>
        <w:ind w:left="1080"/>
        <w:rPr>
          <w:rFonts w:ascii="Arial" w:hAnsi="Arial" w:cs="Arial"/>
        </w:rPr>
      </w:pPr>
      <w:r w:rsidRPr="002811CB">
        <w:rPr>
          <w:rFonts w:ascii="Arial" w:hAnsi="Arial" w:cs="Arial"/>
        </w:rPr>
        <w:t xml:space="preserve">Entrepreneurial opportunity </w:t>
      </w:r>
    </w:p>
    <w:p w14:paraId="4E1B68BB" w14:textId="5FB7E049" w:rsidR="0047376C" w:rsidRPr="002811CB" w:rsidRDefault="0047376C" w:rsidP="0047376C">
      <w:pPr>
        <w:pStyle w:val="ListParagraph"/>
        <w:numPr>
          <w:ilvl w:val="0"/>
          <w:numId w:val="20"/>
        </w:numPr>
        <w:tabs>
          <w:tab w:val="left" w:pos="720"/>
        </w:tabs>
        <w:ind w:left="1080"/>
        <w:rPr>
          <w:rFonts w:ascii="Arial" w:hAnsi="Arial" w:cs="Arial"/>
        </w:rPr>
      </w:pPr>
      <w:r w:rsidRPr="002811CB">
        <w:rPr>
          <w:rFonts w:ascii="Arial" w:hAnsi="Arial" w:cs="Arial"/>
        </w:rPr>
        <w:t xml:space="preserve">Entrepreneurial Motivation </w:t>
      </w:r>
    </w:p>
    <w:p w14:paraId="0C8DA873" w14:textId="234D18A9" w:rsidR="0047376C" w:rsidRPr="002811CB" w:rsidRDefault="0047376C" w:rsidP="0047376C">
      <w:pPr>
        <w:pStyle w:val="ListParagraph"/>
        <w:numPr>
          <w:ilvl w:val="0"/>
          <w:numId w:val="20"/>
        </w:numPr>
        <w:tabs>
          <w:tab w:val="left" w:pos="720"/>
        </w:tabs>
        <w:ind w:left="1080"/>
        <w:rPr>
          <w:rFonts w:ascii="Arial" w:hAnsi="Arial" w:cs="Arial"/>
        </w:rPr>
      </w:pPr>
      <w:r w:rsidRPr="002811CB">
        <w:rPr>
          <w:rFonts w:ascii="Arial" w:hAnsi="Arial" w:cs="Arial"/>
        </w:rPr>
        <w:lastRenderedPageBreak/>
        <w:t xml:space="preserve">Entrepreneurial Marketing </w:t>
      </w:r>
    </w:p>
    <w:p w14:paraId="16C2BB83" w14:textId="2C244901" w:rsidR="0047376C" w:rsidRPr="002811CB" w:rsidRDefault="0047376C" w:rsidP="00761D49">
      <w:pPr>
        <w:pStyle w:val="ListParagraph"/>
        <w:numPr>
          <w:ilvl w:val="0"/>
          <w:numId w:val="20"/>
        </w:numPr>
        <w:tabs>
          <w:tab w:val="left" w:pos="720"/>
        </w:tabs>
        <w:ind w:left="1080"/>
        <w:rPr>
          <w:rFonts w:ascii="Arial" w:hAnsi="Arial" w:cs="Arial"/>
        </w:rPr>
      </w:pPr>
      <w:r w:rsidRPr="002811CB">
        <w:rPr>
          <w:rFonts w:ascii="Arial" w:hAnsi="Arial" w:cs="Arial"/>
        </w:rPr>
        <w:t xml:space="preserve">Entrepreneurial Finance – Finance fuels entrepreneurship. </w:t>
      </w:r>
    </w:p>
    <w:p w14:paraId="7701B145" w14:textId="539FF5C0"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w:t>
      </w:r>
      <w:r w:rsidR="0043565D">
        <w:rPr>
          <w:rFonts w:ascii="Arial" w:hAnsi="Arial" w:cs="Arial"/>
          <w:b/>
        </w:rPr>
        <w:t>ists will be published annually)</w:t>
      </w:r>
    </w:p>
    <w:p w14:paraId="0BFD6C2D" w14:textId="77777777" w:rsidR="00310E84" w:rsidRPr="00310E84" w:rsidRDefault="00310E84" w:rsidP="00310E84">
      <w:pPr>
        <w:spacing w:after="0" w:line="240" w:lineRule="auto"/>
        <w:ind w:left="567" w:right="260"/>
        <w:jc w:val="both"/>
        <w:rPr>
          <w:rFonts w:ascii="Arial" w:hAnsi="Arial" w:cs="Arial"/>
        </w:rPr>
      </w:pPr>
      <w:proofErr w:type="spellStart"/>
      <w:r w:rsidRPr="00310E84">
        <w:rPr>
          <w:rFonts w:ascii="Arial" w:hAnsi="Arial" w:cs="Arial"/>
        </w:rPr>
        <w:t>Aal</w:t>
      </w:r>
      <w:proofErr w:type="spellEnd"/>
      <w:r w:rsidRPr="00310E84">
        <w:rPr>
          <w:rFonts w:ascii="Arial" w:hAnsi="Arial" w:cs="Arial"/>
        </w:rPr>
        <w:t xml:space="preserve">, K., L. Di Pietro, B. </w:t>
      </w:r>
      <w:proofErr w:type="spellStart"/>
      <w:r w:rsidRPr="00310E84">
        <w:rPr>
          <w:rFonts w:ascii="Arial" w:hAnsi="Arial" w:cs="Arial"/>
        </w:rPr>
        <w:t>Edvardsson</w:t>
      </w:r>
      <w:proofErr w:type="spellEnd"/>
      <w:r w:rsidRPr="00310E84">
        <w:rPr>
          <w:rFonts w:ascii="Arial" w:hAnsi="Arial" w:cs="Arial"/>
        </w:rPr>
        <w:t xml:space="preserve">, M. F. Renzi, and R. </w:t>
      </w:r>
      <w:proofErr w:type="spellStart"/>
      <w:r w:rsidRPr="00310E84">
        <w:rPr>
          <w:rFonts w:ascii="Arial" w:hAnsi="Arial" w:cs="Arial"/>
        </w:rPr>
        <w:t>Guglielmetti</w:t>
      </w:r>
      <w:proofErr w:type="spellEnd"/>
      <w:r w:rsidRPr="00310E84">
        <w:rPr>
          <w:rFonts w:ascii="Arial" w:hAnsi="Arial" w:cs="Arial"/>
        </w:rPr>
        <w:t xml:space="preserve"> </w:t>
      </w:r>
      <w:proofErr w:type="spellStart"/>
      <w:r w:rsidRPr="00310E84">
        <w:rPr>
          <w:rFonts w:ascii="Arial" w:hAnsi="Arial" w:cs="Arial"/>
        </w:rPr>
        <w:t>Mugion</w:t>
      </w:r>
      <w:proofErr w:type="spellEnd"/>
      <w:r w:rsidRPr="00310E84">
        <w:rPr>
          <w:rFonts w:ascii="Arial" w:hAnsi="Arial" w:cs="Arial"/>
        </w:rPr>
        <w:t xml:space="preserve">. (2016). Innovation in service ecosystems: an empirical study of the integration of values, brands, service systems and experience rooms. </w:t>
      </w:r>
      <w:r w:rsidRPr="002811CB">
        <w:rPr>
          <w:rFonts w:ascii="Arial" w:hAnsi="Arial" w:cs="Arial"/>
          <w:i/>
        </w:rPr>
        <w:t>Journal of Service Management</w:t>
      </w:r>
      <w:r w:rsidRPr="00310E84">
        <w:rPr>
          <w:rFonts w:ascii="Arial" w:hAnsi="Arial" w:cs="Arial"/>
        </w:rPr>
        <w:t xml:space="preserve"> 27(4):619–651.</w:t>
      </w:r>
    </w:p>
    <w:p w14:paraId="142BA955" w14:textId="77777777" w:rsidR="00310E84" w:rsidRPr="00310E84" w:rsidRDefault="00310E84" w:rsidP="00310E84">
      <w:pPr>
        <w:spacing w:after="0" w:line="240" w:lineRule="auto"/>
        <w:ind w:left="567" w:right="260"/>
        <w:jc w:val="both"/>
        <w:rPr>
          <w:rFonts w:ascii="Arial" w:hAnsi="Arial" w:cs="Arial"/>
        </w:rPr>
      </w:pPr>
      <w:proofErr w:type="spellStart"/>
      <w:r w:rsidRPr="00310E84">
        <w:rPr>
          <w:rFonts w:ascii="Arial" w:hAnsi="Arial" w:cs="Arial"/>
        </w:rPr>
        <w:t>Nätti</w:t>
      </w:r>
      <w:proofErr w:type="spellEnd"/>
      <w:r w:rsidRPr="00310E84">
        <w:rPr>
          <w:rFonts w:ascii="Arial" w:hAnsi="Arial" w:cs="Arial"/>
        </w:rPr>
        <w:t xml:space="preserve">, S., S. </w:t>
      </w:r>
      <w:proofErr w:type="spellStart"/>
      <w:r w:rsidRPr="00310E84">
        <w:rPr>
          <w:rFonts w:ascii="Arial" w:hAnsi="Arial" w:cs="Arial"/>
        </w:rPr>
        <w:t>Pekkarinen</w:t>
      </w:r>
      <w:proofErr w:type="spellEnd"/>
      <w:r w:rsidRPr="00310E84">
        <w:rPr>
          <w:rFonts w:ascii="Arial" w:hAnsi="Arial" w:cs="Arial"/>
        </w:rPr>
        <w:t xml:space="preserve">, A. </w:t>
      </w:r>
      <w:proofErr w:type="spellStart"/>
      <w:r w:rsidRPr="00310E84">
        <w:rPr>
          <w:rFonts w:ascii="Arial" w:hAnsi="Arial" w:cs="Arial"/>
        </w:rPr>
        <w:t>Hartikka</w:t>
      </w:r>
      <w:proofErr w:type="spellEnd"/>
      <w:r w:rsidRPr="00310E84">
        <w:rPr>
          <w:rFonts w:ascii="Arial" w:hAnsi="Arial" w:cs="Arial"/>
        </w:rPr>
        <w:t xml:space="preserve">, and T. </w:t>
      </w:r>
      <w:proofErr w:type="spellStart"/>
      <w:r w:rsidRPr="00310E84">
        <w:rPr>
          <w:rFonts w:ascii="Arial" w:hAnsi="Arial" w:cs="Arial"/>
        </w:rPr>
        <w:t>Holappa</w:t>
      </w:r>
      <w:proofErr w:type="spellEnd"/>
      <w:r w:rsidRPr="00310E84">
        <w:rPr>
          <w:rFonts w:ascii="Arial" w:hAnsi="Arial" w:cs="Arial"/>
        </w:rPr>
        <w:t xml:space="preserve">. (2014). The intermediator role in value co-creation within a triadic business service relationship. </w:t>
      </w:r>
      <w:r w:rsidRPr="002811CB">
        <w:rPr>
          <w:rFonts w:ascii="Arial" w:hAnsi="Arial" w:cs="Arial"/>
          <w:i/>
        </w:rPr>
        <w:t>Industrial Marketing Management</w:t>
      </w:r>
      <w:r w:rsidRPr="00310E84">
        <w:rPr>
          <w:rFonts w:ascii="Arial" w:hAnsi="Arial" w:cs="Arial"/>
        </w:rPr>
        <w:t xml:space="preserve"> 43(6):977–984.</w:t>
      </w:r>
    </w:p>
    <w:p w14:paraId="6A0BD115" w14:textId="77777777" w:rsidR="00310E84" w:rsidRPr="00310E84" w:rsidRDefault="00310E84" w:rsidP="00310E84">
      <w:pPr>
        <w:spacing w:after="0" w:line="240" w:lineRule="auto"/>
        <w:ind w:left="567" w:right="260"/>
        <w:jc w:val="both"/>
        <w:rPr>
          <w:rFonts w:ascii="Arial" w:hAnsi="Arial" w:cs="Arial"/>
        </w:rPr>
      </w:pPr>
      <w:proofErr w:type="spellStart"/>
      <w:r w:rsidRPr="00310E84">
        <w:rPr>
          <w:rFonts w:ascii="Arial" w:hAnsi="Arial" w:cs="Arial"/>
        </w:rPr>
        <w:t>Parhankangas</w:t>
      </w:r>
      <w:proofErr w:type="spellEnd"/>
      <w:r w:rsidRPr="00310E84">
        <w:rPr>
          <w:rFonts w:ascii="Arial" w:hAnsi="Arial" w:cs="Arial"/>
        </w:rPr>
        <w:t xml:space="preserve">, A., and M. Ehrlich. (2014). How entrepreneurs seduce business angels: An impression management approach. </w:t>
      </w:r>
      <w:r w:rsidRPr="002811CB">
        <w:rPr>
          <w:rFonts w:ascii="Arial" w:hAnsi="Arial" w:cs="Arial"/>
          <w:i/>
        </w:rPr>
        <w:t>Journal of Business Venturing</w:t>
      </w:r>
      <w:r w:rsidRPr="00310E84">
        <w:rPr>
          <w:rFonts w:ascii="Arial" w:hAnsi="Arial" w:cs="Arial"/>
        </w:rPr>
        <w:t xml:space="preserve"> 29(4):543–564.</w:t>
      </w:r>
    </w:p>
    <w:p w14:paraId="6260FD1A" w14:textId="77777777" w:rsidR="00310E84" w:rsidRPr="00310E84" w:rsidRDefault="00310E84" w:rsidP="00310E84">
      <w:pPr>
        <w:spacing w:after="0" w:line="240" w:lineRule="auto"/>
        <w:ind w:left="567" w:right="260"/>
        <w:jc w:val="both"/>
        <w:rPr>
          <w:rFonts w:ascii="Arial" w:hAnsi="Arial" w:cs="Arial"/>
        </w:rPr>
      </w:pPr>
      <w:r w:rsidRPr="00310E84">
        <w:rPr>
          <w:rFonts w:ascii="Arial" w:hAnsi="Arial" w:cs="Arial"/>
        </w:rPr>
        <w:t xml:space="preserve">Perks, H., Gruber, T. &amp; </w:t>
      </w:r>
      <w:proofErr w:type="spellStart"/>
      <w:r w:rsidRPr="00310E84">
        <w:rPr>
          <w:rFonts w:ascii="Arial" w:hAnsi="Arial" w:cs="Arial"/>
        </w:rPr>
        <w:t>Edvardsson</w:t>
      </w:r>
      <w:proofErr w:type="spellEnd"/>
      <w:r w:rsidRPr="00310E84">
        <w:rPr>
          <w:rFonts w:ascii="Arial" w:hAnsi="Arial" w:cs="Arial"/>
        </w:rPr>
        <w:t xml:space="preserve">, B. (2012). Co-creation in radical service innovation: A systematic analysis of microlevel processes. </w:t>
      </w:r>
      <w:r w:rsidRPr="002811CB">
        <w:rPr>
          <w:rFonts w:ascii="Arial" w:hAnsi="Arial" w:cs="Arial"/>
          <w:i/>
        </w:rPr>
        <w:t>Journal of Product Innovation Management</w:t>
      </w:r>
      <w:r w:rsidRPr="00310E84">
        <w:rPr>
          <w:rFonts w:ascii="Arial" w:hAnsi="Arial" w:cs="Arial"/>
        </w:rPr>
        <w:t>, 29(6), 935–951.</w:t>
      </w:r>
    </w:p>
    <w:p w14:paraId="3DDAAC8E" w14:textId="77777777" w:rsidR="00310E84" w:rsidRPr="00310E84" w:rsidRDefault="00310E84" w:rsidP="00310E84">
      <w:pPr>
        <w:spacing w:after="0" w:line="240" w:lineRule="auto"/>
        <w:ind w:left="567" w:right="260"/>
        <w:jc w:val="both"/>
        <w:rPr>
          <w:rFonts w:ascii="Arial" w:hAnsi="Arial" w:cs="Arial"/>
        </w:rPr>
      </w:pPr>
      <w:r w:rsidRPr="00310E84">
        <w:rPr>
          <w:rFonts w:ascii="Arial" w:hAnsi="Arial" w:cs="Arial"/>
        </w:rPr>
        <w:t xml:space="preserve">Ramaswamy, V., and F. </w:t>
      </w:r>
      <w:proofErr w:type="spellStart"/>
      <w:r w:rsidRPr="00310E84">
        <w:rPr>
          <w:rFonts w:ascii="Arial" w:hAnsi="Arial" w:cs="Arial"/>
        </w:rPr>
        <w:t>Gouillart</w:t>
      </w:r>
      <w:proofErr w:type="spellEnd"/>
      <w:r w:rsidRPr="00310E84">
        <w:rPr>
          <w:rFonts w:ascii="Arial" w:hAnsi="Arial" w:cs="Arial"/>
        </w:rPr>
        <w:t xml:space="preserve">. (2010). Building the co-creative enterprise. </w:t>
      </w:r>
      <w:r w:rsidRPr="002811CB">
        <w:rPr>
          <w:rFonts w:ascii="Arial" w:hAnsi="Arial" w:cs="Arial"/>
          <w:i/>
        </w:rPr>
        <w:t>Harvard Business Review</w:t>
      </w:r>
      <w:r w:rsidRPr="00310E84">
        <w:rPr>
          <w:rFonts w:ascii="Arial" w:hAnsi="Arial" w:cs="Arial"/>
        </w:rPr>
        <w:t xml:space="preserve"> 88(10):100–109.</w:t>
      </w:r>
    </w:p>
    <w:p w14:paraId="091AA2D3" w14:textId="77777777" w:rsidR="00310E84" w:rsidRPr="00310E84" w:rsidRDefault="00310E84" w:rsidP="00310E84">
      <w:pPr>
        <w:spacing w:after="0" w:line="240" w:lineRule="auto"/>
        <w:ind w:left="567" w:right="260"/>
        <w:jc w:val="both"/>
        <w:rPr>
          <w:rFonts w:ascii="Arial" w:hAnsi="Arial" w:cs="Arial"/>
        </w:rPr>
      </w:pPr>
      <w:proofErr w:type="spellStart"/>
      <w:r w:rsidRPr="00310E84">
        <w:rPr>
          <w:rFonts w:ascii="Arial" w:hAnsi="Arial" w:cs="Arial"/>
        </w:rPr>
        <w:t>Sarasvathy</w:t>
      </w:r>
      <w:proofErr w:type="spellEnd"/>
      <w:r w:rsidRPr="00310E84">
        <w:rPr>
          <w:rFonts w:ascii="Arial" w:hAnsi="Arial" w:cs="Arial"/>
        </w:rPr>
        <w:t xml:space="preserve">, S.D. et al. (2010). Three Views of Entrepreneurial Opportunity. </w:t>
      </w:r>
      <w:r w:rsidRPr="002811CB">
        <w:rPr>
          <w:rFonts w:ascii="Arial" w:hAnsi="Arial" w:cs="Arial"/>
          <w:i/>
        </w:rPr>
        <w:t>In Handbook of Entrepreneurship Research. An Interdisciplinary Survey and Introduction</w:t>
      </w:r>
      <w:r w:rsidRPr="00310E84">
        <w:rPr>
          <w:rFonts w:ascii="Arial" w:hAnsi="Arial" w:cs="Arial"/>
        </w:rPr>
        <w:t>. pp. 77–96.</w:t>
      </w:r>
    </w:p>
    <w:p w14:paraId="3AA3987F" w14:textId="7904AF4B" w:rsidR="00310E84" w:rsidRDefault="00310E84" w:rsidP="00310E84">
      <w:pPr>
        <w:spacing w:after="0" w:line="240" w:lineRule="auto"/>
        <w:ind w:left="567" w:right="260"/>
        <w:jc w:val="both"/>
        <w:rPr>
          <w:rFonts w:ascii="Arial" w:hAnsi="Arial" w:cs="Arial"/>
        </w:rPr>
      </w:pPr>
      <w:r w:rsidRPr="00310E84">
        <w:rPr>
          <w:rFonts w:ascii="Arial" w:hAnsi="Arial" w:cs="Arial"/>
        </w:rPr>
        <w:t xml:space="preserve">Shane, S. and Venkataraman, S., (2000). The Promise of Entrepreneurship as a Field of Research. </w:t>
      </w:r>
      <w:r w:rsidRPr="002811CB">
        <w:rPr>
          <w:rFonts w:ascii="Arial" w:hAnsi="Arial" w:cs="Arial"/>
          <w:i/>
        </w:rPr>
        <w:t>The Academy of Management Review</w:t>
      </w:r>
      <w:r w:rsidRPr="00310E84">
        <w:rPr>
          <w:rFonts w:ascii="Arial" w:hAnsi="Arial" w:cs="Arial"/>
        </w:rPr>
        <w:t xml:space="preserve"> 25, (1), 217 </w:t>
      </w:r>
      <w:r>
        <w:rPr>
          <w:rFonts w:ascii="Arial" w:hAnsi="Arial" w:cs="Arial"/>
        </w:rPr>
        <w:t>–</w:t>
      </w:r>
      <w:r w:rsidRPr="00310E84">
        <w:rPr>
          <w:rFonts w:ascii="Arial" w:hAnsi="Arial" w:cs="Arial"/>
        </w:rPr>
        <w:t xml:space="preserve"> 226</w:t>
      </w:r>
    </w:p>
    <w:p w14:paraId="14BF7D38" w14:textId="77777777" w:rsidR="00310E84" w:rsidRPr="00310E84" w:rsidRDefault="00310E84" w:rsidP="00310E84">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371903C" w14:textId="7D36DBA2" w:rsidR="00527FB6" w:rsidRPr="00527FB6" w:rsidRDefault="00527FB6" w:rsidP="00527FB6">
      <w:pPr>
        <w:spacing w:after="120" w:line="240" w:lineRule="auto"/>
        <w:ind w:left="567" w:right="260"/>
        <w:jc w:val="both"/>
        <w:rPr>
          <w:rFonts w:ascii="Arial" w:hAnsi="Arial" w:cs="Arial"/>
          <w:iCs/>
        </w:rPr>
      </w:pPr>
      <w:r w:rsidRPr="00527FB6">
        <w:rPr>
          <w:rFonts w:ascii="Arial" w:hAnsi="Arial" w:cs="Arial"/>
          <w:iCs/>
        </w:rPr>
        <w:t>The total study time for this module is 150 hours incorporating online e-learning, work-based experience and private study</w:t>
      </w:r>
      <w:r w:rsidR="00DE5FEC">
        <w:rPr>
          <w:rFonts w:ascii="Arial" w:hAnsi="Arial" w:cs="Arial"/>
          <w:iCs/>
        </w:rPr>
        <w:t>.</w:t>
      </w:r>
    </w:p>
    <w:p w14:paraId="66B73D96" w14:textId="77777777" w:rsidR="00527FB6" w:rsidRPr="00527FB6" w:rsidRDefault="00527FB6" w:rsidP="00527FB6">
      <w:pPr>
        <w:spacing w:after="120" w:line="240" w:lineRule="auto"/>
        <w:ind w:left="567" w:right="260"/>
        <w:jc w:val="both"/>
        <w:rPr>
          <w:rFonts w:ascii="Arial" w:hAnsi="Arial" w:cs="Arial"/>
          <w:iCs/>
        </w:rPr>
      </w:pPr>
      <w:r w:rsidRPr="00527FB6">
        <w:rPr>
          <w:rFonts w:ascii="Arial" w:hAnsi="Arial" w:cs="Arial"/>
          <w:iCs/>
        </w:rPr>
        <w:t xml:space="preserve">Teaching is delivered as a blended learning approach. VLE-delivered E-activities, VLE-delivered </w:t>
      </w:r>
      <w:proofErr w:type="spellStart"/>
      <w:r w:rsidRPr="00527FB6">
        <w:rPr>
          <w:rFonts w:ascii="Arial" w:hAnsi="Arial" w:cs="Arial"/>
          <w:iCs/>
        </w:rPr>
        <w:t>practicals</w:t>
      </w:r>
      <w:proofErr w:type="spellEnd"/>
      <w:r w:rsidRPr="00527FB6">
        <w:rPr>
          <w:rFonts w:ascii="Arial" w:hAnsi="Arial" w:cs="Arial"/>
          <w:iCs/>
        </w:rPr>
        <w:t xml:space="preserve"> and work activities serve to reinforce material presented online and also relate directly to the learning objectives. These are specifically based on enabling students to relate their theoretical knowledge to the workplace in a variety of industries.</w:t>
      </w:r>
    </w:p>
    <w:p w14:paraId="153D50FC" w14:textId="127E1C79" w:rsidR="009A2D37" w:rsidRPr="00302082" w:rsidRDefault="00527FB6" w:rsidP="00D96944">
      <w:pPr>
        <w:spacing w:after="120" w:line="240" w:lineRule="auto"/>
        <w:ind w:left="567" w:right="260"/>
        <w:rPr>
          <w:rFonts w:ascii="Arial" w:hAnsi="Arial" w:cs="Arial"/>
          <w:i/>
          <w:iCs/>
        </w:rPr>
      </w:pPr>
      <w:r w:rsidRPr="00527FB6">
        <w:rPr>
          <w:rFonts w:ascii="Arial" w:hAnsi="Arial" w:cs="Arial"/>
          <w:iCs/>
        </w:rPr>
        <w:t>Work-based experience serves to reinforce and provide real-life context to the material being delivered in the module.</w:t>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B0A1707" w14:textId="1482D7CF" w:rsidR="007A6245" w:rsidRPr="002811CB" w:rsidRDefault="002811CB" w:rsidP="00696FF5">
      <w:pPr>
        <w:spacing w:after="120" w:line="240" w:lineRule="auto"/>
        <w:ind w:left="567" w:right="260"/>
        <w:jc w:val="both"/>
        <w:rPr>
          <w:rFonts w:ascii="Arial" w:hAnsi="Arial" w:cs="Arial"/>
          <w:iCs/>
        </w:rPr>
      </w:pPr>
      <w:r>
        <w:rPr>
          <w:rFonts w:ascii="Arial" w:hAnsi="Arial" w:cs="Arial"/>
          <w:iCs/>
        </w:rPr>
        <w:t xml:space="preserve">Group </w:t>
      </w:r>
      <w:r w:rsidR="00DB0B8D" w:rsidRPr="002811CB">
        <w:rPr>
          <w:rFonts w:ascii="Arial" w:hAnsi="Arial" w:cs="Arial"/>
          <w:iCs/>
        </w:rPr>
        <w:t>Presentation (20%)</w:t>
      </w:r>
    </w:p>
    <w:p w14:paraId="335EC755" w14:textId="20B62989" w:rsidR="00DB0B8D" w:rsidRPr="002811CB" w:rsidRDefault="00DB0B8D" w:rsidP="00696FF5">
      <w:pPr>
        <w:spacing w:after="120" w:line="240" w:lineRule="auto"/>
        <w:ind w:left="567" w:right="260"/>
        <w:jc w:val="both"/>
        <w:rPr>
          <w:rFonts w:ascii="Arial" w:hAnsi="Arial" w:cs="Arial"/>
          <w:iCs/>
        </w:rPr>
      </w:pPr>
      <w:r w:rsidRPr="002811CB">
        <w:rPr>
          <w:rFonts w:ascii="Arial" w:hAnsi="Arial" w:cs="Arial"/>
          <w:iCs/>
        </w:rPr>
        <w:t>Group Report (2000 words) (20%)</w:t>
      </w:r>
    </w:p>
    <w:p w14:paraId="5881D270" w14:textId="6CBE49D1" w:rsidR="00DB0B8D" w:rsidRPr="00DB0B8D" w:rsidRDefault="00DB0B8D" w:rsidP="00696FF5">
      <w:pPr>
        <w:spacing w:after="120" w:line="240" w:lineRule="auto"/>
        <w:ind w:left="567" w:right="260"/>
        <w:jc w:val="both"/>
        <w:rPr>
          <w:rFonts w:ascii="Arial" w:hAnsi="Arial" w:cs="Arial"/>
          <w:i/>
          <w:iCs/>
        </w:rPr>
      </w:pPr>
      <w:r w:rsidRPr="002811CB">
        <w:rPr>
          <w:rFonts w:ascii="Arial" w:hAnsi="Arial" w:cs="Arial"/>
          <w:iCs/>
        </w:rPr>
        <w:t>Examination, 2 hours (60%)</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4CC5F24B" w:rsidR="00C57028" w:rsidRPr="00DB0B8D" w:rsidRDefault="00DB0B8D" w:rsidP="00C57028">
      <w:pPr>
        <w:spacing w:after="120" w:line="240" w:lineRule="auto"/>
        <w:ind w:left="567" w:right="260"/>
        <w:jc w:val="both"/>
        <w:rPr>
          <w:rFonts w:ascii="Arial" w:hAnsi="Arial" w:cs="Arial"/>
          <w:b/>
          <w:iCs/>
        </w:rPr>
      </w:pPr>
      <w:r w:rsidRPr="00DB0B8D">
        <w:rPr>
          <w:rFonts w:ascii="Arial" w:hAnsi="Arial" w:cs="Arial"/>
          <w:iCs/>
        </w:rPr>
        <w:t>Reassessment Instrument: 100% exam</w:t>
      </w:r>
    </w:p>
    <w:p w14:paraId="6DE3590E" w14:textId="5A68D72E" w:rsidR="00F85E3C" w:rsidRDefault="00F85E3C">
      <w:pPr>
        <w:rPr>
          <w:rFonts w:ascii="Arial" w:hAnsi="Arial" w:cs="Arial"/>
          <w:b/>
          <w:i/>
          <w:iCs/>
        </w:rPr>
      </w:pPr>
      <w:r>
        <w:rPr>
          <w:rFonts w:ascii="Arial" w:hAnsi="Arial" w:cs="Arial"/>
          <w:b/>
          <w:i/>
          <w:iCs/>
        </w:rPr>
        <w:br w:type="page"/>
      </w:r>
    </w:p>
    <w:p w14:paraId="45DC6BF7" w14:textId="77777777" w:rsidR="00274ED7" w:rsidRPr="00C13F3D" w:rsidRDefault="006F3F8B" w:rsidP="00696FF5">
      <w:pPr>
        <w:numPr>
          <w:ilvl w:val="0"/>
          <w:numId w:val="1"/>
        </w:numPr>
        <w:spacing w:after="120" w:line="240" w:lineRule="auto"/>
        <w:ind w:left="567" w:right="261" w:hanging="567"/>
        <w:jc w:val="both"/>
        <w:rPr>
          <w:rFonts w:ascii="Arial" w:hAnsi="Arial" w:cs="Arial"/>
          <w:b/>
          <w:iCs/>
        </w:rPr>
      </w:pPr>
      <w:r w:rsidRPr="00C13F3D">
        <w:rPr>
          <w:rFonts w:ascii="Arial" w:hAnsi="Arial" w:cs="Arial"/>
          <w:b/>
          <w:iCs/>
        </w:rPr>
        <w:lastRenderedPageBreak/>
        <w:t xml:space="preserve">Map of </w:t>
      </w:r>
      <w:r w:rsidR="00883204" w:rsidRPr="00C13F3D">
        <w:rPr>
          <w:rFonts w:ascii="Arial" w:hAnsi="Arial" w:cs="Arial"/>
          <w:b/>
          <w:iCs/>
        </w:rPr>
        <w:t xml:space="preserve">module learning outcomes </w:t>
      </w:r>
      <w:r w:rsidR="00B30E07" w:rsidRPr="00C13F3D">
        <w:rPr>
          <w:rFonts w:ascii="Arial" w:hAnsi="Arial" w:cs="Arial"/>
          <w:b/>
          <w:iCs/>
        </w:rPr>
        <w:t>(sections 8 &amp; 9)</w:t>
      </w:r>
      <w:r w:rsidR="00883204" w:rsidRPr="00C13F3D">
        <w:rPr>
          <w:rFonts w:ascii="Arial" w:hAnsi="Arial" w:cs="Arial"/>
          <w:b/>
          <w:iCs/>
        </w:rPr>
        <w:t xml:space="preserve"> to l</w:t>
      </w:r>
      <w:r w:rsidRPr="00C13F3D">
        <w:rPr>
          <w:rFonts w:ascii="Arial" w:hAnsi="Arial" w:cs="Arial"/>
          <w:b/>
          <w:iCs/>
        </w:rPr>
        <w:t>earning</w:t>
      </w:r>
      <w:r w:rsidR="00B30E07" w:rsidRPr="00C13F3D">
        <w:rPr>
          <w:rFonts w:ascii="Arial" w:hAnsi="Arial" w:cs="Arial"/>
          <w:b/>
          <w:iCs/>
        </w:rPr>
        <w:t xml:space="preserve"> and </w:t>
      </w:r>
      <w:r w:rsidR="00883204" w:rsidRPr="00C13F3D">
        <w:rPr>
          <w:rFonts w:ascii="Arial" w:hAnsi="Arial" w:cs="Arial"/>
          <w:b/>
          <w:iCs/>
        </w:rPr>
        <w:t>teaching m</w:t>
      </w:r>
      <w:r w:rsidR="00B30E07" w:rsidRPr="00C13F3D">
        <w:rPr>
          <w:rFonts w:ascii="Arial" w:hAnsi="Arial" w:cs="Arial"/>
          <w:b/>
          <w:iCs/>
        </w:rPr>
        <w:t>ethods (section12</w:t>
      </w:r>
      <w:r w:rsidRPr="00C13F3D">
        <w:rPr>
          <w:rFonts w:ascii="Arial" w:hAnsi="Arial" w:cs="Arial"/>
          <w:b/>
          <w:iCs/>
        </w:rPr>
        <w:t>) and m</w:t>
      </w:r>
      <w:r w:rsidR="00883204" w:rsidRPr="00C13F3D">
        <w:rPr>
          <w:rFonts w:ascii="Arial" w:hAnsi="Arial" w:cs="Arial"/>
          <w:b/>
          <w:iCs/>
        </w:rPr>
        <w:t>ethods of a</w:t>
      </w:r>
      <w:r w:rsidR="00B30E07" w:rsidRPr="00C13F3D">
        <w:rPr>
          <w:rFonts w:ascii="Arial" w:hAnsi="Arial" w:cs="Arial"/>
          <w:b/>
          <w:iCs/>
        </w:rPr>
        <w:t>ssessment (section 13</w:t>
      </w:r>
      <w:r w:rsidR="00EF4933" w:rsidRPr="00C13F3D">
        <w:rPr>
          <w:rFonts w:ascii="Arial" w:hAnsi="Arial" w:cs="Arial"/>
          <w:b/>
          <w:iCs/>
        </w:rPr>
        <w:t>)</w:t>
      </w:r>
    </w:p>
    <w:tbl>
      <w:tblPr>
        <w:tblStyle w:val="TableGrid"/>
        <w:tblW w:w="5000" w:type="pct"/>
        <w:tblLook w:val="04A0" w:firstRow="1" w:lastRow="0" w:firstColumn="1" w:lastColumn="0" w:noHBand="0" w:noVBand="1"/>
      </w:tblPr>
      <w:tblGrid>
        <w:gridCol w:w="2649"/>
        <w:gridCol w:w="867"/>
        <w:gridCol w:w="868"/>
        <w:gridCol w:w="868"/>
        <w:gridCol w:w="868"/>
        <w:gridCol w:w="868"/>
        <w:gridCol w:w="868"/>
        <w:gridCol w:w="868"/>
        <w:gridCol w:w="868"/>
        <w:gridCol w:w="864"/>
      </w:tblGrid>
      <w:tr w:rsidR="004C5CE5" w:rsidRPr="00330374" w14:paraId="40D4178C" w14:textId="77777777" w:rsidTr="002811CB">
        <w:tc>
          <w:tcPr>
            <w:tcW w:w="1267" w:type="pct"/>
            <w:shd w:val="clear" w:color="auto" w:fill="D9D9D9" w:themeFill="background1" w:themeFillShade="D9"/>
          </w:tcPr>
          <w:p w14:paraId="39116382" w14:textId="77777777" w:rsidR="004C5CE5" w:rsidRPr="00330374" w:rsidRDefault="004C5CE5" w:rsidP="00824097">
            <w:pPr>
              <w:spacing w:after="120"/>
              <w:ind w:left="33"/>
              <w:rPr>
                <w:rFonts w:ascii="Arial" w:hAnsi="Arial" w:cs="Arial"/>
                <w:b/>
              </w:rPr>
            </w:pPr>
            <w:r w:rsidRPr="00330374">
              <w:rPr>
                <w:rFonts w:ascii="Arial" w:hAnsi="Arial" w:cs="Arial"/>
                <w:b/>
              </w:rPr>
              <w:t>Module learning outcome</w:t>
            </w:r>
          </w:p>
        </w:tc>
        <w:tc>
          <w:tcPr>
            <w:tcW w:w="415" w:type="pct"/>
          </w:tcPr>
          <w:p w14:paraId="42FF074C" w14:textId="77777777" w:rsidR="004C5CE5" w:rsidRPr="00330374" w:rsidRDefault="004C5CE5" w:rsidP="00824097">
            <w:pPr>
              <w:spacing w:after="120"/>
              <w:rPr>
                <w:rFonts w:ascii="Arial" w:hAnsi="Arial" w:cs="Arial"/>
                <w:i/>
              </w:rPr>
            </w:pPr>
            <w:r w:rsidRPr="00330374">
              <w:rPr>
                <w:rFonts w:ascii="Arial" w:hAnsi="Arial" w:cs="Arial"/>
                <w:i/>
              </w:rPr>
              <w:t>8.1</w:t>
            </w:r>
          </w:p>
        </w:tc>
        <w:tc>
          <w:tcPr>
            <w:tcW w:w="415" w:type="pct"/>
          </w:tcPr>
          <w:p w14:paraId="4CC7CEBE" w14:textId="77777777" w:rsidR="004C5CE5" w:rsidRPr="00330374" w:rsidRDefault="004C5CE5" w:rsidP="00824097">
            <w:pPr>
              <w:spacing w:after="120"/>
              <w:rPr>
                <w:rFonts w:ascii="Arial" w:hAnsi="Arial" w:cs="Arial"/>
                <w:i/>
              </w:rPr>
            </w:pPr>
            <w:r w:rsidRPr="00330374">
              <w:rPr>
                <w:rFonts w:ascii="Arial" w:hAnsi="Arial" w:cs="Arial"/>
                <w:i/>
              </w:rPr>
              <w:t>8.2</w:t>
            </w:r>
          </w:p>
        </w:tc>
        <w:tc>
          <w:tcPr>
            <w:tcW w:w="415" w:type="pct"/>
          </w:tcPr>
          <w:p w14:paraId="28532A96" w14:textId="77777777" w:rsidR="004C5CE5" w:rsidRPr="00330374" w:rsidRDefault="004C5CE5" w:rsidP="00824097">
            <w:pPr>
              <w:spacing w:after="120"/>
              <w:rPr>
                <w:rFonts w:ascii="Arial" w:hAnsi="Arial" w:cs="Arial"/>
                <w:i/>
              </w:rPr>
            </w:pPr>
            <w:r w:rsidRPr="00330374">
              <w:rPr>
                <w:rFonts w:ascii="Arial" w:hAnsi="Arial" w:cs="Arial"/>
                <w:i/>
              </w:rPr>
              <w:t>8.3</w:t>
            </w:r>
          </w:p>
        </w:tc>
        <w:tc>
          <w:tcPr>
            <w:tcW w:w="415" w:type="pct"/>
          </w:tcPr>
          <w:p w14:paraId="199594FC" w14:textId="77777777" w:rsidR="004C5CE5" w:rsidRPr="00330374" w:rsidRDefault="004C5CE5" w:rsidP="00824097">
            <w:pPr>
              <w:spacing w:after="120"/>
              <w:rPr>
                <w:rFonts w:ascii="Arial" w:hAnsi="Arial" w:cs="Arial"/>
                <w:i/>
              </w:rPr>
            </w:pPr>
            <w:r w:rsidRPr="00330374">
              <w:rPr>
                <w:rFonts w:ascii="Arial" w:hAnsi="Arial" w:cs="Arial"/>
                <w:i/>
              </w:rPr>
              <w:t>8.4</w:t>
            </w:r>
          </w:p>
        </w:tc>
        <w:tc>
          <w:tcPr>
            <w:tcW w:w="415" w:type="pct"/>
          </w:tcPr>
          <w:p w14:paraId="1A814EE2" w14:textId="77777777" w:rsidR="004C5CE5" w:rsidRPr="00330374" w:rsidRDefault="004C5CE5" w:rsidP="00824097">
            <w:pPr>
              <w:spacing w:after="120"/>
              <w:rPr>
                <w:rFonts w:ascii="Arial" w:hAnsi="Arial" w:cs="Arial"/>
                <w:i/>
              </w:rPr>
            </w:pPr>
            <w:r w:rsidRPr="00330374">
              <w:rPr>
                <w:rFonts w:ascii="Arial" w:hAnsi="Arial" w:cs="Arial"/>
                <w:i/>
              </w:rPr>
              <w:t>9.1</w:t>
            </w:r>
          </w:p>
        </w:tc>
        <w:tc>
          <w:tcPr>
            <w:tcW w:w="415" w:type="pct"/>
          </w:tcPr>
          <w:p w14:paraId="6DBBE494" w14:textId="77777777" w:rsidR="004C5CE5" w:rsidRPr="00330374" w:rsidRDefault="004C5CE5" w:rsidP="00824097">
            <w:pPr>
              <w:spacing w:after="120"/>
              <w:rPr>
                <w:rFonts w:ascii="Arial" w:hAnsi="Arial" w:cs="Arial"/>
                <w:i/>
              </w:rPr>
            </w:pPr>
            <w:r w:rsidRPr="00330374">
              <w:rPr>
                <w:rFonts w:ascii="Arial" w:hAnsi="Arial" w:cs="Arial"/>
                <w:i/>
              </w:rPr>
              <w:t>9.2</w:t>
            </w:r>
          </w:p>
        </w:tc>
        <w:tc>
          <w:tcPr>
            <w:tcW w:w="415" w:type="pct"/>
          </w:tcPr>
          <w:p w14:paraId="5C3CEF9C" w14:textId="77777777" w:rsidR="004C5CE5" w:rsidRPr="00330374" w:rsidRDefault="004C5CE5" w:rsidP="00824097">
            <w:pPr>
              <w:spacing w:after="120"/>
              <w:rPr>
                <w:rFonts w:ascii="Arial" w:hAnsi="Arial" w:cs="Arial"/>
                <w:i/>
              </w:rPr>
            </w:pPr>
            <w:r w:rsidRPr="00330374">
              <w:rPr>
                <w:rFonts w:ascii="Arial" w:hAnsi="Arial" w:cs="Arial"/>
                <w:i/>
              </w:rPr>
              <w:t>9.3</w:t>
            </w:r>
          </w:p>
        </w:tc>
        <w:tc>
          <w:tcPr>
            <w:tcW w:w="415" w:type="pct"/>
          </w:tcPr>
          <w:p w14:paraId="28C1189A" w14:textId="77777777" w:rsidR="004C5CE5" w:rsidRPr="00330374" w:rsidRDefault="004C5CE5" w:rsidP="00824097">
            <w:pPr>
              <w:spacing w:after="120"/>
              <w:rPr>
                <w:rFonts w:ascii="Arial" w:hAnsi="Arial" w:cs="Arial"/>
                <w:i/>
              </w:rPr>
            </w:pPr>
            <w:r w:rsidRPr="00330374">
              <w:rPr>
                <w:rFonts w:ascii="Arial" w:hAnsi="Arial" w:cs="Arial"/>
                <w:i/>
              </w:rPr>
              <w:t>9.4</w:t>
            </w:r>
          </w:p>
        </w:tc>
        <w:tc>
          <w:tcPr>
            <w:tcW w:w="413" w:type="pct"/>
          </w:tcPr>
          <w:p w14:paraId="12D99920" w14:textId="77777777" w:rsidR="004C5CE5" w:rsidRPr="00330374" w:rsidRDefault="004C5CE5" w:rsidP="00824097">
            <w:pPr>
              <w:spacing w:after="120"/>
              <w:rPr>
                <w:rFonts w:ascii="Arial" w:hAnsi="Arial" w:cs="Arial"/>
                <w:i/>
              </w:rPr>
            </w:pPr>
            <w:r w:rsidRPr="00330374">
              <w:rPr>
                <w:rFonts w:ascii="Arial" w:hAnsi="Arial" w:cs="Arial"/>
                <w:i/>
              </w:rPr>
              <w:t xml:space="preserve">9.5 </w:t>
            </w:r>
          </w:p>
        </w:tc>
      </w:tr>
      <w:tr w:rsidR="004C5CE5" w:rsidRPr="00330374" w14:paraId="64B02140" w14:textId="77777777" w:rsidTr="002811CB">
        <w:tc>
          <w:tcPr>
            <w:tcW w:w="1267" w:type="pct"/>
            <w:shd w:val="clear" w:color="auto" w:fill="D9D9D9" w:themeFill="background1" w:themeFillShade="D9"/>
          </w:tcPr>
          <w:p w14:paraId="2398352C" w14:textId="77777777" w:rsidR="004C5CE5" w:rsidRPr="00330374" w:rsidRDefault="004C5CE5" w:rsidP="00824097">
            <w:pPr>
              <w:spacing w:after="120"/>
              <w:rPr>
                <w:rFonts w:ascii="Arial" w:hAnsi="Arial" w:cs="Arial"/>
                <w:b/>
              </w:rPr>
            </w:pPr>
            <w:r w:rsidRPr="00330374">
              <w:rPr>
                <w:rFonts w:ascii="Arial" w:hAnsi="Arial" w:cs="Arial"/>
                <w:b/>
              </w:rPr>
              <w:t>Learning/ teaching method</w:t>
            </w:r>
          </w:p>
        </w:tc>
        <w:tc>
          <w:tcPr>
            <w:tcW w:w="415" w:type="pct"/>
          </w:tcPr>
          <w:p w14:paraId="2B2A5970" w14:textId="77777777" w:rsidR="004C5CE5" w:rsidRPr="00330374" w:rsidRDefault="004C5CE5" w:rsidP="00824097">
            <w:pPr>
              <w:spacing w:after="120"/>
              <w:rPr>
                <w:rFonts w:ascii="Arial" w:hAnsi="Arial" w:cs="Arial"/>
                <w:b/>
              </w:rPr>
            </w:pPr>
          </w:p>
        </w:tc>
        <w:tc>
          <w:tcPr>
            <w:tcW w:w="415" w:type="pct"/>
          </w:tcPr>
          <w:p w14:paraId="12B5E0E7" w14:textId="77777777" w:rsidR="004C5CE5" w:rsidRPr="00330374" w:rsidRDefault="004C5CE5" w:rsidP="00824097">
            <w:pPr>
              <w:spacing w:after="120"/>
              <w:rPr>
                <w:rFonts w:ascii="Arial" w:hAnsi="Arial" w:cs="Arial"/>
                <w:b/>
              </w:rPr>
            </w:pPr>
          </w:p>
        </w:tc>
        <w:tc>
          <w:tcPr>
            <w:tcW w:w="415" w:type="pct"/>
          </w:tcPr>
          <w:p w14:paraId="6681AEC5" w14:textId="77777777" w:rsidR="004C5CE5" w:rsidRPr="00330374" w:rsidRDefault="004C5CE5" w:rsidP="00824097">
            <w:pPr>
              <w:spacing w:after="120"/>
              <w:rPr>
                <w:rFonts w:ascii="Arial" w:hAnsi="Arial" w:cs="Arial"/>
                <w:b/>
              </w:rPr>
            </w:pPr>
          </w:p>
        </w:tc>
        <w:tc>
          <w:tcPr>
            <w:tcW w:w="415" w:type="pct"/>
          </w:tcPr>
          <w:p w14:paraId="181AA5E4" w14:textId="77777777" w:rsidR="004C5CE5" w:rsidRPr="00330374" w:rsidRDefault="004C5CE5" w:rsidP="00824097">
            <w:pPr>
              <w:spacing w:after="120"/>
              <w:rPr>
                <w:rFonts w:ascii="Arial" w:hAnsi="Arial" w:cs="Arial"/>
                <w:b/>
              </w:rPr>
            </w:pPr>
          </w:p>
        </w:tc>
        <w:tc>
          <w:tcPr>
            <w:tcW w:w="415" w:type="pct"/>
          </w:tcPr>
          <w:p w14:paraId="515AEC00" w14:textId="77777777" w:rsidR="004C5CE5" w:rsidRPr="00330374" w:rsidRDefault="004C5CE5" w:rsidP="00824097">
            <w:pPr>
              <w:spacing w:after="120"/>
              <w:rPr>
                <w:rFonts w:ascii="Arial" w:hAnsi="Arial" w:cs="Arial"/>
                <w:b/>
              </w:rPr>
            </w:pPr>
          </w:p>
        </w:tc>
        <w:tc>
          <w:tcPr>
            <w:tcW w:w="415" w:type="pct"/>
          </w:tcPr>
          <w:p w14:paraId="281CA37A" w14:textId="77777777" w:rsidR="004C5CE5" w:rsidRPr="00330374" w:rsidRDefault="004C5CE5" w:rsidP="00824097">
            <w:pPr>
              <w:spacing w:after="120"/>
              <w:rPr>
                <w:rFonts w:ascii="Arial" w:hAnsi="Arial" w:cs="Arial"/>
                <w:b/>
              </w:rPr>
            </w:pPr>
          </w:p>
        </w:tc>
        <w:tc>
          <w:tcPr>
            <w:tcW w:w="415" w:type="pct"/>
          </w:tcPr>
          <w:p w14:paraId="6DB8533D" w14:textId="77777777" w:rsidR="004C5CE5" w:rsidRPr="00330374" w:rsidRDefault="004C5CE5" w:rsidP="00824097">
            <w:pPr>
              <w:spacing w:after="120"/>
              <w:rPr>
                <w:rFonts w:ascii="Arial" w:hAnsi="Arial" w:cs="Arial"/>
                <w:b/>
              </w:rPr>
            </w:pPr>
          </w:p>
        </w:tc>
        <w:tc>
          <w:tcPr>
            <w:tcW w:w="415" w:type="pct"/>
          </w:tcPr>
          <w:p w14:paraId="535E35C8" w14:textId="77777777" w:rsidR="004C5CE5" w:rsidRPr="00330374" w:rsidRDefault="004C5CE5" w:rsidP="00824097">
            <w:pPr>
              <w:spacing w:after="120"/>
              <w:rPr>
                <w:rFonts w:ascii="Arial" w:hAnsi="Arial" w:cs="Arial"/>
                <w:b/>
              </w:rPr>
            </w:pPr>
          </w:p>
        </w:tc>
        <w:tc>
          <w:tcPr>
            <w:tcW w:w="413" w:type="pct"/>
          </w:tcPr>
          <w:p w14:paraId="604225C7" w14:textId="77777777" w:rsidR="004C5CE5" w:rsidRPr="00330374" w:rsidRDefault="004C5CE5" w:rsidP="00824097">
            <w:pPr>
              <w:spacing w:after="120"/>
              <w:rPr>
                <w:rFonts w:ascii="Arial" w:hAnsi="Arial" w:cs="Arial"/>
                <w:b/>
              </w:rPr>
            </w:pPr>
          </w:p>
        </w:tc>
      </w:tr>
      <w:tr w:rsidR="004C5CE5" w:rsidRPr="00330374" w14:paraId="4D5A3BEF" w14:textId="77777777" w:rsidTr="002811CB">
        <w:tc>
          <w:tcPr>
            <w:tcW w:w="1267" w:type="pct"/>
          </w:tcPr>
          <w:p w14:paraId="53F88BE9" w14:textId="77777777" w:rsidR="004C5CE5" w:rsidRPr="00330374" w:rsidRDefault="004C5CE5" w:rsidP="00824097">
            <w:pPr>
              <w:spacing w:after="120"/>
              <w:rPr>
                <w:rFonts w:ascii="Arial" w:hAnsi="Arial" w:cs="Arial"/>
              </w:rPr>
            </w:pPr>
            <w:r w:rsidRPr="00330374">
              <w:rPr>
                <w:rFonts w:ascii="Arial" w:hAnsi="Arial" w:cs="Arial"/>
              </w:rPr>
              <w:t>Private Study</w:t>
            </w:r>
          </w:p>
        </w:tc>
        <w:tc>
          <w:tcPr>
            <w:tcW w:w="415" w:type="pct"/>
          </w:tcPr>
          <w:p w14:paraId="34CB986B"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01A30AC1"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66E050D6"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468A0536"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37F6BFAF" w14:textId="77777777" w:rsidR="004C5CE5" w:rsidRPr="00330374" w:rsidRDefault="004C5CE5" w:rsidP="00824097">
            <w:pPr>
              <w:spacing w:after="120"/>
              <w:rPr>
                <w:rFonts w:ascii="Arial" w:hAnsi="Arial" w:cs="Arial"/>
                <w:b/>
              </w:rPr>
            </w:pPr>
            <w:r w:rsidRPr="00330374">
              <w:rPr>
                <w:rFonts w:ascii="Arial" w:hAnsi="Arial" w:cs="Arial"/>
              </w:rPr>
              <w:t>×</w:t>
            </w:r>
          </w:p>
        </w:tc>
        <w:tc>
          <w:tcPr>
            <w:tcW w:w="415" w:type="pct"/>
          </w:tcPr>
          <w:p w14:paraId="102478F7" w14:textId="77777777" w:rsidR="004C5CE5" w:rsidRPr="00330374" w:rsidRDefault="004C5CE5" w:rsidP="00824097">
            <w:pPr>
              <w:spacing w:after="120"/>
              <w:rPr>
                <w:rFonts w:ascii="Arial" w:hAnsi="Arial" w:cs="Arial"/>
              </w:rPr>
            </w:pPr>
            <w:r w:rsidRPr="00330374">
              <w:rPr>
                <w:rFonts w:ascii="Arial" w:hAnsi="Arial" w:cs="Arial"/>
              </w:rPr>
              <w:t>×</w:t>
            </w:r>
          </w:p>
        </w:tc>
        <w:tc>
          <w:tcPr>
            <w:tcW w:w="415" w:type="pct"/>
          </w:tcPr>
          <w:p w14:paraId="62414DC8" w14:textId="77777777" w:rsidR="004C5CE5" w:rsidRPr="00330374" w:rsidRDefault="004C5CE5" w:rsidP="00824097">
            <w:pPr>
              <w:spacing w:after="120"/>
              <w:rPr>
                <w:rFonts w:ascii="Arial" w:hAnsi="Arial" w:cs="Arial"/>
                <w:b/>
              </w:rPr>
            </w:pPr>
          </w:p>
        </w:tc>
        <w:tc>
          <w:tcPr>
            <w:tcW w:w="415" w:type="pct"/>
          </w:tcPr>
          <w:p w14:paraId="7E51D861" w14:textId="77777777" w:rsidR="004C5CE5" w:rsidRPr="00330374" w:rsidRDefault="004C5CE5" w:rsidP="00824097">
            <w:pPr>
              <w:spacing w:after="120"/>
              <w:rPr>
                <w:rFonts w:ascii="Arial" w:hAnsi="Arial" w:cs="Arial"/>
                <w:b/>
              </w:rPr>
            </w:pPr>
          </w:p>
        </w:tc>
        <w:tc>
          <w:tcPr>
            <w:tcW w:w="413" w:type="pct"/>
          </w:tcPr>
          <w:p w14:paraId="24E70291" w14:textId="77777777" w:rsidR="004C5CE5" w:rsidRPr="00330374" w:rsidRDefault="004C5CE5" w:rsidP="00824097">
            <w:pPr>
              <w:spacing w:after="120"/>
              <w:rPr>
                <w:rFonts w:ascii="Arial" w:hAnsi="Arial" w:cs="Arial"/>
                <w:b/>
              </w:rPr>
            </w:pPr>
            <w:r w:rsidRPr="00330374">
              <w:rPr>
                <w:rFonts w:ascii="Arial" w:hAnsi="Arial" w:cs="Arial"/>
              </w:rPr>
              <w:t>×</w:t>
            </w:r>
          </w:p>
        </w:tc>
      </w:tr>
      <w:tr w:rsidR="004C5CE5" w:rsidRPr="00330374" w14:paraId="1754BB61" w14:textId="77777777" w:rsidTr="002811CB">
        <w:tc>
          <w:tcPr>
            <w:tcW w:w="1267" w:type="pct"/>
          </w:tcPr>
          <w:p w14:paraId="19BA0FB3" w14:textId="0B170C60" w:rsidR="004C5CE5" w:rsidRPr="00330374" w:rsidRDefault="00947A51" w:rsidP="00824097">
            <w:pPr>
              <w:rPr>
                <w:rFonts w:ascii="Arial" w:hAnsi="Arial" w:cs="Arial"/>
              </w:rPr>
            </w:pPr>
            <w:r>
              <w:rPr>
                <w:rFonts w:ascii="Arial" w:hAnsi="Arial" w:cs="Arial"/>
              </w:rPr>
              <w:t>Teaching</w:t>
            </w:r>
          </w:p>
        </w:tc>
        <w:tc>
          <w:tcPr>
            <w:tcW w:w="415" w:type="pct"/>
          </w:tcPr>
          <w:p w14:paraId="1B2631E5"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2354E0F4"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0A46C46A"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57E9CCD4"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3F63D54E" w14:textId="77777777" w:rsidR="004C5CE5" w:rsidRPr="00330374" w:rsidRDefault="004C5CE5" w:rsidP="00824097">
            <w:pPr>
              <w:spacing w:after="120"/>
              <w:rPr>
                <w:rFonts w:ascii="Arial" w:hAnsi="Arial" w:cs="Arial"/>
                <w:b/>
              </w:rPr>
            </w:pPr>
            <w:r w:rsidRPr="00330374">
              <w:rPr>
                <w:rFonts w:ascii="Arial" w:hAnsi="Arial" w:cs="Arial"/>
              </w:rPr>
              <w:t>×</w:t>
            </w:r>
          </w:p>
        </w:tc>
        <w:tc>
          <w:tcPr>
            <w:tcW w:w="415" w:type="pct"/>
          </w:tcPr>
          <w:p w14:paraId="73FAE793" w14:textId="77777777" w:rsidR="004C5CE5" w:rsidRPr="00330374" w:rsidRDefault="004C5CE5" w:rsidP="00824097">
            <w:pPr>
              <w:spacing w:after="120"/>
              <w:rPr>
                <w:rFonts w:ascii="Arial" w:hAnsi="Arial" w:cs="Arial"/>
              </w:rPr>
            </w:pPr>
            <w:r w:rsidRPr="00330374">
              <w:rPr>
                <w:rFonts w:ascii="Arial" w:hAnsi="Arial" w:cs="Arial"/>
              </w:rPr>
              <w:t>×</w:t>
            </w:r>
          </w:p>
        </w:tc>
        <w:tc>
          <w:tcPr>
            <w:tcW w:w="415" w:type="pct"/>
          </w:tcPr>
          <w:p w14:paraId="7B92F539" w14:textId="77777777" w:rsidR="004C5CE5" w:rsidRPr="00330374" w:rsidRDefault="004C5CE5" w:rsidP="00824097">
            <w:pPr>
              <w:spacing w:after="120"/>
              <w:rPr>
                <w:rFonts w:ascii="Arial" w:hAnsi="Arial" w:cs="Arial"/>
                <w:b/>
              </w:rPr>
            </w:pPr>
            <w:r w:rsidRPr="00330374">
              <w:rPr>
                <w:rFonts w:ascii="Arial" w:hAnsi="Arial" w:cs="Arial"/>
              </w:rPr>
              <w:t>×</w:t>
            </w:r>
          </w:p>
        </w:tc>
        <w:tc>
          <w:tcPr>
            <w:tcW w:w="415" w:type="pct"/>
          </w:tcPr>
          <w:p w14:paraId="4FD6919A" w14:textId="77777777" w:rsidR="004C5CE5" w:rsidRPr="00330374" w:rsidRDefault="004C5CE5" w:rsidP="00824097">
            <w:pPr>
              <w:spacing w:after="120"/>
              <w:rPr>
                <w:rFonts w:ascii="Arial" w:hAnsi="Arial" w:cs="Arial"/>
                <w:b/>
              </w:rPr>
            </w:pPr>
            <w:r w:rsidRPr="00330374">
              <w:rPr>
                <w:rFonts w:ascii="Arial" w:hAnsi="Arial" w:cs="Arial"/>
              </w:rPr>
              <w:t>×</w:t>
            </w:r>
          </w:p>
        </w:tc>
        <w:tc>
          <w:tcPr>
            <w:tcW w:w="413" w:type="pct"/>
          </w:tcPr>
          <w:p w14:paraId="759CB18F" w14:textId="71B1B0E5" w:rsidR="004C5CE5" w:rsidRPr="00330374" w:rsidRDefault="00947A51" w:rsidP="00824097">
            <w:pPr>
              <w:spacing w:after="120"/>
              <w:rPr>
                <w:rFonts w:ascii="Arial" w:hAnsi="Arial" w:cs="Arial"/>
                <w:b/>
              </w:rPr>
            </w:pPr>
            <w:r w:rsidRPr="00330374">
              <w:rPr>
                <w:rFonts w:ascii="Arial" w:hAnsi="Arial" w:cs="Arial"/>
              </w:rPr>
              <w:t>×</w:t>
            </w:r>
          </w:p>
        </w:tc>
      </w:tr>
      <w:tr w:rsidR="004C5CE5" w:rsidRPr="00330374" w14:paraId="7E0DAC85" w14:textId="77777777" w:rsidTr="002811CB">
        <w:tc>
          <w:tcPr>
            <w:tcW w:w="1267" w:type="pct"/>
          </w:tcPr>
          <w:p w14:paraId="28A5389A" w14:textId="0E427E1E" w:rsidR="004C5CE5" w:rsidRPr="00330374" w:rsidRDefault="00947A51" w:rsidP="00824097">
            <w:pPr>
              <w:rPr>
                <w:rFonts w:ascii="Arial" w:hAnsi="Arial" w:cs="Arial"/>
              </w:rPr>
            </w:pPr>
            <w:r>
              <w:rPr>
                <w:rFonts w:ascii="Arial" w:hAnsi="Arial" w:cs="Arial"/>
              </w:rPr>
              <w:t xml:space="preserve">Workplace </w:t>
            </w:r>
            <w:r w:rsidR="00947777">
              <w:rPr>
                <w:rFonts w:ascii="Arial" w:hAnsi="Arial" w:cs="Arial"/>
              </w:rPr>
              <w:t>assignment</w:t>
            </w:r>
          </w:p>
        </w:tc>
        <w:tc>
          <w:tcPr>
            <w:tcW w:w="415" w:type="pct"/>
          </w:tcPr>
          <w:p w14:paraId="78A21FC0"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7EA8F10C"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32345392"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1C76C568"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137FF78F" w14:textId="77777777" w:rsidR="004C5CE5" w:rsidRPr="00330374" w:rsidRDefault="004C5CE5" w:rsidP="00824097">
            <w:pPr>
              <w:spacing w:after="120"/>
              <w:rPr>
                <w:rFonts w:ascii="Arial" w:hAnsi="Arial" w:cs="Arial"/>
                <w:b/>
              </w:rPr>
            </w:pPr>
            <w:r w:rsidRPr="00330374">
              <w:rPr>
                <w:rFonts w:ascii="Arial" w:hAnsi="Arial" w:cs="Arial"/>
              </w:rPr>
              <w:t>×</w:t>
            </w:r>
          </w:p>
        </w:tc>
        <w:tc>
          <w:tcPr>
            <w:tcW w:w="415" w:type="pct"/>
          </w:tcPr>
          <w:p w14:paraId="2F48D515" w14:textId="36F2B1AF" w:rsidR="004C5CE5" w:rsidRPr="00330374" w:rsidRDefault="00947A51" w:rsidP="00824097">
            <w:pPr>
              <w:spacing w:after="120"/>
              <w:rPr>
                <w:rFonts w:ascii="Arial" w:hAnsi="Arial" w:cs="Arial"/>
                <w:b/>
              </w:rPr>
            </w:pPr>
            <w:r w:rsidRPr="00330374">
              <w:rPr>
                <w:rFonts w:ascii="Arial" w:hAnsi="Arial" w:cs="Arial"/>
              </w:rPr>
              <w:t>×</w:t>
            </w:r>
          </w:p>
        </w:tc>
        <w:tc>
          <w:tcPr>
            <w:tcW w:w="415" w:type="pct"/>
          </w:tcPr>
          <w:p w14:paraId="18235FF2" w14:textId="77777777" w:rsidR="004C5CE5" w:rsidRPr="00330374" w:rsidRDefault="004C5CE5" w:rsidP="00824097">
            <w:pPr>
              <w:spacing w:after="120"/>
              <w:rPr>
                <w:rFonts w:ascii="Arial" w:hAnsi="Arial" w:cs="Arial"/>
                <w:b/>
              </w:rPr>
            </w:pPr>
            <w:r w:rsidRPr="00330374">
              <w:rPr>
                <w:rFonts w:ascii="Arial" w:hAnsi="Arial" w:cs="Arial"/>
              </w:rPr>
              <w:t>×</w:t>
            </w:r>
          </w:p>
        </w:tc>
        <w:tc>
          <w:tcPr>
            <w:tcW w:w="415" w:type="pct"/>
          </w:tcPr>
          <w:p w14:paraId="20248E2C" w14:textId="77777777" w:rsidR="004C5CE5" w:rsidRPr="00330374" w:rsidRDefault="004C5CE5" w:rsidP="00824097">
            <w:pPr>
              <w:spacing w:after="120"/>
              <w:rPr>
                <w:rFonts w:ascii="Arial" w:hAnsi="Arial" w:cs="Arial"/>
                <w:b/>
              </w:rPr>
            </w:pPr>
            <w:r w:rsidRPr="00330374">
              <w:rPr>
                <w:rFonts w:ascii="Arial" w:hAnsi="Arial" w:cs="Arial"/>
              </w:rPr>
              <w:t>×</w:t>
            </w:r>
          </w:p>
        </w:tc>
        <w:tc>
          <w:tcPr>
            <w:tcW w:w="413" w:type="pct"/>
          </w:tcPr>
          <w:p w14:paraId="356EFDDC" w14:textId="77777777" w:rsidR="004C5CE5" w:rsidRPr="00330374" w:rsidRDefault="004C5CE5" w:rsidP="00824097">
            <w:pPr>
              <w:spacing w:after="120"/>
              <w:rPr>
                <w:rFonts w:ascii="Arial" w:hAnsi="Arial" w:cs="Arial"/>
                <w:b/>
              </w:rPr>
            </w:pPr>
            <w:r w:rsidRPr="00330374">
              <w:rPr>
                <w:rFonts w:ascii="Arial" w:hAnsi="Arial" w:cs="Arial"/>
              </w:rPr>
              <w:t>×</w:t>
            </w:r>
          </w:p>
        </w:tc>
      </w:tr>
      <w:tr w:rsidR="004C5CE5" w:rsidRPr="00330374" w14:paraId="11489DC9" w14:textId="77777777" w:rsidTr="002811CB">
        <w:tc>
          <w:tcPr>
            <w:tcW w:w="1267" w:type="pct"/>
            <w:shd w:val="clear" w:color="auto" w:fill="D9D9D9" w:themeFill="background1" w:themeFillShade="D9"/>
          </w:tcPr>
          <w:p w14:paraId="6DA07515" w14:textId="77777777" w:rsidR="004C5CE5" w:rsidRPr="00330374" w:rsidRDefault="004C5CE5" w:rsidP="00824097">
            <w:pPr>
              <w:spacing w:after="120"/>
              <w:rPr>
                <w:rFonts w:ascii="Arial" w:hAnsi="Arial" w:cs="Arial"/>
                <w:b/>
              </w:rPr>
            </w:pPr>
            <w:r w:rsidRPr="00330374">
              <w:rPr>
                <w:rFonts w:ascii="Arial" w:hAnsi="Arial" w:cs="Arial"/>
                <w:b/>
              </w:rPr>
              <w:t>Assessment method</w:t>
            </w:r>
          </w:p>
        </w:tc>
        <w:tc>
          <w:tcPr>
            <w:tcW w:w="415" w:type="pct"/>
          </w:tcPr>
          <w:p w14:paraId="266FB2F6" w14:textId="77777777" w:rsidR="004C5CE5" w:rsidRPr="00330374" w:rsidRDefault="004C5CE5" w:rsidP="00824097">
            <w:pPr>
              <w:spacing w:after="120"/>
              <w:rPr>
                <w:rFonts w:ascii="Arial" w:hAnsi="Arial" w:cs="Arial"/>
                <w:b/>
              </w:rPr>
            </w:pPr>
          </w:p>
        </w:tc>
        <w:tc>
          <w:tcPr>
            <w:tcW w:w="415" w:type="pct"/>
          </w:tcPr>
          <w:p w14:paraId="263144A9" w14:textId="77777777" w:rsidR="004C5CE5" w:rsidRPr="00330374" w:rsidRDefault="004C5CE5" w:rsidP="00824097">
            <w:pPr>
              <w:spacing w:after="120"/>
              <w:rPr>
                <w:rFonts w:ascii="Arial" w:hAnsi="Arial" w:cs="Arial"/>
                <w:b/>
              </w:rPr>
            </w:pPr>
          </w:p>
        </w:tc>
        <w:tc>
          <w:tcPr>
            <w:tcW w:w="415" w:type="pct"/>
          </w:tcPr>
          <w:p w14:paraId="4B23D133" w14:textId="77777777" w:rsidR="004C5CE5" w:rsidRPr="00330374" w:rsidRDefault="004C5CE5" w:rsidP="00824097">
            <w:pPr>
              <w:spacing w:after="120"/>
              <w:rPr>
                <w:rFonts w:ascii="Arial" w:hAnsi="Arial" w:cs="Arial"/>
                <w:b/>
              </w:rPr>
            </w:pPr>
          </w:p>
        </w:tc>
        <w:tc>
          <w:tcPr>
            <w:tcW w:w="415" w:type="pct"/>
          </w:tcPr>
          <w:p w14:paraId="381D6825" w14:textId="77777777" w:rsidR="004C5CE5" w:rsidRPr="00330374" w:rsidRDefault="004C5CE5" w:rsidP="00824097">
            <w:pPr>
              <w:spacing w:after="120"/>
              <w:rPr>
                <w:rFonts w:ascii="Arial" w:hAnsi="Arial" w:cs="Arial"/>
                <w:b/>
              </w:rPr>
            </w:pPr>
          </w:p>
        </w:tc>
        <w:tc>
          <w:tcPr>
            <w:tcW w:w="415" w:type="pct"/>
          </w:tcPr>
          <w:p w14:paraId="5B312C61" w14:textId="77777777" w:rsidR="004C5CE5" w:rsidRPr="00330374" w:rsidRDefault="004C5CE5" w:rsidP="00824097">
            <w:pPr>
              <w:spacing w:after="120"/>
              <w:rPr>
                <w:rFonts w:ascii="Arial" w:hAnsi="Arial" w:cs="Arial"/>
                <w:b/>
              </w:rPr>
            </w:pPr>
          </w:p>
        </w:tc>
        <w:tc>
          <w:tcPr>
            <w:tcW w:w="415" w:type="pct"/>
          </w:tcPr>
          <w:p w14:paraId="08807662" w14:textId="77777777" w:rsidR="004C5CE5" w:rsidRPr="00330374" w:rsidRDefault="004C5CE5" w:rsidP="00824097">
            <w:pPr>
              <w:spacing w:after="120"/>
              <w:rPr>
                <w:rFonts w:ascii="Arial" w:hAnsi="Arial" w:cs="Arial"/>
                <w:b/>
              </w:rPr>
            </w:pPr>
          </w:p>
        </w:tc>
        <w:tc>
          <w:tcPr>
            <w:tcW w:w="415" w:type="pct"/>
          </w:tcPr>
          <w:p w14:paraId="434A4BB8" w14:textId="77777777" w:rsidR="004C5CE5" w:rsidRPr="00330374" w:rsidRDefault="004C5CE5" w:rsidP="00824097">
            <w:pPr>
              <w:spacing w:after="120"/>
              <w:rPr>
                <w:rFonts w:ascii="Arial" w:hAnsi="Arial" w:cs="Arial"/>
                <w:b/>
              </w:rPr>
            </w:pPr>
          </w:p>
        </w:tc>
        <w:tc>
          <w:tcPr>
            <w:tcW w:w="415" w:type="pct"/>
          </w:tcPr>
          <w:p w14:paraId="14479B94" w14:textId="77777777" w:rsidR="004C5CE5" w:rsidRPr="00330374" w:rsidRDefault="004C5CE5" w:rsidP="00824097">
            <w:pPr>
              <w:spacing w:after="120"/>
              <w:rPr>
                <w:rFonts w:ascii="Arial" w:hAnsi="Arial" w:cs="Arial"/>
                <w:b/>
              </w:rPr>
            </w:pPr>
          </w:p>
        </w:tc>
        <w:tc>
          <w:tcPr>
            <w:tcW w:w="413" w:type="pct"/>
          </w:tcPr>
          <w:p w14:paraId="1A28260E" w14:textId="77777777" w:rsidR="004C5CE5" w:rsidRPr="00330374" w:rsidRDefault="004C5CE5" w:rsidP="00824097">
            <w:pPr>
              <w:spacing w:after="120"/>
              <w:rPr>
                <w:rFonts w:ascii="Arial" w:hAnsi="Arial" w:cs="Arial"/>
                <w:b/>
              </w:rPr>
            </w:pPr>
          </w:p>
        </w:tc>
      </w:tr>
      <w:tr w:rsidR="004C5CE5" w:rsidRPr="00330374" w14:paraId="52AFBCCA" w14:textId="77777777" w:rsidTr="002811CB">
        <w:tc>
          <w:tcPr>
            <w:tcW w:w="1267" w:type="pct"/>
          </w:tcPr>
          <w:p w14:paraId="29D9F26D" w14:textId="2E4088FE" w:rsidR="004C5CE5" w:rsidRPr="00330374" w:rsidRDefault="004C5CE5" w:rsidP="004C5CE5">
            <w:pPr>
              <w:spacing w:after="120"/>
              <w:rPr>
                <w:rFonts w:ascii="Arial" w:hAnsi="Arial" w:cs="Arial"/>
                <w:i/>
              </w:rPr>
            </w:pPr>
            <w:r w:rsidRPr="00330374">
              <w:rPr>
                <w:rFonts w:ascii="Arial" w:hAnsi="Arial" w:cs="Arial"/>
              </w:rPr>
              <w:t xml:space="preserve">Examination </w:t>
            </w:r>
          </w:p>
        </w:tc>
        <w:tc>
          <w:tcPr>
            <w:tcW w:w="415" w:type="pct"/>
          </w:tcPr>
          <w:p w14:paraId="17DA3922"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29CE9B21"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7622094B"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12CB66F4"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203956EA" w14:textId="77777777" w:rsidR="004C5CE5" w:rsidRPr="00330374" w:rsidRDefault="004C5CE5" w:rsidP="00824097">
            <w:pPr>
              <w:spacing w:after="120"/>
              <w:rPr>
                <w:rFonts w:ascii="Arial" w:hAnsi="Arial" w:cs="Arial"/>
                <w:b/>
              </w:rPr>
            </w:pPr>
            <w:r w:rsidRPr="00330374">
              <w:rPr>
                <w:rFonts w:ascii="Arial" w:hAnsi="Arial" w:cs="Arial"/>
              </w:rPr>
              <w:t>×</w:t>
            </w:r>
          </w:p>
        </w:tc>
        <w:tc>
          <w:tcPr>
            <w:tcW w:w="415" w:type="pct"/>
          </w:tcPr>
          <w:p w14:paraId="52C8124B"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6072A56E"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2941532A" w14:textId="77777777" w:rsidR="004C5CE5" w:rsidRPr="00330374" w:rsidRDefault="004C5CE5" w:rsidP="00824097">
            <w:pPr>
              <w:rPr>
                <w:rFonts w:ascii="Arial" w:hAnsi="Arial" w:cs="Arial"/>
              </w:rPr>
            </w:pPr>
            <w:r w:rsidRPr="00330374">
              <w:rPr>
                <w:rFonts w:ascii="Arial" w:hAnsi="Arial" w:cs="Arial"/>
              </w:rPr>
              <w:t>×</w:t>
            </w:r>
          </w:p>
        </w:tc>
        <w:tc>
          <w:tcPr>
            <w:tcW w:w="413" w:type="pct"/>
          </w:tcPr>
          <w:p w14:paraId="4A2042CE" w14:textId="77777777" w:rsidR="004C5CE5" w:rsidRPr="00330374" w:rsidRDefault="004C5CE5" w:rsidP="00824097">
            <w:pPr>
              <w:rPr>
                <w:rFonts w:ascii="Arial" w:hAnsi="Arial" w:cs="Arial"/>
              </w:rPr>
            </w:pPr>
            <w:r w:rsidRPr="00330374">
              <w:rPr>
                <w:rFonts w:ascii="Arial" w:hAnsi="Arial" w:cs="Arial"/>
              </w:rPr>
              <w:t>×</w:t>
            </w:r>
          </w:p>
        </w:tc>
      </w:tr>
      <w:tr w:rsidR="004C5CE5" w:rsidRPr="00330374" w14:paraId="5D9E0DF0" w14:textId="77777777" w:rsidTr="002811CB">
        <w:tc>
          <w:tcPr>
            <w:tcW w:w="1267" w:type="pct"/>
          </w:tcPr>
          <w:p w14:paraId="3AEA7710" w14:textId="1BA20D62" w:rsidR="004C5CE5" w:rsidRPr="00330374" w:rsidRDefault="004C5CE5" w:rsidP="00824097">
            <w:pPr>
              <w:spacing w:after="120"/>
              <w:rPr>
                <w:rFonts w:ascii="Arial" w:hAnsi="Arial" w:cs="Arial"/>
                <w:i/>
              </w:rPr>
            </w:pPr>
            <w:r w:rsidRPr="00330374">
              <w:rPr>
                <w:rFonts w:ascii="Arial" w:hAnsi="Arial" w:cs="Arial"/>
              </w:rPr>
              <w:t xml:space="preserve">Group </w:t>
            </w:r>
            <w:r>
              <w:rPr>
                <w:rFonts w:ascii="Arial" w:hAnsi="Arial" w:cs="Arial"/>
              </w:rPr>
              <w:t xml:space="preserve">Case Study </w:t>
            </w:r>
          </w:p>
        </w:tc>
        <w:tc>
          <w:tcPr>
            <w:tcW w:w="415" w:type="pct"/>
          </w:tcPr>
          <w:p w14:paraId="55082C5A" w14:textId="77777777" w:rsidR="004C5CE5" w:rsidRPr="00330374" w:rsidRDefault="004C5CE5" w:rsidP="00824097">
            <w:pPr>
              <w:rPr>
                <w:rFonts w:ascii="Arial" w:hAnsi="Arial" w:cs="Arial"/>
              </w:rPr>
            </w:pPr>
          </w:p>
        </w:tc>
        <w:tc>
          <w:tcPr>
            <w:tcW w:w="415" w:type="pct"/>
          </w:tcPr>
          <w:p w14:paraId="359A5BC0"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7DBEB388"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17FA5FFF" w14:textId="77777777" w:rsidR="004C5CE5" w:rsidRPr="00330374" w:rsidRDefault="004C5CE5" w:rsidP="00824097">
            <w:pPr>
              <w:rPr>
                <w:rFonts w:ascii="Arial" w:hAnsi="Arial" w:cs="Arial"/>
              </w:rPr>
            </w:pPr>
          </w:p>
        </w:tc>
        <w:tc>
          <w:tcPr>
            <w:tcW w:w="415" w:type="pct"/>
          </w:tcPr>
          <w:p w14:paraId="7B416937" w14:textId="77777777" w:rsidR="004C5CE5" w:rsidRPr="00330374" w:rsidRDefault="004C5CE5" w:rsidP="00824097">
            <w:pPr>
              <w:spacing w:after="120"/>
              <w:rPr>
                <w:rFonts w:ascii="Arial" w:hAnsi="Arial" w:cs="Arial"/>
                <w:b/>
              </w:rPr>
            </w:pPr>
          </w:p>
        </w:tc>
        <w:tc>
          <w:tcPr>
            <w:tcW w:w="415" w:type="pct"/>
          </w:tcPr>
          <w:p w14:paraId="176E49EF"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7D171F7A"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7B1F7A5C" w14:textId="77777777" w:rsidR="004C5CE5" w:rsidRPr="00330374" w:rsidRDefault="004C5CE5" w:rsidP="00824097">
            <w:pPr>
              <w:rPr>
                <w:rFonts w:ascii="Arial" w:hAnsi="Arial" w:cs="Arial"/>
              </w:rPr>
            </w:pPr>
            <w:r w:rsidRPr="00330374">
              <w:rPr>
                <w:rFonts w:ascii="Arial" w:hAnsi="Arial" w:cs="Arial"/>
              </w:rPr>
              <w:t>×</w:t>
            </w:r>
          </w:p>
        </w:tc>
        <w:tc>
          <w:tcPr>
            <w:tcW w:w="413" w:type="pct"/>
          </w:tcPr>
          <w:p w14:paraId="01A6231F" w14:textId="77777777" w:rsidR="004C5CE5" w:rsidRPr="00330374" w:rsidRDefault="004C5CE5" w:rsidP="00824097">
            <w:pPr>
              <w:rPr>
                <w:rFonts w:ascii="Arial" w:hAnsi="Arial" w:cs="Arial"/>
              </w:rPr>
            </w:pPr>
            <w:r w:rsidRPr="00330374">
              <w:rPr>
                <w:rFonts w:ascii="Arial" w:hAnsi="Arial" w:cs="Arial"/>
              </w:rPr>
              <w:t>×</w:t>
            </w:r>
          </w:p>
        </w:tc>
      </w:tr>
      <w:tr w:rsidR="004C5CE5" w:rsidRPr="00330374" w14:paraId="5B2F3836" w14:textId="77777777" w:rsidTr="002811CB">
        <w:tc>
          <w:tcPr>
            <w:tcW w:w="1267" w:type="pct"/>
          </w:tcPr>
          <w:p w14:paraId="13899A71" w14:textId="77777777" w:rsidR="004C5CE5" w:rsidRPr="00330374" w:rsidRDefault="004C5CE5" w:rsidP="00824097">
            <w:pPr>
              <w:spacing w:after="120"/>
              <w:rPr>
                <w:rFonts w:ascii="Arial" w:hAnsi="Arial" w:cs="Arial"/>
              </w:rPr>
            </w:pPr>
            <w:r>
              <w:rPr>
                <w:rFonts w:ascii="Arial" w:hAnsi="Arial" w:cs="Arial"/>
              </w:rPr>
              <w:t xml:space="preserve">Group </w:t>
            </w:r>
            <w:r w:rsidRPr="00330374">
              <w:rPr>
                <w:rFonts w:ascii="Arial" w:hAnsi="Arial" w:cs="Arial"/>
              </w:rPr>
              <w:t xml:space="preserve">Presentation </w:t>
            </w:r>
          </w:p>
        </w:tc>
        <w:tc>
          <w:tcPr>
            <w:tcW w:w="415" w:type="pct"/>
          </w:tcPr>
          <w:p w14:paraId="2DE679A4"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7DD54B69"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7ABAFC3E"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726BD586" w14:textId="77777777" w:rsidR="004C5CE5" w:rsidRPr="00330374" w:rsidRDefault="004C5CE5" w:rsidP="00824097">
            <w:pPr>
              <w:rPr>
                <w:rFonts w:ascii="Arial" w:hAnsi="Arial" w:cs="Arial"/>
              </w:rPr>
            </w:pPr>
          </w:p>
        </w:tc>
        <w:tc>
          <w:tcPr>
            <w:tcW w:w="415" w:type="pct"/>
          </w:tcPr>
          <w:p w14:paraId="2DEB7163" w14:textId="77777777" w:rsidR="004C5CE5" w:rsidRPr="00330374" w:rsidRDefault="004C5CE5" w:rsidP="00824097">
            <w:pPr>
              <w:spacing w:after="120"/>
              <w:rPr>
                <w:rFonts w:ascii="Arial" w:hAnsi="Arial" w:cs="Arial"/>
              </w:rPr>
            </w:pPr>
            <w:r w:rsidRPr="00330374">
              <w:rPr>
                <w:rFonts w:ascii="Arial" w:hAnsi="Arial" w:cs="Arial"/>
              </w:rPr>
              <w:t>×</w:t>
            </w:r>
          </w:p>
        </w:tc>
        <w:tc>
          <w:tcPr>
            <w:tcW w:w="415" w:type="pct"/>
          </w:tcPr>
          <w:p w14:paraId="3C69B89C"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3EDC03C0" w14:textId="77777777" w:rsidR="004C5CE5" w:rsidRPr="00330374" w:rsidRDefault="004C5CE5" w:rsidP="00824097">
            <w:pPr>
              <w:rPr>
                <w:rFonts w:ascii="Arial" w:hAnsi="Arial" w:cs="Arial"/>
              </w:rPr>
            </w:pPr>
            <w:r w:rsidRPr="00330374">
              <w:rPr>
                <w:rFonts w:ascii="Arial" w:hAnsi="Arial" w:cs="Arial"/>
              </w:rPr>
              <w:t>×</w:t>
            </w:r>
          </w:p>
        </w:tc>
        <w:tc>
          <w:tcPr>
            <w:tcW w:w="415" w:type="pct"/>
          </w:tcPr>
          <w:p w14:paraId="1988B6BE" w14:textId="77777777" w:rsidR="004C5CE5" w:rsidRPr="00330374" w:rsidRDefault="004C5CE5" w:rsidP="00824097">
            <w:pPr>
              <w:rPr>
                <w:rFonts w:ascii="Arial" w:hAnsi="Arial" w:cs="Arial"/>
              </w:rPr>
            </w:pPr>
            <w:r w:rsidRPr="009F01D3">
              <w:rPr>
                <w:rFonts w:ascii="Arial" w:hAnsi="Arial" w:cs="Arial"/>
              </w:rPr>
              <w:t>×</w:t>
            </w:r>
          </w:p>
        </w:tc>
        <w:tc>
          <w:tcPr>
            <w:tcW w:w="413" w:type="pct"/>
          </w:tcPr>
          <w:p w14:paraId="2CD75045" w14:textId="77777777" w:rsidR="004C5CE5" w:rsidRPr="00330374" w:rsidRDefault="004C5CE5" w:rsidP="00824097">
            <w:pPr>
              <w:rPr>
                <w:rFonts w:ascii="Arial" w:hAnsi="Arial" w:cs="Arial"/>
              </w:rPr>
            </w:pPr>
            <w:r w:rsidRPr="009F01D3">
              <w:rPr>
                <w:rFonts w:ascii="Arial" w:hAnsi="Arial" w:cs="Arial"/>
              </w:rPr>
              <w:t>×</w:t>
            </w:r>
          </w:p>
        </w:tc>
      </w:tr>
    </w:tbl>
    <w:p w14:paraId="4B9808A1" w14:textId="1524AA79"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8C642D2" w14:textId="77777777" w:rsidR="00DE5FEC" w:rsidRPr="00D96944" w:rsidRDefault="00527FB6" w:rsidP="00D96944">
      <w:pPr>
        <w:spacing w:after="120" w:line="240" w:lineRule="auto"/>
        <w:ind w:left="567" w:right="261"/>
        <w:jc w:val="both"/>
        <w:rPr>
          <w:rFonts w:ascii="Arial" w:hAnsi="Arial" w:cs="Arial"/>
          <w:b/>
        </w:rPr>
      </w:pPr>
      <w:r w:rsidRPr="00EC6945">
        <w:rPr>
          <w:rFonts w:ascii="Arial" w:hAnsi="Arial" w:cs="Arial"/>
        </w:rPr>
        <w:t>Blended learning, Medway, Canterbury, Employer</w:t>
      </w:r>
    </w:p>
    <w:p w14:paraId="24BFBC99" w14:textId="17F8B0DA"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0A099F5" w14:textId="5F8A2B1B" w:rsidR="004C5CE5" w:rsidRPr="004C5CE5" w:rsidRDefault="004C5CE5" w:rsidP="004C5CE5">
      <w:pPr>
        <w:autoSpaceDE w:val="0"/>
        <w:autoSpaceDN w:val="0"/>
        <w:adjustRightInd w:val="0"/>
        <w:spacing w:after="120" w:line="240" w:lineRule="auto"/>
        <w:ind w:left="567" w:right="261"/>
        <w:jc w:val="both"/>
        <w:rPr>
          <w:rFonts w:ascii="Arial" w:hAnsi="Arial" w:cs="Arial"/>
        </w:rPr>
      </w:pPr>
      <w:r w:rsidRPr="004C5CE5">
        <w:rPr>
          <w:rFonts w:ascii="Arial" w:hAnsi="Arial" w:cs="Arial"/>
        </w:rPr>
        <w:t xml:space="preserve">Emerging co-creation initiatives and </w:t>
      </w:r>
      <w:proofErr w:type="gramStart"/>
      <w:r w:rsidRPr="004C5CE5">
        <w:rPr>
          <w:rFonts w:ascii="Arial" w:hAnsi="Arial" w:cs="Arial"/>
        </w:rPr>
        <w:t>knowledge based</w:t>
      </w:r>
      <w:proofErr w:type="gramEnd"/>
      <w:r w:rsidRPr="004C5CE5">
        <w:rPr>
          <w:rFonts w:ascii="Arial" w:hAnsi="Arial" w:cs="Arial"/>
        </w:rPr>
        <w:t xml:space="preserve"> interactions have a strong internationalisation focus, particularly due to the complexity of global challenges that cannot be solved in-house, requiring close collaboration between diverse entrepreneurs from different countries.</w:t>
      </w:r>
      <w:r>
        <w:rPr>
          <w:rFonts w:ascii="Arial" w:hAnsi="Arial" w:cs="Arial"/>
        </w:rPr>
        <w:t xml:space="preserve"> </w:t>
      </w:r>
      <w:r w:rsidRPr="004C5CE5">
        <w:rPr>
          <w:rFonts w:ascii="Arial" w:hAnsi="Arial" w:cs="Arial"/>
        </w:rPr>
        <w:t xml:space="preserve">The students will be asked to develop a case study of a co-creation initiative, in which they will have the opportunity to select one with a global focus. </w:t>
      </w:r>
    </w:p>
    <w:p w14:paraId="5E9C3079" w14:textId="467E20E2" w:rsidR="0043565D" w:rsidRPr="0043565D" w:rsidRDefault="0043565D" w:rsidP="0043565D">
      <w:pPr>
        <w:pStyle w:val="ListParagraph"/>
        <w:spacing w:after="120" w:line="240" w:lineRule="auto"/>
        <w:ind w:left="567" w:right="260"/>
        <w:jc w:val="both"/>
        <w:rPr>
          <w:rFonts w:ascii="Arial" w:hAnsi="Arial" w:cs="Arial"/>
          <w:iCs/>
        </w:rPr>
      </w:pPr>
    </w:p>
    <w:p w14:paraId="1BD91928" w14:textId="77777777" w:rsidR="00641D6D" w:rsidRPr="00302082" w:rsidRDefault="00641D6D" w:rsidP="0043565D">
      <w:pPr>
        <w:pBdr>
          <w:bottom w:val="single" w:sz="6" w:space="1" w:color="auto"/>
        </w:pBdr>
        <w:spacing w:after="120" w:line="240" w:lineRule="auto"/>
        <w:ind w:left="567"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4C5CE5" w:rsidRPr="00302082" w14:paraId="07085151" w14:textId="77777777" w:rsidTr="00694309">
        <w:trPr>
          <w:trHeight w:val="305"/>
        </w:trPr>
        <w:tc>
          <w:tcPr>
            <w:tcW w:w="1526" w:type="dxa"/>
          </w:tcPr>
          <w:p w14:paraId="3A16B3FC" w14:textId="7979F51B" w:rsidR="004C5CE5" w:rsidRPr="00506EEA" w:rsidRDefault="004C5CE5" w:rsidP="004C5CE5">
            <w:pPr>
              <w:spacing w:after="120"/>
              <w:ind w:right="-330"/>
              <w:rPr>
                <w:rFonts w:ascii="Arial" w:hAnsi="Arial" w:cs="Arial"/>
              </w:rPr>
            </w:pPr>
          </w:p>
        </w:tc>
        <w:tc>
          <w:tcPr>
            <w:tcW w:w="1701" w:type="dxa"/>
          </w:tcPr>
          <w:p w14:paraId="1403AEBB" w14:textId="56BCF2A3" w:rsidR="004C5CE5" w:rsidRPr="00506EEA" w:rsidRDefault="004C5CE5" w:rsidP="004C5CE5">
            <w:pPr>
              <w:spacing w:after="120"/>
              <w:ind w:right="-330"/>
              <w:rPr>
                <w:rFonts w:ascii="Arial" w:hAnsi="Arial" w:cs="Arial"/>
              </w:rPr>
            </w:pPr>
          </w:p>
        </w:tc>
        <w:tc>
          <w:tcPr>
            <w:tcW w:w="2410" w:type="dxa"/>
          </w:tcPr>
          <w:p w14:paraId="6C52E9CA" w14:textId="29B52B5C" w:rsidR="004C5CE5" w:rsidRPr="00506EEA" w:rsidRDefault="004C5CE5" w:rsidP="004C5CE5">
            <w:pPr>
              <w:spacing w:after="120"/>
              <w:ind w:right="-330"/>
              <w:rPr>
                <w:rFonts w:ascii="Arial" w:hAnsi="Arial" w:cs="Arial"/>
              </w:rPr>
            </w:pPr>
          </w:p>
        </w:tc>
        <w:tc>
          <w:tcPr>
            <w:tcW w:w="2448" w:type="dxa"/>
          </w:tcPr>
          <w:p w14:paraId="43DFCA84" w14:textId="264D4197" w:rsidR="004C5CE5" w:rsidRPr="00506EEA" w:rsidRDefault="004C5CE5" w:rsidP="004C5CE5">
            <w:pPr>
              <w:spacing w:after="120"/>
              <w:ind w:right="-330"/>
              <w:rPr>
                <w:rFonts w:ascii="Arial" w:hAnsi="Arial" w:cs="Arial"/>
              </w:rPr>
            </w:pPr>
          </w:p>
        </w:tc>
        <w:tc>
          <w:tcPr>
            <w:tcW w:w="2597" w:type="dxa"/>
          </w:tcPr>
          <w:p w14:paraId="7B690596" w14:textId="7CD9F72C" w:rsidR="004C5CE5" w:rsidRPr="00506EEA" w:rsidRDefault="004C5CE5" w:rsidP="004C5CE5">
            <w:pPr>
              <w:spacing w:after="120"/>
              <w:ind w:right="-330"/>
              <w:rPr>
                <w:rFonts w:ascii="Arial" w:hAnsi="Arial" w:cs="Arial"/>
              </w:rPr>
            </w:pPr>
          </w:p>
        </w:tc>
      </w:tr>
      <w:tr w:rsidR="004C5CE5" w:rsidRPr="00302082" w14:paraId="647DDE06" w14:textId="77777777" w:rsidTr="00694309">
        <w:trPr>
          <w:trHeight w:val="305"/>
        </w:trPr>
        <w:tc>
          <w:tcPr>
            <w:tcW w:w="1526" w:type="dxa"/>
          </w:tcPr>
          <w:p w14:paraId="652453C9" w14:textId="77777777" w:rsidR="004C5CE5" w:rsidRPr="00302082" w:rsidRDefault="004C5CE5" w:rsidP="004C5CE5">
            <w:pPr>
              <w:spacing w:after="120"/>
              <w:ind w:right="-330"/>
              <w:rPr>
                <w:rFonts w:ascii="Arial" w:hAnsi="Arial" w:cs="Arial"/>
              </w:rPr>
            </w:pPr>
          </w:p>
        </w:tc>
        <w:tc>
          <w:tcPr>
            <w:tcW w:w="1701" w:type="dxa"/>
          </w:tcPr>
          <w:p w14:paraId="3DAF2B2C" w14:textId="77777777" w:rsidR="004C5CE5" w:rsidRPr="00302082" w:rsidRDefault="004C5CE5" w:rsidP="004C5CE5">
            <w:pPr>
              <w:spacing w:after="120"/>
              <w:ind w:right="-330"/>
              <w:rPr>
                <w:rFonts w:ascii="Arial" w:hAnsi="Arial" w:cs="Arial"/>
              </w:rPr>
            </w:pPr>
          </w:p>
        </w:tc>
        <w:tc>
          <w:tcPr>
            <w:tcW w:w="2410" w:type="dxa"/>
          </w:tcPr>
          <w:p w14:paraId="04181912" w14:textId="77777777" w:rsidR="004C5CE5" w:rsidRPr="00302082" w:rsidRDefault="004C5CE5" w:rsidP="004C5CE5">
            <w:pPr>
              <w:spacing w:after="120"/>
              <w:ind w:right="-330"/>
              <w:rPr>
                <w:rFonts w:ascii="Arial" w:hAnsi="Arial" w:cs="Arial"/>
              </w:rPr>
            </w:pPr>
          </w:p>
        </w:tc>
        <w:tc>
          <w:tcPr>
            <w:tcW w:w="2448" w:type="dxa"/>
          </w:tcPr>
          <w:p w14:paraId="2B86721A" w14:textId="77777777" w:rsidR="004C5CE5" w:rsidRPr="00302082" w:rsidRDefault="004C5CE5" w:rsidP="004C5CE5">
            <w:pPr>
              <w:spacing w:after="120"/>
              <w:ind w:right="-330"/>
              <w:rPr>
                <w:rFonts w:ascii="Arial" w:hAnsi="Arial" w:cs="Arial"/>
              </w:rPr>
            </w:pPr>
          </w:p>
        </w:tc>
        <w:tc>
          <w:tcPr>
            <w:tcW w:w="2597" w:type="dxa"/>
          </w:tcPr>
          <w:p w14:paraId="5FD40983" w14:textId="77777777" w:rsidR="004C5CE5" w:rsidRPr="00302082" w:rsidRDefault="004C5CE5" w:rsidP="004C5CE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3DA345A" w14:textId="0AF7CDDD" w:rsidR="008B2543" w:rsidRDefault="0019787E" w:rsidP="009A2D37">
        <w:pPr>
          <w:pStyle w:val="Footer"/>
          <w:jc w:val="center"/>
        </w:pPr>
        <w:r>
          <w:fldChar w:fldCharType="begin"/>
        </w:r>
        <w:r>
          <w:instrText xml:space="preserve"> PAGE   \* MERGEFORMAT </w:instrText>
        </w:r>
        <w:r>
          <w:fldChar w:fldCharType="separate"/>
        </w:r>
        <w:r w:rsidR="0094204D">
          <w:rPr>
            <w:noProof/>
          </w:rPr>
          <w:t>6</w:t>
        </w:r>
        <w:r>
          <w:rPr>
            <w:noProof/>
          </w:rPr>
          <w:fldChar w:fldCharType="end"/>
        </w:r>
      </w:p>
    </w:sdtContent>
  </w:sdt>
  <w:p w14:paraId="35172B54" w14:textId="7FBC279D"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2022F5">
      <w:rPr>
        <w:rFonts w:ascii="Arial" w:hAnsi="Arial"/>
        <w:sz w:val="18"/>
      </w:rPr>
      <w:t>September 2019</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6012C"/>
    <w:multiLevelType w:val="hybridMultilevel"/>
    <w:tmpl w:val="5012492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B127AC"/>
    <w:multiLevelType w:val="hybridMultilevel"/>
    <w:tmpl w:val="C7909A76"/>
    <w:lvl w:ilvl="0" w:tplc="01E89642">
      <w:start w:val="8"/>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61F496B"/>
    <w:multiLevelType w:val="hybridMultilevel"/>
    <w:tmpl w:val="A4CA5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5085439E"/>
    <w:multiLevelType w:val="hybridMultilevel"/>
    <w:tmpl w:val="AC26C6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7"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76003139"/>
    <w:multiLevelType w:val="hybridMultilevel"/>
    <w:tmpl w:val="4AA0575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15"/>
  </w:num>
  <w:num w:numId="6">
    <w:abstractNumId w:val="13"/>
  </w:num>
  <w:num w:numId="7">
    <w:abstractNumId w:val="19"/>
  </w:num>
  <w:num w:numId="8">
    <w:abstractNumId w:val="14"/>
  </w:num>
  <w:num w:numId="9">
    <w:abstractNumId w:val="6"/>
  </w:num>
  <w:num w:numId="10">
    <w:abstractNumId w:val="16"/>
  </w:num>
  <w:num w:numId="11">
    <w:abstractNumId w:val="8"/>
  </w:num>
  <w:num w:numId="12">
    <w:abstractNumId w:val="4"/>
  </w:num>
  <w:num w:numId="13">
    <w:abstractNumId w:val="10"/>
  </w:num>
  <w:num w:numId="14">
    <w:abstractNumId w:val="12"/>
  </w:num>
  <w:num w:numId="15">
    <w:abstractNumId w:val="17"/>
  </w:num>
  <w:num w:numId="16">
    <w:abstractNumId w:val="3"/>
  </w:num>
  <w:num w:numId="17">
    <w:abstractNumId w:val="7"/>
  </w:num>
  <w:num w:numId="18">
    <w:abstractNumId w:val="11"/>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4C3C"/>
    <w:rsid w:val="00005661"/>
    <w:rsid w:val="00010A16"/>
    <w:rsid w:val="0001243F"/>
    <w:rsid w:val="00017FCA"/>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E2E"/>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083D"/>
    <w:rsid w:val="001A425B"/>
    <w:rsid w:val="001B1B28"/>
    <w:rsid w:val="001B27FB"/>
    <w:rsid w:val="001C1277"/>
    <w:rsid w:val="001C4A85"/>
    <w:rsid w:val="001C5443"/>
    <w:rsid w:val="001D0C7D"/>
    <w:rsid w:val="001D1F2D"/>
    <w:rsid w:val="001D2314"/>
    <w:rsid w:val="001D6398"/>
    <w:rsid w:val="001E1F45"/>
    <w:rsid w:val="001E62C1"/>
    <w:rsid w:val="001F0779"/>
    <w:rsid w:val="001F3C3E"/>
    <w:rsid w:val="00201C5F"/>
    <w:rsid w:val="002022F5"/>
    <w:rsid w:val="0020243A"/>
    <w:rsid w:val="0021578E"/>
    <w:rsid w:val="00227582"/>
    <w:rsid w:val="002308BE"/>
    <w:rsid w:val="002407C0"/>
    <w:rsid w:val="002461AF"/>
    <w:rsid w:val="002465A1"/>
    <w:rsid w:val="002524C0"/>
    <w:rsid w:val="002624DF"/>
    <w:rsid w:val="00264576"/>
    <w:rsid w:val="0026585A"/>
    <w:rsid w:val="00266735"/>
    <w:rsid w:val="00273CF0"/>
    <w:rsid w:val="002748D4"/>
    <w:rsid w:val="00274ED7"/>
    <w:rsid w:val="002811CB"/>
    <w:rsid w:val="0028461D"/>
    <w:rsid w:val="0028590C"/>
    <w:rsid w:val="00292C46"/>
    <w:rsid w:val="002938D6"/>
    <w:rsid w:val="00294B73"/>
    <w:rsid w:val="002A0C18"/>
    <w:rsid w:val="002A219B"/>
    <w:rsid w:val="002A22DB"/>
    <w:rsid w:val="002B20F5"/>
    <w:rsid w:val="002B2A1A"/>
    <w:rsid w:val="002B71F2"/>
    <w:rsid w:val="002C1C75"/>
    <w:rsid w:val="002E71C0"/>
    <w:rsid w:val="002F05F4"/>
    <w:rsid w:val="002F0CE4"/>
    <w:rsid w:val="002F23EF"/>
    <w:rsid w:val="002F2626"/>
    <w:rsid w:val="00302082"/>
    <w:rsid w:val="00306620"/>
    <w:rsid w:val="00310E84"/>
    <w:rsid w:val="003262B9"/>
    <w:rsid w:val="00334A02"/>
    <w:rsid w:val="00335875"/>
    <w:rsid w:val="00335FBE"/>
    <w:rsid w:val="00335FF1"/>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565D"/>
    <w:rsid w:val="00436BE9"/>
    <w:rsid w:val="00441E76"/>
    <w:rsid w:val="00443647"/>
    <w:rsid w:val="004443DA"/>
    <w:rsid w:val="00446A75"/>
    <w:rsid w:val="004474A2"/>
    <w:rsid w:val="00453082"/>
    <w:rsid w:val="00460925"/>
    <w:rsid w:val="00471C6C"/>
    <w:rsid w:val="00472023"/>
    <w:rsid w:val="0047376C"/>
    <w:rsid w:val="004857DC"/>
    <w:rsid w:val="00486993"/>
    <w:rsid w:val="00492DA4"/>
    <w:rsid w:val="00496AA3"/>
    <w:rsid w:val="00497C98"/>
    <w:rsid w:val="004A39D7"/>
    <w:rsid w:val="004A55FA"/>
    <w:rsid w:val="004B5D03"/>
    <w:rsid w:val="004B7BAA"/>
    <w:rsid w:val="004C1EC4"/>
    <w:rsid w:val="004C5CE5"/>
    <w:rsid w:val="004D035C"/>
    <w:rsid w:val="004F3C18"/>
    <w:rsid w:val="004F4328"/>
    <w:rsid w:val="005005E4"/>
    <w:rsid w:val="0050201A"/>
    <w:rsid w:val="00512E7D"/>
    <w:rsid w:val="00513689"/>
    <w:rsid w:val="0051375A"/>
    <w:rsid w:val="00521097"/>
    <w:rsid w:val="00527FB6"/>
    <w:rsid w:val="0053059E"/>
    <w:rsid w:val="00530CA1"/>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21D5"/>
    <w:rsid w:val="005B5A98"/>
    <w:rsid w:val="005B7E16"/>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17D24"/>
    <w:rsid w:val="00720270"/>
    <w:rsid w:val="00724362"/>
    <w:rsid w:val="00727780"/>
    <w:rsid w:val="0073792C"/>
    <w:rsid w:val="00754069"/>
    <w:rsid w:val="00761D49"/>
    <w:rsid w:val="007667DF"/>
    <w:rsid w:val="0077080B"/>
    <w:rsid w:val="00777E98"/>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4841"/>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A1199"/>
    <w:rsid w:val="008B2543"/>
    <w:rsid w:val="008B4B6E"/>
    <w:rsid w:val="008D7401"/>
    <w:rsid w:val="00903DF6"/>
    <w:rsid w:val="0090759D"/>
    <w:rsid w:val="00921CF6"/>
    <w:rsid w:val="00922E9E"/>
    <w:rsid w:val="00924EF0"/>
    <w:rsid w:val="00934D7B"/>
    <w:rsid w:val="0094204D"/>
    <w:rsid w:val="00947180"/>
    <w:rsid w:val="00947777"/>
    <w:rsid w:val="00947A51"/>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5544"/>
    <w:rsid w:val="00A70C20"/>
    <w:rsid w:val="00A74292"/>
    <w:rsid w:val="00A776DE"/>
    <w:rsid w:val="00A80640"/>
    <w:rsid w:val="00A84A75"/>
    <w:rsid w:val="00A87FFD"/>
    <w:rsid w:val="00A97038"/>
    <w:rsid w:val="00AA3C15"/>
    <w:rsid w:val="00AA6330"/>
    <w:rsid w:val="00AB2677"/>
    <w:rsid w:val="00AB284D"/>
    <w:rsid w:val="00AB6D9A"/>
    <w:rsid w:val="00AC7501"/>
    <w:rsid w:val="00AD748B"/>
    <w:rsid w:val="00AE4865"/>
    <w:rsid w:val="00AE5813"/>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7DD1"/>
    <w:rsid w:val="00BB2045"/>
    <w:rsid w:val="00BB2A6D"/>
    <w:rsid w:val="00BB4189"/>
    <w:rsid w:val="00BC10AE"/>
    <w:rsid w:val="00BC19F7"/>
    <w:rsid w:val="00BC41ED"/>
    <w:rsid w:val="00BD009E"/>
    <w:rsid w:val="00BD0EF8"/>
    <w:rsid w:val="00BD7A8C"/>
    <w:rsid w:val="00BE2126"/>
    <w:rsid w:val="00BE3B17"/>
    <w:rsid w:val="00BE5775"/>
    <w:rsid w:val="00BF51AB"/>
    <w:rsid w:val="00BF716B"/>
    <w:rsid w:val="00BF7233"/>
    <w:rsid w:val="00C02AA2"/>
    <w:rsid w:val="00C04C95"/>
    <w:rsid w:val="00C11815"/>
    <w:rsid w:val="00C12613"/>
    <w:rsid w:val="00C1392D"/>
    <w:rsid w:val="00C13F3D"/>
    <w:rsid w:val="00C16DEF"/>
    <w:rsid w:val="00C2492F"/>
    <w:rsid w:val="00C3744A"/>
    <w:rsid w:val="00C4002A"/>
    <w:rsid w:val="00C46912"/>
    <w:rsid w:val="00C57028"/>
    <w:rsid w:val="00C612A8"/>
    <w:rsid w:val="00C66269"/>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56642"/>
    <w:rsid w:val="00D65506"/>
    <w:rsid w:val="00D773CF"/>
    <w:rsid w:val="00D83563"/>
    <w:rsid w:val="00D8448F"/>
    <w:rsid w:val="00D96944"/>
    <w:rsid w:val="00DA64B6"/>
    <w:rsid w:val="00DB0B8D"/>
    <w:rsid w:val="00DB5C9D"/>
    <w:rsid w:val="00DD02E6"/>
    <w:rsid w:val="00DE5FEC"/>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84B63"/>
    <w:rsid w:val="00EB1C2D"/>
    <w:rsid w:val="00EC1810"/>
    <w:rsid w:val="00EC3FCC"/>
    <w:rsid w:val="00ED32FF"/>
    <w:rsid w:val="00EF039B"/>
    <w:rsid w:val="00EF2C07"/>
    <w:rsid w:val="00EF4933"/>
    <w:rsid w:val="00EF5044"/>
    <w:rsid w:val="00F01956"/>
    <w:rsid w:val="00F116CE"/>
    <w:rsid w:val="00F176DE"/>
    <w:rsid w:val="00F21C47"/>
    <w:rsid w:val="00F244E2"/>
    <w:rsid w:val="00F340DE"/>
    <w:rsid w:val="00F43542"/>
    <w:rsid w:val="00F44BAB"/>
    <w:rsid w:val="00F527CB"/>
    <w:rsid w:val="00F53E02"/>
    <w:rsid w:val="00F562AA"/>
    <w:rsid w:val="00F66975"/>
    <w:rsid w:val="00F7105A"/>
    <w:rsid w:val="00F712EB"/>
    <w:rsid w:val="00F7710E"/>
    <w:rsid w:val="00F77676"/>
    <w:rsid w:val="00F8197C"/>
    <w:rsid w:val="00F82B4E"/>
    <w:rsid w:val="00F85E3C"/>
    <w:rsid w:val="00F87559"/>
    <w:rsid w:val="00F96D71"/>
    <w:rsid w:val="00F97C9E"/>
    <w:rsid w:val="00FA20DE"/>
    <w:rsid w:val="00FA4EE8"/>
    <w:rsid w:val="00FB02A2"/>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11">
    <w:name w:val="Table Grid11"/>
    <w:basedOn w:val="TableNormal"/>
    <w:next w:val="TableGrid"/>
    <w:uiPriority w:val="59"/>
    <w:rsid w:val="00EF2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F2C0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3AMX4D3CU3N3-627458763-397</_dlc_DocId>
    <_dlc_DocIdUrl xmlns="ef2b9e05-657a-4dc1-8c6c-679bdea18f38">
      <Url>https://sharepoint.kent.ac.uk/fso/cmaproject/_layouts/15/DocIdRedir.aspx?ID=3AMX4D3CU3N3-627458763-397</Url>
      <Description>3AMX4D3CU3N3-627458763-397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53FD9-298E-4EF2-BD6A-1A8E192E5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2A96EE-F285-499E-9F4C-C17CF68469A4}">
  <ds:schemaRefs>
    <ds:schemaRef ds:uri="http://schemas.microsoft.com/sharepoint/events"/>
  </ds:schemaRefs>
</ds:datastoreItem>
</file>

<file path=customXml/itemProps3.xml><?xml version="1.0" encoding="utf-8"?>
<ds:datastoreItem xmlns:ds="http://schemas.openxmlformats.org/officeDocument/2006/customXml" ds:itemID="{6F69DAA1-3903-40D6-9073-381C74BCC5B6}">
  <ds:schemaRefs>
    <ds:schemaRef ds:uri="http://schemas.microsoft.com/sharepoint/v3/contenttype/forms"/>
  </ds:schemaRefs>
</ds:datastoreItem>
</file>

<file path=customXml/itemProps4.xml><?xml version="1.0" encoding="utf-8"?>
<ds:datastoreItem xmlns:ds="http://schemas.openxmlformats.org/officeDocument/2006/customXml" ds:itemID="{C7066008-701D-43CA-A87C-5054C33F101B}">
  <ds:schemaRefs>
    <ds:schemaRef ds:uri="ef2b9e05-657a-4dc1-8c6c-679bdea18f3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01BA1879-5C99-42AB-80D5-5E96490F5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Harriette Frewin-Clarke</cp:lastModifiedBy>
  <cp:revision>2</cp:revision>
  <cp:lastPrinted>2015-09-09T08:37:00Z</cp:lastPrinted>
  <dcterms:created xsi:type="dcterms:W3CDTF">2020-06-10T10:09:00Z</dcterms:created>
  <dcterms:modified xsi:type="dcterms:W3CDTF">2020-06-10T10:09:00Z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0x010100736662DC97719942A575EA07AEFCBE5D</vt:lpwstr>
  </property>
  <property fmtid="{D5CDD505-2E9C-101B-9397-08002B2CF9AE}" pid="3" name="_dlc_DocIdItemGuid">
    <vt:lpwstr>89172cab-2108-4016-b4c2-346198f8d09c</vt:lpwstr>
  </property>
</Properties>
</file>