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3D89" w14:textId="77777777" w:rsidR="009A2D37" w:rsidRDefault="000713DA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32B63D8A" w14:textId="77777777" w:rsidR="00424439" w:rsidRDefault="00D006C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Economic</w:t>
      </w:r>
      <w:r w:rsidR="00F23FC1">
        <w:rPr>
          <w:rFonts w:ascii="Arial" w:hAnsi="Arial" w:cs="Arial"/>
        </w:rPr>
        <w:t xml:space="preserve">s </w:t>
      </w:r>
      <w:r w:rsidR="00E039ED">
        <w:rPr>
          <w:rFonts w:ascii="Arial" w:hAnsi="Arial" w:cs="Arial"/>
        </w:rPr>
        <w:t>Technical Assessment</w:t>
      </w:r>
      <w:r w:rsidR="00F23FC1">
        <w:rPr>
          <w:rFonts w:ascii="Arial" w:hAnsi="Arial" w:cs="Arial"/>
        </w:rPr>
        <w:t xml:space="preserve"> </w:t>
      </w:r>
    </w:p>
    <w:p w14:paraId="32B63D8B" w14:textId="77777777" w:rsidR="00457775" w:rsidRPr="00F77D6F" w:rsidRDefault="0045777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32B63D8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2B63D8D" w14:textId="381A0BEB" w:rsidR="009A2D37" w:rsidRPr="00302082" w:rsidRDefault="00A96CE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32B63D8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B63D8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2B63D90" w14:textId="77777777" w:rsidR="009A2D37" w:rsidRPr="00302082" w:rsidRDefault="009A2D37" w:rsidP="00850848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6C5BCD">
        <w:rPr>
          <w:rFonts w:ascii="Arial" w:hAnsi="Arial" w:cs="Arial"/>
        </w:rPr>
        <w:t>6</w:t>
      </w:r>
      <w:proofErr w:type="gramEnd"/>
    </w:p>
    <w:p w14:paraId="32B63D9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B63D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2B63D93" w14:textId="77777777" w:rsidR="009A2D37" w:rsidRPr="005B1B14" w:rsidRDefault="00850848" w:rsidP="00850848">
      <w:pPr>
        <w:pStyle w:val="NormalWeb"/>
        <w:spacing w:before="0" w:beforeAutospacing="0" w:after="120" w:afterAutospacing="0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F1F15">
        <w:rPr>
          <w:rFonts w:ascii="Arial" w:hAnsi="Arial" w:cs="Arial"/>
          <w:sz w:val="22"/>
          <w:szCs w:val="22"/>
        </w:rPr>
        <w:t>15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>(7.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32B63D9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2B63D95" w14:textId="77777777" w:rsidR="009239AC" w:rsidRDefault="009A2D37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2B63D96" w14:textId="3C37436D" w:rsidR="009239AC" w:rsidRDefault="009239AC" w:rsidP="009239A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</w:t>
      </w:r>
      <w:r w:rsidR="00A03980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F23FC1">
        <w:rPr>
          <w:rFonts w:ascii="Arial" w:hAnsi="Arial" w:cs="Arial"/>
          <w:iCs/>
        </w:rPr>
        <w:t xml:space="preserve">second and third </w:t>
      </w:r>
      <w:r w:rsidRPr="00457775">
        <w:rPr>
          <w:rFonts w:ascii="Arial" w:hAnsi="Arial" w:cs="Arial"/>
          <w:iCs/>
        </w:rPr>
        <w:t>trimester</w:t>
      </w:r>
      <w:r w:rsidR="00F23FC1">
        <w:rPr>
          <w:rFonts w:ascii="Arial" w:hAnsi="Arial" w:cs="Arial"/>
          <w:iCs/>
        </w:rPr>
        <w:t>s</w:t>
      </w:r>
      <w:r w:rsidRPr="0045777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of the </w:t>
      </w:r>
      <w:r w:rsidR="00D20305">
        <w:rPr>
          <w:rFonts w:ascii="Arial" w:hAnsi="Arial" w:cs="Arial"/>
          <w:iCs/>
        </w:rPr>
        <w:t xml:space="preserve">fourth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F23FC1">
        <w:rPr>
          <w:rFonts w:ascii="Arial" w:hAnsi="Arial" w:cs="Arial"/>
          <w:iCs/>
        </w:rPr>
        <w:t>January to July.</w:t>
      </w:r>
    </w:p>
    <w:p w14:paraId="32B63D97" w14:textId="77777777" w:rsidR="009239AC" w:rsidRDefault="009239AC" w:rsidP="009239AC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32B63D98" w14:textId="77777777" w:rsidR="009239AC" w:rsidRPr="009239AC" w:rsidRDefault="009239AC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098B1C66" w14:textId="738FA4D6" w:rsidR="004765AB" w:rsidRDefault="004765AB" w:rsidP="00A96CE5">
      <w:pPr>
        <w:spacing w:line="240" w:lineRule="auto"/>
        <w:ind w:firstLine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38CD3AE3" w14:textId="77777777" w:rsidR="004765AB" w:rsidRDefault="004765AB" w:rsidP="00A96CE5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3458FB65" w14:textId="77777777" w:rsidR="004765AB" w:rsidRDefault="004765AB" w:rsidP="00A96CE5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54B11EDE" w14:textId="77777777" w:rsidR="004765AB" w:rsidRDefault="004765AB" w:rsidP="00A96CE5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29FA07F0" w14:textId="77777777" w:rsidR="004765AB" w:rsidRDefault="004765AB" w:rsidP="00A96CE5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780F3B21" w14:textId="77777777" w:rsidR="004765AB" w:rsidRDefault="004765AB" w:rsidP="00A96CE5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7B5C62FC" w14:textId="77777777" w:rsidR="004765AB" w:rsidRDefault="004765AB" w:rsidP="00A96CE5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224E6372" w14:textId="77777777" w:rsidR="004765AB" w:rsidRDefault="004765AB" w:rsidP="00A96CE5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3449D6AB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0FBD3830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692149A6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3D1358B2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2A3E7404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38F57EA4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02DF379C" w14:textId="77A7CE45" w:rsidR="004765AB" w:rsidRDefault="004765AB" w:rsidP="008A16FB">
      <w:pPr>
        <w:spacing w:before="60" w:after="60" w:line="240" w:lineRule="auto"/>
        <w:contextualSpacing/>
        <w:rPr>
          <w:rFonts w:ascii="Arial" w:hAnsi="Arial" w:cs="Arial"/>
        </w:rPr>
      </w:pPr>
    </w:p>
    <w:p w14:paraId="4864FD17" w14:textId="77777777" w:rsidR="004765AB" w:rsidRDefault="004765AB" w:rsidP="00A96CE5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co-requisite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3191952B" w14:textId="77777777" w:rsidR="00A8029D" w:rsidRDefault="00A8029D" w:rsidP="00A8029D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280060E2" w14:textId="5FF37824" w:rsidR="00A8029D" w:rsidRPr="00A8029D" w:rsidRDefault="00A8029D" w:rsidP="00A8029D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654E35A5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Dissertation</w:t>
      </w:r>
    </w:p>
    <w:p w14:paraId="60E92EC5" w14:textId="77777777" w:rsidR="004765AB" w:rsidRDefault="004765AB" w:rsidP="00A96CE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32B63D9A" w14:textId="4E3CD853" w:rsidR="00424439" w:rsidRPr="00850848" w:rsidRDefault="00424439" w:rsidP="008A16FB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2B63D9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2B63D9C" w14:textId="2A5AF4F2" w:rsidR="009A2D37" w:rsidRPr="00302082" w:rsidRDefault="0045777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DD6EAB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32B63D9D" w14:textId="77777777" w:rsidR="009A2D37" w:rsidRPr="00302082" w:rsidRDefault="009A2D37" w:rsidP="00A03980">
      <w:pPr>
        <w:spacing w:after="120" w:line="240" w:lineRule="auto"/>
        <w:ind w:left="426" w:right="260"/>
        <w:jc w:val="center"/>
        <w:rPr>
          <w:rFonts w:ascii="Arial" w:hAnsi="Arial" w:cs="Arial"/>
          <w:i/>
          <w:iCs/>
        </w:rPr>
      </w:pPr>
    </w:p>
    <w:p w14:paraId="32B63D9E" w14:textId="77777777" w:rsidR="00F23FC1" w:rsidRDefault="009A2D37" w:rsidP="00F23FC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2B63D9F" w14:textId="44AC1F3F" w:rsidR="00F23FC1" w:rsidRPr="00C10583" w:rsidRDefault="00F23FC1" w:rsidP="00F23FC1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8.1</w:t>
      </w:r>
      <w:r>
        <w:rPr>
          <w:rFonts w:ascii="Arial" w:hAnsi="Arial" w:cs="Arial"/>
          <w:b/>
        </w:rPr>
        <w:tab/>
      </w:r>
      <w:r w:rsidR="00C10583" w:rsidRPr="00C10583">
        <w:rPr>
          <w:rFonts w:ascii="Arial" w:hAnsi="Arial" w:cs="Arial"/>
        </w:rPr>
        <w:t xml:space="preserve">Apply economics to </w:t>
      </w:r>
      <w:r w:rsidR="00A03980" w:rsidRPr="00C10583">
        <w:rPr>
          <w:rFonts w:ascii="Arial" w:hAnsi="Arial" w:cs="Arial"/>
        </w:rPr>
        <w:t xml:space="preserve">a range of </w:t>
      </w:r>
      <w:r w:rsidR="00C10583" w:rsidRPr="00C10583">
        <w:rPr>
          <w:rFonts w:ascii="Arial" w:hAnsi="Arial" w:cs="Arial"/>
        </w:rPr>
        <w:t>questions under time pressure</w:t>
      </w:r>
    </w:p>
    <w:p w14:paraId="32B63DA0" w14:textId="1079B022" w:rsidR="00F23FC1" w:rsidRDefault="00F23FC1" w:rsidP="00F23FC1">
      <w:pPr>
        <w:spacing w:after="0" w:line="240" w:lineRule="auto"/>
        <w:ind w:firstLine="567"/>
        <w:rPr>
          <w:rFonts w:ascii="Arial" w:hAnsi="Arial" w:cs="Arial"/>
          <w:b/>
        </w:rPr>
      </w:pPr>
      <w:r w:rsidRPr="00C10583">
        <w:rPr>
          <w:rFonts w:ascii="Arial" w:hAnsi="Arial" w:cs="Arial"/>
        </w:rPr>
        <w:t>8.2</w:t>
      </w:r>
      <w:r w:rsidRPr="00C10583">
        <w:rPr>
          <w:rFonts w:ascii="Arial" w:hAnsi="Arial" w:cs="Arial"/>
        </w:rPr>
        <w:tab/>
      </w:r>
      <w:r w:rsidR="00A7522A" w:rsidRPr="00C10583">
        <w:rPr>
          <w:rFonts w:ascii="Arial" w:hAnsi="Arial" w:cs="Arial"/>
        </w:rPr>
        <w:t>Synthesis evidence from</w:t>
      </w:r>
      <w:r w:rsidR="00A7522A">
        <w:rPr>
          <w:rFonts w:ascii="Arial" w:hAnsi="Arial" w:cs="Arial"/>
        </w:rPr>
        <w:t xml:space="preserve"> different sources, </w:t>
      </w:r>
      <w:r w:rsidR="00A03980">
        <w:rPr>
          <w:rFonts w:ascii="Arial" w:hAnsi="Arial" w:cs="Arial"/>
        </w:rPr>
        <w:t xml:space="preserve">e.g. </w:t>
      </w:r>
      <w:r w:rsidR="00A7522A">
        <w:rPr>
          <w:rFonts w:ascii="Arial" w:hAnsi="Arial" w:cs="Arial"/>
        </w:rPr>
        <w:t xml:space="preserve">data and written </w:t>
      </w:r>
    </w:p>
    <w:p w14:paraId="32B63DA1" w14:textId="69F9B631" w:rsidR="00A7522A" w:rsidRDefault="00F23FC1" w:rsidP="00F067E8">
      <w:pPr>
        <w:spacing w:after="0" w:line="240" w:lineRule="auto"/>
        <w:ind w:firstLine="567"/>
        <w:rPr>
          <w:rFonts w:ascii="Arial" w:hAnsi="Arial" w:cs="Arial"/>
        </w:rPr>
      </w:pPr>
      <w:r w:rsidRPr="00F23FC1">
        <w:rPr>
          <w:rFonts w:ascii="Arial" w:hAnsi="Arial" w:cs="Arial"/>
        </w:rPr>
        <w:t>8.3</w:t>
      </w:r>
      <w:r>
        <w:rPr>
          <w:rFonts w:ascii="Arial" w:hAnsi="Arial" w:cs="Arial"/>
          <w:b/>
        </w:rPr>
        <w:tab/>
      </w:r>
      <w:r w:rsidR="00A7522A" w:rsidRPr="00A7522A">
        <w:rPr>
          <w:rFonts w:ascii="Arial" w:hAnsi="Arial" w:cs="Arial"/>
        </w:rPr>
        <w:t xml:space="preserve">Write </w:t>
      </w:r>
      <w:r w:rsidR="00187B5D">
        <w:rPr>
          <w:rFonts w:ascii="Arial" w:hAnsi="Arial" w:cs="Arial"/>
        </w:rPr>
        <w:t xml:space="preserve">an </w:t>
      </w:r>
      <w:r w:rsidR="00A7522A" w:rsidRPr="00A7522A">
        <w:rPr>
          <w:rFonts w:ascii="Arial" w:hAnsi="Arial" w:cs="Arial"/>
        </w:rPr>
        <w:t>assessment of a particular economic issue</w:t>
      </w:r>
    </w:p>
    <w:p w14:paraId="32B63DA2" w14:textId="2BCF6F43" w:rsidR="00F067E8" w:rsidRDefault="00F067E8" w:rsidP="00A7522A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F23FC1" w:rsidRPr="00F23FC1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A7522A">
        <w:rPr>
          <w:rFonts w:ascii="Arial" w:hAnsi="Arial" w:cs="Arial"/>
        </w:rPr>
        <w:t xml:space="preserve">pply economic theory and principles to a range of microeconomic, macroeconomic and quantitative/econometric </w:t>
      </w:r>
      <w:r>
        <w:rPr>
          <w:rFonts w:ascii="Arial" w:hAnsi="Arial" w:cs="Arial"/>
        </w:rPr>
        <w:t>questions</w:t>
      </w:r>
    </w:p>
    <w:p w14:paraId="32B63DA3" w14:textId="77777777" w:rsidR="00F23FC1" w:rsidRPr="00611E3C" w:rsidRDefault="00F067E8" w:rsidP="00CF299E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  <w:t xml:space="preserve">Write concise clear answers to </w:t>
      </w:r>
      <w:r w:rsidR="00CF299E">
        <w:rPr>
          <w:rFonts w:ascii="Arial" w:hAnsi="Arial" w:cs="Arial"/>
        </w:rPr>
        <w:t>a range of microeconomic, macroeconomic and quantitative/econometric short questions</w:t>
      </w:r>
    </w:p>
    <w:p w14:paraId="32B63DA4" w14:textId="77777777" w:rsidR="00F23FC1" w:rsidRDefault="00F24789" w:rsidP="00E75864">
      <w:pPr>
        <w:numPr>
          <w:ilvl w:val="0"/>
          <w:numId w:val="1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2B63DA5" w14:textId="77777777" w:rsidR="00E75864" w:rsidRDefault="00E75864" w:rsidP="00E75864">
      <w:pPr>
        <w:spacing w:after="0" w:line="240" w:lineRule="auto"/>
        <w:ind w:left="1437" w:hanging="870"/>
        <w:rPr>
          <w:rFonts w:ascii="Arial" w:hAnsi="Arial" w:cs="Arial"/>
        </w:rPr>
      </w:pPr>
      <w:r w:rsidRPr="00A35A68">
        <w:rPr>
          <w:rFonts w:ascii="Arial" w:hAnsi="Arial" w:cs="Arial"/>
        </w:rPr>
        <w:t>9.1</w:t>
      </w:r>
      <w:r w:rsidRPr="00A35A68">
        <w:rPr>
          <w:rFonts w:ascii="Arial" w:hAnsi="Arial" w:cs="Arial"/>
        </w:rPr>
        <w:tab/>
      </w:r>
      <w:r>
        <w:rPr>
          <w:rFonts w:ascii="Arial" w:hAnsi="Arial" w:cs="Arial"/>
        </w:rPr>
        <w:t>Retrieve, critically review and utilise information from a variety of sources</w:t>
      </w:r>
    </w:p>
    <w:p w14:paraId="32B63DA6" w14:textId="77777777" w:rsidR="00196F91" w:rsidRDefault="00E75864" w:rsidP="00196F91">
      <w:pPr>
        <w:widowControl w:val="0"/>
        <w:snapToGrid w:val="0"/>
        <w:spacing w:after="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</w:r>
      <w:r w:rsidR="00196F91" w:rsidRPr="0066041F">
        <w:rPr>
          <w:rFonts w:ascii="Arial" w:hAnsi="Arial" w:cs="Arial"/>
        </w:rPr>
        <w:t xml:space="preserve">Demonstrate numeracy </w:t>
      </w:r>
      <w:r w:rsidR="00196F91">
        <w:rPr>
          <w:rFonts w:ascii="Arial" w:hAnsi="Arial" w:cs="Arial"/>
        </w:rPr>
        <w:t xml:space="preserve">and quantitative </w:t>
      </w:r>
      <w:r w:rsidR="00196F91" w:rsidRPr="0066041F">
        <w:rPr>
          <w:rFonts w:ascii="Arial" w:hAnsi="Arial" w:cs="Arial"/>
        </w:rPr>
        <w:t>skills</w:t>
      </w:r>
    </w:p>
    <w:p w14:paraId="32B63DA7" w14:textId="77777777" w:rsidR="00E75864" w:rsidRDefault="00196F91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Pr="00C97A08">
        <w:rPr>
          <w:rFonts w:ascii="Arial" w:hAnsi="Arial" w:cs="Arial"/>
        </w:rPr>
        <w:t xml:space="preserve">Demonstrate </w:t>
      </w:r>
      <w:proofErr w:type="gramStart"/>
      <w:r w:rsidRPr="00C97A08">
        <w:rPr>
          <w:rFonts w:ascii="Arial" w:hAnsi="Arial" w:cs="Arial"/>
        </w:rPr>
        <w:t>problem solving</w:t>
      </w:r>
      <w:proofErr w:type="gramEnd"/>
      <w:r w:rsidRPr="00C97A08">
        <w:rPr>
          <w:rFonts w:ascii="Arial" w:hAnsi="Arial" w:cs="Arial"/>
        </w:rPr>
        <w:t xml:space="preserve"> skills</w:t>
      </w:r>
    </w:p>
    <w:p w14:paraId="32B63DA8" w14:textId="77777777" w:rsidR="00196F91" w:rsidRDefault="00196F91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Communicate simple economic and statistical arguments clearly</w:t>
      </w:r>
    </w:p>
    <w:p w14:paraId="32B63DA9" w14:textId="77777777" w:rsidR="00196F91" w:rsidRDefault="00196F91" w:rsidP="00E75864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Pr="00A7522A">
        <w:rPr>
          <w:rFonts w:ascii="Arial" w:hAnsi="Arial" w:cs="Arial"/>
        </w:rPr>
        <w:t>Work under time pressure</w:t>
      </w:r>
    </w:p>
    <w:p w14:paraId="32B63DAA" w14:textId="7E73B72F" w:rsidR="00E75864" w:rsidRDefault="00196F91" w:rsidP="00196F91">
      <w:pPr>
        <w:spacing w:after="0" w:line="240" w:lineRule="auto"/>
        <w:ind w:left="1437" w:hanging="870"/>
        <w:rPr>
          <w:rFonts w:ascii="Arial" w:hAnsi="Arial" w:cs="Arial"/>
        </w:rPr>
      </w:pPr>
      <w:r>
        <w:rPr>
          <w:rFonts w:ascii="Arial" w:hAnsi="Arial" w:cs="Arial"/>
        </w:rPr>
        <w:t>9.6</w:t>
      </w:r>
      <w:r>
        <w:rPr>
          <w:rFonts w:ascii="Arial" w:hAnsi="Arial" w:cs="Arial"/>
        </w:rPr>
        <w:tab/>
        <w:t>Plan work</w:t>
      </w:r>
      <w:r w:rsidR="00DD6EAB">
        <w:rPr>
          <w:rFonts w:ascii="Arial" w:hAnsi="Arial" w:cs="Arial"/>
        </w:rPr>
        <w:t xml:space="preserve"> independently</w:t>
      </w:r>
      <w:r>
        <w:rPr>
          <w:rFonts w:ascii="Arial" w:hAnsi="Arial" w:cs="Arial"/>
        </w:rPr>
        <w:t xml:space="preserve"> </w:t>
      </w:r>
    </w:p>
    <w:p w14:paraId="32B63DAD" w14:textId="77777777" w:rsidR="00F24789" w:rsidRPr="00F24789" w:rsidRDefault="00F24789" w:rsidP="00F23F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2B63DAE" w14:textId="77777777" w:rsidR="00F24789" w:rsidRPr="00302082" w:rsidRDefault="00F24789" w:rsidP="00F24789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0562977" w14:textId="5A4814C8" w:rsidR="00C10583" w:rsidRDefault="00196F91" w:rsidP="00A96CE5">
      <w:pPr>
        <w:spacing w:after="100" w:afterAutospacing="1" w:line="240" w:lineRule="auto"/>
        <w:ind w:left="567"/>
        <w:rPr>
          <w:rFonts w:ascii="Arial" w:hAnsi="Arial" w:cs="Arial"/>
        </w:rPr>
      </w:pPr>
      <w:r w:rsidRPr="00196F91">
        <w:rPr>
          <w:rFonts w:ascii="Arial" w:hAnsi="Arial" w:cs="Arial"/>
        </w:rPr>
        <w:t xml:space="preserve">The purpose of this module </w:t>
      </w:r>
      <w:r>
        <w:rPr>
          <w:rFonts w:ascii="Arial" w:hAnsi="Arial" w:cs="Arial"/>
        </w:rPr>
        <w:t xml:space="preserve">is to develop </w:t>
      </w:r>
      <w:r w:rsidR="00B53031">
        <w:rPr>
          <w:rFonts w:ascii="Arial" w:hAnsi="Arial" w:cs="Arial"/>
        </w:rPr>
        <w:t xml:space="preserve">the use of economic and data analysis </w:t>
      </w:r>
      <w:r>
        <w:rPr>
          <w:rFonts w:ascii="Arial" w:hAnsi="Arial" w:cs="Arial"/>
        </w:rPr>
        <w:t>skill</w:t>
      </w:r>
      <w:r w:rsidR="00B53031">
        <w:rPr>
          <w:rFonts w:ascii="Arial" w:hAnsi="Arial" w:cs="Arial"/>
        </w:rPr>
        <w:t xml:space="preserve">s to be of use in answering </w:t>
      </w:r>
      <w:proofErr w:type="gramStart"/>
      <w:r w:rsidR="00B53031">
        <w:rPr>
          <w:rFonts w:ascii="Arial" w:hAnsi="Arial" w:cs="Arial"/>
        </w:rPr>
        <w:t>time pressured</w:t>
      </w:r>
      <w:proofErr w:type="gramEnd"/>
      <w:r w:rsidR="00B53031">
        <w:rPr>
          <w:rFonts w:ascii="Arial" w:hAnsi="Arial" w:cs="Arial"/>
        </w:rPr>
        <w:t xml:space="preserve"> work that a professional economist may encounter. These skills </w:t>
      </w:r>
      <w:proofErr w:type="gramStart"/>
      <w:r w:rsidR="00B53031">
        <w:rPr>
          <w:rFonts w:ascii="Arial" w:hAnsi="Arial" w:cs="Arial"/>
        </w:rPr>
        <w:t>are developed</w:t>
      </w:r>
      <w:proofErr w:type="gramEnd"/>
      <w:r w:rsidR="00B53031">
        <w:rPr>
          <w:rFonts w:ascii="Arial" w:hAnsi="Arial" w:cs="Arial"/>
        </w:rPr>
        <w:t xml:space="preserve"> in every module and many parts of the </w:t>
      </w:r>
      <w:proofErr w:type="spellStart"/>
      <w:r w:rsidR="00B53031">
        <w:rPr>
          <w:rFonts w:ascii="Arial" w:hAnsi="Arial" w:cs="Arial"/>
        </w:rPr>
        <w:t>onjob</w:t>
      </w:r>
      <w:proofErr w:type="spellEnd"/>
      <w:r w:rsidR="00B53031">
        <w:rPr>
          <w:rFonts w:ascii="Arial" w:hAnsi="Arial" w:cs="Arial"/>
        </w:rPr>
        <w:t xml:space="preserve"> training of the Degree Apprenticeship. The refining of these skills </w:t>
      </w:r>
      <w:proofErr w:type="gramStart"/>
      <w:r w:rsidR="00B53031">
        <w:rPr>
          <w:rFonts w:ascii="Arial" w:hAnsi="Arial" w:cs="Arial"/>
        </w:rPr>
        <w:t>are taught throughout the qualification and enhanced through specific lectures and workshops</w:t>
      </w:r>
      <w:r w:rsidR="006060EC">
        <w:rPr>
          <w:rFonts w:ascii="Arial" w:hAnsi="Arial" w:cs="Arial"/>
        </w:rPr>
        <w:t xml:space="preserve"> during the second and third trimesters of the last year</w:t>
      </w:r>
      <w:proofErr w:type="gramEnd"/>
      <w:r w:rsidR="006060EC">
        <w:rPr>
          <w:rFonts w:ascii="Arial" w:hAnsi="Arial" w:cs="Arial"/>
        </w:rPr>
        <w:t>.</w:t>
      </w:r>
    </w:p>
    <w:p w14:paraId="32B63DB2" w14:textId="11637F68" w:rsidR="001D51F0" w:rsidRPr="00E949D2" w:rsidRDefault="001D51F0" w:rsidP="00A96CE5">
      <w:pPr>
        <w:pStyle w:val="ListParagraph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Arial" w:hAnsi="Arial" w:cs="Arial"/>
        </w:rPr>
      </w:pPr>
      <w:r w:rsidRPr="00E949D2">
        <w:rPr>
          <w:rFonts w:ascii="Arial" w:hAnsi="Arial" w:cs="Arial"/>
          <w:b/>
        </w:rPr>
        <w:t>Reading list (Indicative list,</w:t>
      </w:r>
      <w:r w:rsidR="00A96CE5">
        <w:rPr>
          <w:rFonts w:ascii="Arial" w:hAnsi="Arial" w:cs="Arial"/>
          <w:b/>
        </w:rPr>
        <w:t xml:space="preserve"> current at time of publication)</w:t>
      </w:r>
    </w:p>
    <w:p w14:paraId="32B63DB3" w14:textId="77777777" w:rsidR="001D51F0" w:rsidRPr="00196F91" w:rsidRDefault="00196F91" w:rsidP="00A96CE5">
      <w:pPr>
        <w:spacing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Not applicable as economic questions can be taken from any part of the Degree Apprenticeship.</w:t>
      </w:r>
    </w:p>
    <w:p w14:paraId="32B63DB4" w14:textId="77777777" w:rsidR="001D51F0" w:rsidRPr="00302082" w:rsidRDefault="001D51F0" w:rsidP="001D51F0">
      <w:pPr>
        <w:widowControl w:val="0"/>
        <w:snapToGrid w:val="0"/>
        <w:spacing w:after="0" w:line="240" w:lineRule="auto"/>
        <w:ind w:left="567"/>
        <w:rPr>
          <w:rFonts w:ascii="Arial" w:hAnsi="Arial" w:cs="Arial"/>
          <w:b/>
        </w:rPr>
      </w:pPr>
    </w:p>
    <w:p w14:paraId="32B63DB5" w14:textId="77777777" w:rsidR="009E369F" w:rsidRPr="008820A6" w:rsidRDefault="009E369F" w:rsidP="001D51F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32B63DB6" w14:textId="77777777" w:rsidR="002131DE" w:rsidRDefault="002131DE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32B63DB7" w14:textId="14DA1EF7" w:rsidR="009E369F" w:rsidRPr="000E4603" w:rsidRDefault="004765AB" w:rsidP="00701493">
      <w:pPr>
        <w:spacing w:after="0" w:line="240" w:lineRule="auto"/>
        <w:ind w:left="414" w:right="261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Directed </w:t>
      </w:r>
      <w:r w:rsidR="00B53031">
        <w:rPr>
          <w:rFonts w:ascii="Arial" w:hAnsi="Arial" w:cs="Arial"/>
          <w:iCs/>
        </w:rPr>
        <w:t xml:space="preserve">learning time </w:t>
      </w:r>
      <w:r>
        <w:rPr>
          <w:rFonts w:ascii="Arial" w:hAnsi="Arial" w:cs="Arial"/>
          <w:iCs/>
        </w:rPr>
        <w:t>50</w:t>
      </w:r>
      <w:r w:rsidR="00A96CE5">
        <w:rPr>
          <w:rFonts w:ascii="Arial" w:hAnsi="Arial" w:cs="Arial"/>
          <w:iCs/>
        </w:rPr>
        <w:t xml:space="preserve"> </w:t>
      </w:r>
      <w:r w:rsidR="009E369F" w:rsidRPr="000E4603">
        <w:rPr>
          <w:rFonts w:ascii="Arial" w:hAnsi="Arial" w:cs="Arial"/>
          <w:iCs/>
        </w:rPr>
        <w:t>hours</w:t>
      </w:r>
    </w:p>
    <w:p w14:paraId="32B63DB8" w14:textId="5FC75C8B" w:rsidR="009E369F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701493">
        <w:rPr>
          <w:rFonts w:ascii="Arial" w:hAnsi="Arial" w:cs="Arial"/>
          <w:iCs/>
        </w:rPr>
        <w:t xml:space="preserve">time </w:t>
      </w:r>
      <w:r w:rsidR="004765AB">
        <w:rPr>
          <w:rFonts w:ascii="Arial" w:hAnsi="Arial" w:cs="Arial"/>
          <w:iCs/>
        </w:rPr>
        <w:t>10</w:t>
      </w:r>
      <w:r w:rsidR="00701493">
        <w:rPr>
          <w:rFonts w:ascii="Arial" w:hAnsi="Arial" w:cs="Arial"/>
          <w:iCs/>
        </w:rPr>
        <w:t xml:space="preserve">0 </w:t>
      </w:r>
      <w:r>
        <w:rPr>
          <w:rFonts w:ascii="Arial" w:hAnsi="Arial" w:cs="Arial"/>
          <w:iCs/>
        </w:rPr>
        <w:t>hours</w:t>
      </w:r>
    </w:p>
    <w:p w14:paraId="32B63DB9" w14:textId="77777777" w:rsidR="009E369F" w:rsidRPr="000E4603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32B63DBA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B63DBB" w14:textId="77777777" w:rsidR="009E369F" w:rsidRPr="00883204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2B63DBC" w14:textId="604BC035" w:rsidR="009E369F" w:rsidRDefault="00187B5D" w:rsidP="009E369F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</w:t>
      </w:r>
    </w:p>
    <w:p w14:paraId="32B63DBD" w14:textId="00B3E912" w:rsidR="00E75864" w:rsidRPr="002269AD" w:rsidRDefault="00B53031" w:rsidP="00E75864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2 hour</w:t>
      </w:r>
      <w:proofErr w:type="gramEnd"/>
      <w:r>
        <w:rPr>
          <w:rFonts w:ascii="Arial" w:hAnsi="Arial" w:cs="Arial"/>
          <w:iCs/>
        </w:rPr>
        <w:t xml:space="preserve"> </w:t>
      </w:r>
      <w:r w:rsidR="00C10583">
        <w:rPr>
          <w:rFonts w:ascii="Arial" w:hAnsi="Arial" w:cs="Arial"/>
          <w:iCs/>
        </w:rPr>
        <w:t>exam</w:t>
      </w:r>
      <w:r>
        <w:rPr>
          <w:rFonts w:ascii="Arial" w:hAnsi="Arial" w:cs="Arial"/>
          <w:iCs/>
        </w:rPr>
        <w:t xml:space="preserve"> (10</w:t>
      </w:r>
      <w:r w:rsidR="00E75864" w:rsidRPr="002269AD">
        <w:rPr>
          <w:rFonts w:ascii="Arial" w:hAnsi="Arial" w:cs="Arial"/>
          <w:iCs/>
        </w:rPr>
        <w:t>0%)</w:t>
      </w:r>
      <w:r w:rsidR="00C10583">
        <w:rPr>
          <w:rFonts w:ascii="Arial" w:hAnsi="Arial" w:cs="Arial"/>
          <w:iCs/>
        </w:rPr>
        <w:t>. The exam includes one long question and a short answer section</w:t>
      </w:r>
      <w:r w:rsidR="00A8029D">
        <w:rPr>
          <w:rFonts w:ascii="Arial" w:hAnsi="Arial" w:cs="Arial"/>
          <w:iCs/>
        </w:rPr>
        <w:t>,</w:t>
      </w:r>
      <w:r w:rsidR="00C10583">
        <w:rPr>
          <w:rFonts w:ascii="Arial" w:hAnsi="Arial" w:cs="Arial"/>
          <w:iCs/>
        </w:rPr>
        <w:t xml:space="preserve"> each worth 50% of the mark. </w:t>
      </w:r>
    </w:p>
    <w:p w14:paraId="32B63DBE" w14:textId="77777777" w:rsidR="00E75864" w:rsidRPr="00612B9D" w:rsidRDefault="00E75864" w:rsidP="00E75864">
      <w:pPr>
        <w:spacing w:after="120" w:line="240" w:lineRule="auto"/>
        <w:ind w:left="1134" w:right="260"/>
        <w:jc w:val="both"/>
        <w:rPr>
          <w:rFonts w:ascii="Arial" w:hAnsi="Arial" w:cs="Arial"/>
          <w:b/>
          <w:i/>
          <w:iCs/>
        </w:rPr>
      </w:pPr>
    </w:p>
    <w:p w14:paraId="32B63DBF" w14:textId="537AC10A" w:rsidR="00E75864" w:rsidRPr="00696FF5" w:rsidRDefault="00E75864" w:rsidP="00E75864">
      <w:pPr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="00187B5D">
        <w:rPr>
          <w:rFonts w:ascii="Arial" w:hAnsi="Arial" w:cs="Arial"/>
          <w:iCs/>
        </w:rPr>
        <w:t>Reassessment method</w:t>
      </w:r>
      <w:r w:rsidRPr="00696FF5">
        <w:rPr>
          <w:rFonts w:ascii="Arial" w:hAnsi="Arial" w:cs="Arial"/>
          <w:iCs/>
        </w:rPr>
        <w:t xml:space="preserve"> </w:t>
      </w:r>
    </w:p>
    <w:p w14:paraId="1ECE5985" w14:textId="77777777" w:rsidR="00A96CE5" w:rsidRDefault="00B53031" w:rsidP="00E75864">
      <w:pPr>
        <w:spacing w:after="0" w:line="240" w:lineRule="auto"/>
        <w:ind w:left="1134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  <w:szCs w:val="24"/>
        </w:rPr>
        <w:t>Reassessme</w:t>
      </w:r>
      <w:r w:rsidR="00C10583">
        <w:rPr>
          <w:rFonts w:ascii="Arial" w:eastAsia="Times New Roman" w:hAnsi="Arial" w:cs="Arial"/>
          <w:color w:val="000000"/>
          <w:szCs w:val="24"/>
        </w:rPr>
        <w:t xml:space="preserve">nt Instrument: </w:t>
      </w:r>
    </w:p>
    <w:p w14:paraId="48C9A95D" w14:textId="77777777" w:rsidR="00A96CE5" w:rsidRDefault="00A96CE5" w:rsidP="00E75864">
      <w:pPr>
        <w:spacing w:after="0" w:line="240" w:lineRule="auto"/>
        <w:ind w:left="1134"/>
        <w:rPr>
          <w:rFonts w:ascii="Arial" w:eastAsia="Times New Roman" w:hAnsi="Arial" w:cs="Arial"/>
          <w:color w:val="000000"/>
          <w:szCs w:val="24"/>
        </w:rPr>
      </w:pPr>
    </w:p>
    <w:p w14:paraId="3CDE18D5" w14:textId="1437FDFA" w:rsidR="00A96CE5" w:rsidRPr="002269AD" w:rsidRDefault="00A96CE5" w:rsidP="00A96CE5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2 hour</w:t>
      </w:r>
      <w:proofErr w:type="gramEnd"/>
      <w:r>
        <w:rPr>
          <w:rFonts w:ascii="Arial" w:hAnsi="Arial" w:cs="Arial"/>
          <w:iCs/>
        </w:rPr>
        <w:t xml:space="preserve"> exam (10</w:t>
      </w:r>
      <w:r w:rsidRPr="002269AD">
        <w:rPr>
          <w:rFonts w:ascii="Arial" w:hAnsi="Arial" w:cs="Arial"/>
          <w:iCs/>
        </w:rPr>
        <w:t>0%)</w:t>
      </w:r>
      <w:r>
        <w:rPr>
          <w:rFonts w:ascii="Arial" w:hAnsi="Arial" w:cs="Arial"/>
          <w:iCs/>
        </w:rPr>
        <w:t>. The exam includes one long ques</w:t>
      </w:r>
      <w:r w:rsidR="00A8029D">
        <w:rPr>
          <w:rFonts w:ascii="Arial" w:hAnsi="Arial" w:cs="Arial"/>
          <w:iCs/>
        </w:rPr>
        <w:t xml:space="preserve">tion and a short answer </w:t>
      </w:r>
      <w:r w:rsidR="008A16FB">
        <w:rPr>
          <w:rFonts w:ascii="Arial" w:hAnsi="Arial" w:cs="Arial"/>
          <w:iCs/>
        </w:rPr>
        <w:t>section, each</w:t>
      </w:r>
      <w:r>
        <w:rPr>
          <w:rFonts w:ascii="Arial" w:hAnsi="Arial" w:cs="Arial"/>
          <w:iCs/>
        </w:rPr>
        <w:t xml:space="preserve"> worth 50% of the mark. </w:t>
      </w:r>
    </w:p>
    <w:p w14:paraId="32B63DC1" w14:textId="77777777" w:rsidR="00FA4F81" w:rsidRPr="00EA26EA" w:rsidRDefault="00FA4F81" w:rsidP="00FA4F81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</w:p>
    <w:p w14:paraId="3ABCE7AE" w14:textId="234CEC76" w:rsidR="004765AB" w:rsidRPr="008B4720" w:rsidRDefault="004765AB" w:rsidP="00A96CE5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 w:rsidRPr="00656CA4">
        <w:rPr>
          <w:rFonts w:ascii="Arial" w:hAnsi="Arial" w:cs="Arial"/>
          <w:iCs/>
        </w:rPr>
        <w:t>These methods are</w:t>
      </w:r>
      <w:r w:rsidRPr="001D33E6">
        <w:rPr>
          <w:rFonts w:ascii="Arial" w:hAnsi="Arial" w:cs="Arial"/>
          <w:iCs/>
        </w:rPr>
        <w:t xml:space="preserve"> given in the End Point Asse</w:t>
      </w:r>
      <w:r w:rsidRPr="001F5759">
        <w:rPr>
          <w:rFonts w:ascii="Arial" w:hAnsi="Arial" w:cs="Arial"/>
          <w:iCs/>
        </w:rPr>
        <w:t xml:space="preserve">ssment Plan approved by the Institute for Apprentices (see </w:t>
      </w:r>
      <w:hyperlink r:id="rId12" w:history="1">
        <w:r w:rsidRPr="00291D43">
          <w:rPr>
            <w:rStyle w:val="Hyperlink"/>
            <w:rFonts w:ascii="Arial" w:hAnsi="Arial" w:cs="Arial"/>
          </w:rPr>
          <w:t>https://www.instituteforapprenticeships.org/media/1918/st0603_prof_econ_l6_cycle11_finalforpublication21618.pdf</w:t>
        </w:r>
      </w:hyperlink>
      <w:r w:rsidRPr="00291D43">
        <w:rPr>
          <w:rFonts w:ascii="Arial" w:hAnsi="Arial" w:cs="Arial"/>
        </w:rPr>
        <w:t xml:space="preserve"> )</w:t>
      </w:r>
      <w:r w:rsidRPr="001F5759">
        <w:rPr>
          <w:rFonts w:ascii="Arial" w:hAnsi="Arial" w:cs="Arial"/>
          <w:b/>
        </w:rPr>
        <w:t xml:space="preserve"> </w:t>
      </w:r>
      <w:r w:rsidRPr="001F5759">
        <w:rPr>
          <w:rFonts w:ascii="Arial" w:hAnsi="Arial" w:cs="Arial"/>
        </w:rPr>
        <w:t>and it is not possible to deviate from the strict instruction</w:t>
      </w:r>
      <w:r>
        <w:rPr>
          <w:rFonts w:ascii="Arial" w:hAnsi="Arial" w:cs="Arial"/>
        </w:rPr>
        <w:t>s</w:t>
      </w:r>
      <w:r w:rsidRPr="001F5759">
        <w:rPr>
          <w:rFonts w:ascii="Arial" w:hAnsi="Arial" w:cs="Arial"/>
        </w:rPr>
        <w:t xml:space="preserve"> given in this </w:t>
      </w:r>
      <w:proofErr w:type="gramStart"/>
      <w:r w:rsidRPr="001F5759">
        <w:rPr>
          <w:rFonts w:ascii="Arial" w:hAnsi="Arial" w:cs="Arial"/>
        </w:rPr>
        <w:t>36 page</w:t>
      </w:r>
      <w:proofErr w:type="gramEnd"/>
      <w:r w:rsidRPr="001F5759">
        <w:rPr>
          <w:rFonts w:ascii="Arial" w:hAnsi="Arial" w:cs="Arial"/>
        </w:rPr>
        <w:t xml:space="preserve"> document.</w:t>
      </w:r>
      <w:r w:rsidR="008B4720">
        <w:rPr>
          <w:rFonts w:ascii="Arial" w:hAnsi="Arial" w:cs="Arial"/>
        </w:rPr>
        <w:t xml:space="preserve"> For example, the End Point Assessment Plan </w:t>
      </w:r>
      <w:r w:rsidR="008B4720" w:rsidRPr="008B4720">
        <w:rPr>
          <w:rFonts w:ascii="Arial" w:hAnsi="Arial" w:cs="Arial"/>
        </w:rPr>
        <w:t>specifically states “Rationale for this element of the [Economics Technical Assessment] exam: This is designed to simulate the time-pressured work that professional economists might typically do”</w:t>
      </w:r>
      <w:r w:rsidR="00956D84">
        <w:rPr>
          <w:rFonts w:ascii="Arial" w:hAnsi="Arial" w:cs="Arial"/>
        </w:rPr>
        <w:t xml:space="preserve"> (Section 6.2)</w:t>
      </w:r>
      <w:r w:rsidR="008B4720" w:rsidRPr="008B4720">
        <w:rPr>
          <w:rFonts w:ascii="Arial" w:hAnsi="Arial" w:cs="Arial"/>
        </w:rPr>
        <w:t>.</w:t>
      </w:r>
    </w:p>
    <w:p w14:paraId="5163B4BB" w14:textId="77777777" w:rsidR="009E369F" w:rsidRPr="008B4720" w:rsidRDefault="009E369F" w:rsidP="009E369F">
      <w:pPr>
        <w:spacing w:after="0" w:line="240" w:lineRule="auto"/>
        <w:ind w:left="1134"/>
        <w:rPr>
          <w:rFonts w:ascii="Arial" w:eastAsia="Times New Roman" w:hAnsi="Arial" w:cs="Arial"/>
          <w:color w:val="000000"/>
          <w:szCs w:val="24"/>
        </w:rPr>
      </w:pPr>
    </w:p>
    <w:p w14:paraId="32B63DC4" w14:textId="77777777" w:rsidR="009E369F" w:rsidRPr="00C10583" w:rsidRDefault="009E369F" w:rsidP="009E369F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iCs/>
        </w:rPr>
      </w:pPr>
      <w:r w:rsidRPr="00C10583">
        <w:rPr>
          <w:rFonts w:ascii="Arial" w:hAnsi="Arial" w:cs="Arial"/>
          <w:b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4185" w:type="pct"/>
        <w:tblInd w:w="704" w:type="dxa"/>
        <w:tblLook w:val="04A0" w:firstRow="1" w:lastRow="0" w:firstColumn="1" w:lastColumn="0" w:noHBand="0" w:noVBand="1"/>
      </w:tblPr>
      <w:tblGrid>
        <w:gridCol w:w="2010"/>
        <w:gridCol w:w="567"/>
        <w:gridCol w:w="569"/>
        <w:gridCol w:w="567"/>
        <w:gridCol w:w="571"/>
        <w:gridCol w:w="571"/>
        <w:gridCol w:w="571"/>
        <w:gridCol w:w="571"/>
        <w:gridCol w:w="571"/>
        <w:gridCol w:w="571"/>
        <w:gridCol w:w="567"/>
        <w:gridCol w:w="564"/>
      </w:tblGrid>
      <w:tr w:rsidR="000E6B26" w:rsidRPr="00DD191E" w14:paraId="32B63DD2" w14:textId="77777777" w:rsidTr="002B161C">
        <w:tc>
          <w:tcPr>
            <w:tcW w:w="1215" w:type="pct"/>
            <w:shd w:val="clear" w:color="auto" w:fill="D9D9D9" w:themeFill="background1" w:themeFillShade="D9"/>
          </w:tcPr>
          <w:p w14:paraId="32B63DC6" w14:textId="77777777" w:rsidR="000E6B26" w:rsidRPr="00DD191E" w:rsidRDefault="000E6B26" w:rsidP="00DE4748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43" w:type="pct"/>
            <w:vAlign w:val="bottom"/>
          </w:tcPr>
          <w:p w14:paraId="32B63DC7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8.1</w:t>
            </w:r>
          </w:p>
        </w:tc>
        <w:tc>
          <w:tcPr>
            <w:tcW w:w="344" w:type="pct"/>
            <w:vAlign w:val="bottom"/>
          </w:tcPr>
          <w:p w14:paraId="32B63DC8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8.2</w:t>
            </w:r>
          </w:p>
        </w:tc>
        <w:tc>
          <w:tcPr>
            <w:tcW w:w="343" w:type="pct"/>
            <w:vAlign w:val="bottom"/>
          </w:tcPr>
          <w:p w14:paraId="32B63DC9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8.3</w:t>
            </w:r>
          </w:p>
        </w:tc>
        <w:tc>
          <w:tcPr>
            <w:tcW w:w="345" w:type="pct"/>
            <w:vAlign w:val="bottom"/>
          </w:tcPr>
          <w:p w14:paraId="32B63DCA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8.4</w:t>
            </w:r>
          </w:p>
        </w:tc>
        <w:tc>
          <w:tcPr>
            <w:tcW w:w="345" w:type="pct"/>
            <w:vAlign w:val="bottom"/>
          </w:tcPr>
          <w:p w14:paraId="32B63DCB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8.5</w:t>
            </w:r>
          </w:p>
        </w:tc>
        <w:tc>
          <w:tcPr>
            <w:tcW w:w="345" w:type="pct"/>
            <w:vAlign w:val="bottom"/>
          </w:tcPr>
          <w:p w14:paraId="32B63DCC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9.1</w:t>
            </w:r>
          </w:p>
        </w:tc>
        <w:tc>
          <w:tcPr>
            <w:tcW w:w="345" w:type="pct"/>
            <w:vAlign w:val="bottom"/>
          </w:tcPr>
          <w:p w14:paraId="32B63DCD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9.2</w:t>
            </w:r>
          </w:p>
        </w:tc>
        <w:tc>
          <w:tcPr>
            <w:tcW w:w="345" w:type="pct"/>
            <w:vAlign w:val="bottom"/>
          </w:tcPr>
          <w:p w14:paraId="32B63DCE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9.3</w:t>
            </w:r>
          </w:p>
        </w:tc>
        <w:tc>
          <w:tcPr>
            <w:tcW w:w="345" w:type="pct"/>
            <w:vAlign w:val="bottom"/>
          </w:tcPr>
          <w:p w14:paraId="32B63DCF" w14:textId="77777777" w:rsidR="000E6B26" w:rsidRPr="00FB5814" w:rsidRDefault="000E6B26" w:rsidP="00DE4748">
            <w:pPr>
              <w:spacing w:after="120"/>
              <w:jc w:val="center"/>
              <w:rPr>
                <w:rFonts w:ascii="Arial" w:hAnsi="Arial" w:cs="Arial"/>
              </w:rPr>
            </w:pPr>
            <w:r w:rsidRPr="00FB5814">
              <w:rPr>
                <w:rFonts w:ascii="Arial" w:hAnsi="Arial" w:cs="Arial"/>
              </w:rPr>
              <w:t>9.4</w:t>
            </w:r>
          </w:p>
        </w:tc>
        <w:tc>
          <w:tcPr>
            <w:tcW w:w="343" w:type="pct"/>
            <w:vAlign w:val="bottom"/>
          </w:tcPr>
          <w:p w14:paraId="32B63DD0" w14:textId="77777777" w:rsidR="000E6B26" w:rsidRPr="00FB5814" w:rsidRDefault="000E6B26" w:rsidP="00DD4D5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41" w:type="pct"/>
            <w:vAlign w:val="bottom"/>
          </w:tcPr>
          <w:p w14:paraId="32B63DD1" w14:textId="77777777" w:rsidR="000E6B26" w:rsidRPr="00FB5814" w:rsidRDefault="000E6B26" w:rsidP="00DD4D5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</w:tr>
      <w:tr w:rsidR="000E6B26" w:rsidRPr="00DD191E" w14:paraId="32B63DDF" w14:textId="77777777" w:rsidTr="002B161C">
        <w:tc>
          <w:tcPr>
            <w:tcW w:w="1215" w:type="pct"/>
            <w:shd w:val="clear" w:color="auto" w:fill="D9D9D9" w:themeFill="background1" w:themeFillShade="D9"/>
          </w:tcPr>
          <w:p w14:paraId="32B63DD3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43" w:type="pct"/>
          </w:tcPr>
          <w:p w14:paraId="32B63DD4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4" w:type="pct"/>
          </w:tcPr>
          <w:p w14:paraId="32B63DD5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3" w:type="pct"/>
          </w:tcPr>
          <w:p w14:paraId="32B63DD6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7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8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9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A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B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</w:tcPr>
          <w:p w14:paraId="32B63DDC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3" w:type="pct"/>
          </w:tcPr>
          <w:p w14:paraId="32B63DDD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14:paraId="32B63DDE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E6B26" w:rsidRPr="00DD191E" w14:paraId="32B63DEC" w14:textId="77777777" w:rsidTr="002B161C">
        <w:tc>
          <w:tcPr>
            <w:tcW w:w="1215" w:type="pct"/>
            <w:vAlign w:val="center"/>
          </w:tcPr>
          <w:p w14:paraId="32B63DE0" w14:textId="77777777" w:rsidR="000E6B26" w:rsidRPr="00DD191E" w:rsidRDefault="000E6B26" w:rsidP="00DE4748">
            <w:pPr>
              <w:spacing w:after="120"/>
              <w:rPr>
                <w:rFonts w:ascii="Arial" w:hAnsi="Arial" w:cs="Arial"/>
              </w:rPr>
            </w:pPr>
            <w:r w:rsidRPr="00DD191E">
              <w:rPr>
                <w:rFonts w:ascii="Arial" w:hAnsi="Arial" w:cs="Arial"/>
              </w:rPr>
              <w:t>Lecture</w:t>
            </w:r>
          </w:p>
        </w:tc>
        <w:tc>
          <w:tcPr>
            <w:tcW w:w="343" w:type="pct"/>
            <w:vAlign w:val="center"/>
          </w:tcPr>
          <w:p w14:paraId="32B63DE1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4" w:type="pct"/>
            <w:vAlign w:val="center"/>
          </w:tcPr>
          <w:p w14:paraId="32B63DE2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32B63DE3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14:paraId="32B63DE4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E5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14:paraId="32B63DE6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E7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E8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E9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pct"/>
            <w:vAlign w:val="center"/>
          </w:tcPr>
          <w:p w14:paraId="32B63DEA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  <w:vAlign w:val="center"/>
          </w:tcPr>
          <w:p w14:paraId="32B63DEB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E6B26" w:rsidRPr="00DD191E" w14:paraId="32B63DF9" w14:textId="77777777" w:rsidTr="002B161C">
        <w:tc>
          <w:tcPr>
            <w:tcW w:w="1215" w:type="pct"/>
            <w:vAlign w:val="center"/>
          </w:tcPr>
          <w:p w14:paraId="32B63DED" w14:textId="77777777" w:rsidR="000E6B26" w:rsidRPr="00DD191E" w:rsidRDefault="000E6B26" w:rsidP="00B5303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343" w:type="pct"/>
            <w:vAlign w:val="center"/>
          </w:tcPr>
          <w:p w14:paraId="32B63DEE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4" w:type="pct"/>
            <w:vAlign w:val="center"/>
          </w:tcPr>
          <w:p w14:paraId="32B63DEF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32B63DF0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1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2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3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4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5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6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32B63DF7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  <w:vAlign w:val="center"/>
          </w:tcPr>
          <w:p w14:paraId="32B63DF8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</w:tr>
      <w:tr w:rsidR="000E6B26" w:rsidRPr="00DD191E" w14:paraId="32B63E06" w14:textId="77777777" w:rsidTr="002B161C">
        <w:tc>
          <w:tcPr>
            <w:tcW w:w="1215" w:type="pct"/>
            <w:vAlign w:val="center"/>
          </w:tcPr>
          <w:p w14:paraId="32B63DFA" w14:textId="77777777" w:rsidR="000E6B26" w:rsidRDefault="000E6B26" w:rsidP="00DE47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</w:t>
            </w:r>
            <w:r w:rsidRPr="00915F87">
              <w:rPr>
                <w:rFonts w:ascii="Arial" w:hAnsi="Arial" w:cs="Arial"/>
              </w:rPr>
              <w:t>Study</w:t>
            </w:r>
          </w:p>
        </w:tc>
        <w:tc>
          <w:tcPr>
            <w:tcW w:w="343" w:type="pct"/>
            <w:vAlign w:val="center"/>
          </w:tcPr>
          <w:p w14:paraId="32B63DFB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4" w:type="pct"/>
            <w:vAlign w:val="center"/>
          </w:tcPr>
          <w:p w14:paraId="32B63DFC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32B63DFD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E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DFF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E00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E01" w14:textId="77777777" w:rsidR="000E6B26" w:rsidRPr="00DD191E" w:rsidRDefault="000E6B26" w:rsidP="00DE474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E02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B63E03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32B63E04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  <w:vAlign w:val="center"/>
          </w:tcPr>
          <w:p w14:paraId="32B63E05" w14:textId="77777777" w:rsidR="000E6B26" w:rsidRPr="00DD191E" w:rsidRDefault="000E6B26" w:rsidP="00DD4D5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D191E">
              <w:rPr>
                <w:rFonts w:ascii="Arial" w:hAnsi="Arial" w:cs="Arial"/>
                <w:b/>
              </w:rPr>
              <w:t>x</w:t>
            </w:r>
          </w:p>
        </w:tc>
      </w:tr>
      <w:tr w:rsidR="00187B5D" w:rsidRPr="00DD191E" w14:paraId="56A62E70" w14:textId="77777777" w:rsidTr="002B161C">
        <w:tc>
          <w:tcPr>
            <w:tcW w:w="1215" w:type="pct"/>
            <w:vAlign w:val="center"/>
          </w:tcPr>
          <w:p w14:paraId="24DC8FEA" w14:textId="5FC24D21" w:rsidR="00187B5D" w:rsidRDefault="00187B5D" w:rsidP="00187B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43" w:type="pct"/>
            <w:vAlign w:val="bottom"/>
          </w:tcPr>
          <w:p w14:paraId="3C89CC64" w14:textId="3C15DBFB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344" w:type="pct"/>
            <w:vAlign w:val="bottom"/>
          </w:tcPr>
          <w:p w14:paraId="0D72DDA4" w14:textId="2DA502BA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343" w:type="pct"/>
            <w:vAlign w:val="bottom"/>
          </w:tcPr>
          <w:p w14:paraId="0AAD90BB" w14:textId="2E666B8B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345" w:type="pct"/>
            <w:vAlign w:val="bottom"/>
          </w:tcPr>
          <w:p w14:paraId="3F961998" w14:textId="2A388266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345" w:type="pct"/>
            <w:vAlign w:val="bottom"/>
          </w:tcPr>
          <w:p w14:paraId="7C60B6E1" w14:textId="54EF40CB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345" w:type="pct"/>
            <w:vAlign w:val="bottom"/>
          </w:tcPr>
          <w:p w14:paraId="2554CDB3" w14:textId="79959F5B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345" w:type="pct"/>
            <w:vAlign w:val="bottom"/>
          </w:tcPr>
          <w:p w14:paraId="41641E86" w14:textId="7C0F70AC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345" w:type="pct"/>
            <w:vAlign w:val="bottom"/>
          </w:tcPr>
          <w:p w14:paraId="38F3D3FF" w14:textId="7762782F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345" w:type="pct"/>
            <w:vAlign w:val="bottom"/>
          </w:tcPr>
          <w:p w14:paraId="7D18A4E4" w14:textId="17A98D1A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343" w:type="pct"/>
            <w:vAlign w:val="bottom"/>
          </w:tcPr>
          <w:p w14:paraId="357AB511" w14:textId="5E96D2D2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41" w:type="pct"/>
            <w:vAlign w:val="bottom"/>
          </w:tcPr>
          <w:p w14:paraId="3F8118EE" w14:textId="1545AB35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9.6</w:t>
            </w:r>
          </w:p>
        </w:tc>
      </w:tr>
      <w:tr w:rsidR="00187B5D" w:rsidRPr="00DD191E" w14:paraId="041D2950" w14:textId="77777777" w:rsidTr="002B161C">
        <w:tc>
          <w:tcPr>
            <w:tcW w:w="1215" w:type="pct"/>
            <w:vAlign w:val="center"/>
          </w:tcPr>
          <w:p w14:paraId="554E349E" w14:textId="30B51526" w:rsidR="00187B5D" w:rsidRDefault="004765AB" w:rsidP="00187B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10583">
              <w:rPr>
                <w:rFonts w:ascii="Arial" w:hAnsi="Arial" w:cs="Arial"/>
              </w:rPr>
              <w:t>xam</w:t>
            </w:r>
          </w:p>
        </w:tc>
        <w:tc>
          <w:tcPr>
            <w:tcW w:w="343" w:type="pct"/>
            <w:vAlign w:val="center"/>
          </w:tcPr>
          <w:p w14:paraId="344582D7" w14:textId="599B91DC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4" w:type="pct"/>
            <w:vAlign w:val="center"/>
          </w:tcPr>
          <w:p w14:paraId="69B94C18" w14:textId="403777A5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04A91455" w14:textId="2AF5BCCD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657DABA9" w14:textId="3058BF5E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212F67BC" w14:textId="57B24A25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32AB5C02" w14:textId="6DD354D7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72F581DB" w14:textId="5F6AAF6B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4F839330" w14:textId="1AD88AB1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5" w:type="pct"/>
            <w:vAlign w:val="center"/>
          </w:tcPr>
          <w:p w14:paraId="05B2702F" w14:textId="004D7495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3" w:type="pct"/>
            <w:vAlign w:val="center"/>
          </w:tcPr>
          <w:p w14:paraId="29866316" w14:textId="367E2829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  <w:vAlign w:val="center"/>
          </w:tcPr>
          <w:p w14:paraId="23941CAF" w14:textId="101AC003" w:rsidR="00187B5D" w:rsidRPr="00DD191E" w:rsidRDefault="00187B5D" w:rsidP="00187B5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2B63E07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2B63E26" w14:textId="77777777" w:rsidR="009E369F" w:rsidRPr="00D50113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32B63E27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2B63E28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32B63E29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32B63E2A" w14:textId="77777777" w:rsidR="009E369F" w:rsidRPr="00D50113" w:rsidRDefault="009E369F" w:rsidP="009E369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2B63E2B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2B63E2C" w14:textId="77777777" w:rsidR="009E369F" w:rsidRPr="00302082" w:rsidRDefault="009E369F" w:rsidP="009E369F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32B63E2D" w14:textId="40141061" w:rsidR="009E369F" w:rsidRPr="00A96CE5" w:rsidRDefault="009E369F" w:rsidP="00A96CE5">
      <w:pPr>
        <w:ind w:firstLine="567"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4765AB">
        <w:rPr>
          <w:rFonts w:ascii="Arial" w:hAnsi="Arial" w:cs="Arial"/>
        </w:rPr>
        <w:t>, employer</w:t>
      </w:r>
      <w:r w:rsidR="00A96CE5">
        <w:rPr>
          <w:rFonts w:ascii="Arial" w:hAnsi="Arial" w:cs="Arial"/>
        </w:rPr>
        <w:t xml:space="preserve"> premises and London/Leeds.</w:t>
      </w:r>
    </w:p>
    <w:p w14:paraId="32B63E2F" w14:textId="77777777" w:rsidR="009E369F" w:rsidRPr="002A7F48" w:rsidRDefault="009E369F" w:rsidP="009E369F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2B63E30" w14:textId="3B00EEAD" w:rsidR="009E369F" w:rsidRPr="008B0EE4" w:rsidRDefault="009E369F" w:rsidP="009E369F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r w:rsidR="00187B5D">
        <w:rPr>
          <w:rFonts w:ascii="Arial" w:hAnsi="Arial" w:cs="Arial"/>
          <w:lang w:val="en"/>
        </w:rPr>
        <w:t xml:space="preserve">Economics Technical Assessment </w:t>
      </w:r>
      <w:r w:rsidRPr="008A17B3">
        <w:rPr>
          <w:rFonts w:ascii="Arial" w:hAnsi="Arial" w:cs="Arial"/>
          <w:lang w:val="en"/>
        </w:rPr>
        <w:t>module provides students with the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="00187B5D">
        <w:rPr>
          <w:rFonts w:ascii="Arial" w:hAnsi="Arial" w:cs="Arial"/>
          <w:lang w:val="en"/>
        </w:rPr>
        <w:t xml:space="preserve">data,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="00C10583">
        <w:rPr>
          <w:rFonts w:ascii="Arial" w:hAnsi="Arial" w:cs="Arial"/>
          <w:lang w:val="en"/>
        </w:rPr>
        <w:t xml:space="preserve">a number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32B63E31" w14:textId="77777777" w:rsidR="009E369F" w:rsidRPr="00302082" w:rsidRDefault="009E369F" w:rsidP="009E369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2B63E32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32B63E33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32B63E34" w14:textId="77777777" w:rsidR="009E369F" w:rsidRPr="00302082" w:rsidRDefault="009E369F" w:rsidP="009E369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32B63E3A" w14:textId="77777777" w:rsidTr="008820A6">
        <w:trPr>
          <w:trHeight w:val="317"/>
        </w:trPr>
        <w:tc>
          <w:tcPr>
            <w:tcW w:w="1526" w:type="dxa"/>
          </w:tcPr>
          <w:p w14:paraId="32B63E35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2B63E36" w14:textId="77777777" w:rsidR="009E369F" w:rsidRPr="00BA453C" w:rsidRDefault="009E369F" w:rsidP="008820A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32B63E37" w14:textId="77777777" w:rsidR="009E369F" w:rsidRPr="00BA453C" w:rsidRDefault="009E369F" w:rsidP="008820A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2B63E38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2B63E39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32B63E40" w14:textId="77777777" w:rsidTr="008820A6">
        <w:trPr>
          <w:trHeight w:val="305"/>
        </w:trPr>
        <w:tc>
          <w:tcPr>
            <w:tcW w:w="1526" w:type="dxa"/>
          </w:tcPr>
          <w:p w14:paraId="32B63E3B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B63E3C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B63E3D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2B63E3E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2B63E3F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E369F" w:rsidRPr="00302082" w14:paraId="32B63E46" w14:textId="77777777" w:rsidTr="008820A6">
        <w:trPr>
          <w:trHeight w:val="305"/>
        </w:trPr>
        <w:tc>
          <w:tcPr>
            <w:tcW w:w="1526" w:type="dxa"/>
          </w:tcPr>
          <w:p w14:paraId="32B63E41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B63E42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B63E43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2B63E44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2B63E45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32B63E47" w14:textId="77777777" w:rsidR="009A2D37" w:rsidRPr="00302082" w:rsidRDefault="00CD6A20" w:rsidP="00D30D5C">
      <w:pPr>
        <w:spacing w:after="120" w:line="240" w:lineRule="auto"/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A96CE5">
      <w:headerReference w:type="default" r:id="rId13"/>
      <w:footerReference w:type="default" r:id="rId14"/>
      <w:headerReference w:type="first" r:id="rId15"/>
      <w:pgSz w:w="11906" w:h="16838" w:code="9"/>
      <w:pgMar w:top="720" w:right="1152" w:bottom="720" w:left="86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9BA1" w14:textId="77777777" w:rsidR="00151FD8" w:rsidRDefault="00151FD8" w:rsidP="009A2D37">
      <w:pPr>
        <w:spacing w:after="0" w:line="240" w:lineRule="auto"/>
      </w:pPr>
      <w:r>
        <w:separator/>
      </w:r>
    </w:p>
  </w:endnote>
  <w:endnote w:type="continuationSeparator" w:id="0">
    <w:p w14:paraId="5060F03C" w14:textId="77777777" w:rsidR="00151FD8" w:rsidRDefault="00151FD8" w:rsidP="009A2D37">
      <w:pPr>
        <w:spacing w:after="0" w:line="240" w:lineRule="auto"/>
      </w:pPr>
      <w:r>
        <w:continuationSeparator/>
      </w:r>
    </w:p>
  </w:endnote>
  <w:endnote w:type="continuationNotice" w:id="1">
    <w:p w14:paraId="6DDD634A" w14:textId="77777777" w:rsidR="00151FD8" w:rsidRDefault="00151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B63E51" w14:textId="6D7ACEE6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63E52" w14:textId="77777777" w:rsidR="008820A6" w:rsidRPr="007B7724" w:rsidRDefault="008820A6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BEAB9" w14:textId="77777777" w:rsidR="00151FD8" w:rsidRDefault="00151FD8" w:rsidP="009A2D37">
      <w:pPr>
        <w:spacing w:after="0" w:line="240" w:lineRule="auto"/>
      </w:pPr>
      <w:r>
        <w:separator/>
      </w:r>
    </w:p>
  </w:footnote>
  <w:footnote w:type="continuationSeparator" w:id="0">
    <w:p w14:paraId="6DE4DE2E" w14:textId="77777777" w:rsidR="00151FD8" w:rsidRDefault="00151FD8" w:rsidP="009A2D37">
      <w:pPr>
        <w:spacing w:after="0" w:line="240" w:lineRule="auto"/>
      </w:pPr>
      <w:r>
        <w:continuationSeparator/>
      </w:r>
    </w:p>
  </w:footnote>
  <w:footnote w:type="continuationNotice" w:id="1">
    <w:p w14:paraId="46251869" w14:textId="77777777" w:rsidR="00151FD8" w:rsidRDefault="00151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3E4E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2B63E55" wp14:editId="32B63E5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32B63E4F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32B63E50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3E53" w14:textId="6F97C1F4" w:rsidR="008820A6" w:rsidRPr="0075408A" w:rsidRDefault="008820A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2B63E57" wp14:editId="32B63E5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2B63E54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F35DC2"/>
    <w:multiLevelType w:val="hybridMultilevel"/>
    <w:tmpl w:val="5630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C59A1"/>
    <w:multiLevelType w:val="hybridMultilevel"/>
    <w:tmpl w:val="836AD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F7838"/>
    <w:multiLevelType w:val="hybridMultilevel"/>
    <w:tmpl w:val="78B67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18"/>
  </w:num>
  <w:num w:numId="13">
    <w:abstractNumId w:val="19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41C5"/>
    <w:rsid w:val="00005661"/>
    <w:rsid w:val="000104F9"/>
    <w:rsid w:val="00010A16"/>
    <w:rsid w:val="0001243F"/>
    <w:rsid w:val="00021EA0"/>
    <w:rsid w:val="00025992"/>
    <w:rsid w:val="00027937"/>
    <w:rsid w:val="00030C9E"/>
    <w:rsid w:val="00031E67"/>
    <w:rsid w:val="00035C4B"/>
    <w:rsid w:val="000408CC"/>
    <w:rsid w:val="00045373"/>
    <w:rsid w:val="00063A2F"/>
    <w:rsid w:val="0006419A"/>
    <w:rsid w:val="000678D3"/>
    <w:rsid w:val="000713DA"/>
    <w:rsid w:val="000837B1"/>
    <w:rsid w:val="00094810"/>
    <w:rsid w:val="00096DA4"/>
    <w:rsid w:val="000A0248"/>
    <w:rsid w:val="000A726A"/>
    <w:rsid w:val="000B1CFD"/>
    <w:rsid w:val="000C0294"/>
    <w:rsid w:val="000C3A7E"/>
    <w:rsid w:val="000C7A1C"/>
    <w:rsid w:val="000D1CFC"/>
    <w:rsid w:val="000D2A8A"/>
    <w:rsid w:val="000D32AC"/>
    <w:rsid w:val="000E20C1"/>
    <w:rsid w:val="000E3B73"/>
    <w:rsid w:val="000E6B26"/>
    <w:rsid w:val="000F6C56"/>
    <w:rsid w:val="000F7FBF"/>
    <w:rsid w:val="00106BE5"/>
    <w:rsid w:val="00110947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402AD"/>
    <w:rsid w:val="001443C4"/>
    <w:rsid w:val="00151FD8"/>
    <w:rsid w:val="001540CE"/>
    <w:rsid w:val="0015717B"/>
    <w:rsid w:val="00157ACA"/>
    <w:rsid w:val="00160427"/>
    <w:rsid w:val="00162953"/>
    <w:rsid w:val="00162D46"/>
    <w:rsid w:val="00172793"/>
    <w:rsid w:val="00180558"/>
    <w:rsid w:val="001811E5"/>
    <w:rsid w:val="00183B34"/>
    <w:rsid w:val="00185F46"/>
    <w:rsid w:val="00187B5D"/>
    <w:rsid w:val="00196C6A"/>
    <w:rsid w:val="00196F91"/>
    <w:rsid w:val="0019715B"/>
    <w:rsid w:val="0019787E"/>
    <w:rsid w:val="001A08FC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51F0"/>
    <w:rsid w:val="001D6398"/>
    <w:rsid w:val="001D6A13"/>
    <w:rsid w:val="001E1F45"/>
    <w:rsid w:val="001E62C1"/>
    <w:rsid w:val="001F0779"/>
    <w:rsid w:val="001F1F15"/>
    <w:rsid w:val="001F3C3E"/>
    <w:rsid w:val="00201C5F"/>
    <w:rsid w:val="0020243A"/>
    <w:rsid w:val="002038A9"/>
    <w:rsid w:val="00204081"/>
    <w:rsid w:val="002131DE"/>
    <w:rsid w:val="0021578E"/>
    <w:rsid w:val="00224DC6"/>
    <w:rsid w:val="00227582"/>
    <w:rsid w:val="002302FD"/>
    <w:rsid w:val="002308BE"/>
    <w:rsid w:val="00233480"/>
    <w:rsid w:val="002407C0"/>
    <w:rsid w:val="002447A1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1D43"/>
    <w:rsid w:val="00292C46"/>
    <w:rsid w:val="002938D6"/>
    <w:rsid w:val="00294B73"/>
    <w:rsid w:val="002A0C18"/>
    <w:rsid w:val="002A219B"/>
    <w:rsid w:val="002A22DB"/>
    <w:rsid w:val="002B161C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302082"/>
    <w:rsid w:val="003030B3"/>
    <w:rsid w:val="00306620"/>
    <w:rsid w:val="003262B9"/>
    <w:rsid w:val="00334A02"/>
    <w:rsid w:val="00335875"/>
    <w:rsid w:val="00335FBE"/>
    <w:rsid w:val="00340546"/>
    <w:rsid w:val="00342B9A"/>
    <w:rsid w:val="00345E58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765AB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E199E"/>
    <w:rsid w:val="004F3C18"/>
    <w:rsid w:val="004F4328"/>
    <w:rsid w:val="005005E4"/>
    <w:rsid w:val="00513689"/>
    <w:rsid w:val="0051375A"/>
    <w:rsid w:val="00515DF1"/>
    <w:rsid w:val="00516208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1B3E"/>
    <w:rsid w:val="0058743D"/>
    <w:rsid w:val="00587BF7"/>
    <w:rsid w:val="00592034"/>
    <w:rsid w:val="0059477B"/>
    <w:rsid w:val="00596884"/>
    <w:rsid w:val="005A14B5"/>
    <w:rsid w:val="005B1B14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060EC"/>
    <w:rsid w:val="00611E3C"/>
    <w:rsid w:val="00616852"/>
    <w:rsid w:val="0062219E"/>
    <w:rsid w:val="006253AA"/>
    <w:rsid w:val="00626023"/>
    <w:rsid w:val="00633150"/>
    <w:rsid w:val="00637A50"/>
    <w:rsid w:val="00641D6D"/>
    <w:rsid w:val="00642D8E"/>
    <w:rsid w:val="0064364E"/>
    <w:rsid w:val="006438F3"/>
    <w:rsid w:val="00647907"/>
    <w:rsid w:val="00651A82"/>
    <w:rsid w:val="006525E9"/>
    <w:rsid w:val="00663A93"/>
    <w:rsid w:val="0066747B"/>
    <w:rsid w:val="006725EC"/>
    <w:rsid w:val="00674ED0"/>
    <w:rsid w:val="006816C9"/>
    <w:rsid w:val="00682650"/>
    <w:rsid w:val="00683609"/>
    <w:rsid w:val="00684851"/>
    <w:rsid w:val="00694309"/>
    <w:rsid w:val="00695285"/>
    <w:rsid w:val="00696FF5"/>
    <w:rsid w:val="006A6BB4"/>
    <w:rsid w:val="006A7BE0"/>
    <w:rsid w:val="006A7FB0"/>
    <w:rsid w:val="006B0F87"/>
    <w:rsid w:val="006C2A9A"/>
    <w:rsid w:val="006C423D"/>
    <w:rsid w:val="006C46EF"/>
    <w:rsid w:val="006C4C67"/>
    <w:rsid w:val="006C5BCD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26EF"/>
    <w:rsid w:val="0073792C"/>
    <w:rsid w:val="00754069"/>
    <w:rsid w:val="00754684"/>
    <w:rsid w:val="00765C18"/>
    <w:rsid w:val="007667DF"/>
    <w:rsid w:val="0077080B"/>
    <w:rsid w:val="007811E9"/>
    <w:rsid w:val="00787070"/>
    <w:rsid w:val="007906FD"/>
    <w:rsid w:val="00796BD1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1606"/>
    <w:rsid w:val="007C74B4"/>
    <w:rsid w:val="007C7D8E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96171"/>
    <w:rsid w:val="008A0F36"/>
    <w:rsid w:val="008A16FB"/>
    <w:rsid w:val="008A5C57"/>
    <w:rsid w:val="008B2543"/>
    <w:rsid w:val="008B4720"/>
    <w:rsid w:val="008B4B6E"/>
    <w:rsid w:val="008D7401"/>
    <w:rsid w:val="008E47D6"/>
    <w:rsid w:val="008E6715"/>
    <w:rsid w:val="008F481F"/>
    <w:rsid w:val="009015AE"/>
    <w:rsid w:val="009029BE"/>
    <w:rsid w:val="00903DF6"/>
    <w:rsid w:val="00920824"/>
    <w:rsid w:val="00921CF6"/>
    <w:rsid w:val="00922E9E"/>
    <w:rsid w:val="009239AC"/>
    <w:rsid w:val="00924EF0"/>
    <w:rsid w:val="00934D7B"/>
    <w:rsid w:val="00943DFE"/>
    <w:rsid w:val="00947180"/>
    <w:rsid w:val="009567BE"/>
    <w:rsid w:val="00956D84"/>
    <w:rsid w:val="00963FF5"/>
    <w:rsid w:val="009676FA"/>
    <w:rsid w:val="009679E0"/>
    <w:rsid w:val="00977632"/>
    <w:rsid w:val="00977DD2"/>
    <w:rsid w:val="00982A8E"/>
    <w:rsid w:val="009853FD"/>
    <w:rsid w:val="00987DB4"/>
    <w:rsid w:val="0099029D"/>
    <w:rsid w:val="00996204"/>
    <w:rsid w:val="009A26CB"/>
    <w:rsid w:val="009A2BC2"/>
    <w:rsid w:val="009A2CD7"/>
    <w:rsid w:val="009A2D37"/>
    <w:rsid w:val="009A7587"/>
    <w:rsid w:val="009B0A69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03980"/>
    <w:rsid w:val="00A11DC1"/>
    <w:rsid w:val="00A1270E"/>
    <w:rsid w:val="00A15342"/>
    <w:rsid w:val="00A213F6"/>
    <w:rsid w:val="00A3007E"/>
    <w:rsid w:val="00A32048"/>
    <w:rsid w:val="00A35A68"/>
    <w:rsid w:val="00A41F06"/>
    <w:rsid w:val="00A50FD4"/>
    <w:rsid w:val="00A52DB4"/>
    <w:rsid w:val="00A618E1"/>
    <w:rsid w:val="00A629B9"/>
    <w:rsid w:val="00A70C20"/>
    <w:rsid w:val="00A74292"/>
    <w:rsid w:val="00A74BAC"/>
    <w:rsid w:val="00A7522A"/>
    <w:rsid w:val="00A776DE"/>
    <w:rsid w:val="00A8029D"/>
    <w:rsid w:val="00A80640"/>
    <w:rsid w:val="00A83194"/>
    <w:rsid w:val="00A87FFD"/>
    <w:rsid w:val="00A96CE5"/>
    <w:rsid w:val="00A97038"/>
    <w:rsid w:val="00A97CB8"/>
    <w:rsid w:val="00AA3C15"/>
    <w:rsid w:val="00AA6330"/>
    <w:rsid w:val="00AC7501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7B05"/>
    <w:rsid w:val="00B41FA6"/>
    <w:rsid w:val="00B52FF5"/>
    <w:rsid w:val="00B53031"/>
    <w:rsid w:val="00B5498B"/>
    <w:rsid w:val="00B56F5B"/>
    <w:rsid w:val="00B57219"/>
    <w:rsid w:val="00B658A3"/>
    <w:rsid w:val="00B65AAD"/>
    <w:rsid w:val="00B72470"/>
    <w:rsid w:val="00B746A8"/>
    <w:rsid w:val="00B7664D"/>
    <w:rsid w:val="00B80989"/>
    <w:rsid w:val="00B9109B"/>
    <w:rsid w:val="00B92319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1850"/>
    <w:rsid w:val="00BD7A8C"/>
    <w:rsid w:val="00BE2126"/>
    <w:rsid w:val="00BE396D"/>
    <w:rsid w:val="00BE3B17"/>
    <w:rsid w:val="00BF51AB"/>
    <w:rsid w:val="00BF716B"/>
    <w:rsid w:val="00BF7233"/>
    <w:rsid w:val="00C02AA2"/>
    <w:rsid w:val="00C0479D"/>
    <w:rsid w:val="00C04C95"/>
    <w:rsid w:val="00C06D36"/>
    <w:rsid w:val="00C10583"/>
    <w:rsid w:val="00C12613"/>
    <w:rsid w:val="00C159A2"/>
    <w:rsid w:val="00C16DEF"/>
    <w:rsid w:val="00C2492F"/>
    <w:rsid w:val="00C310F7"/>
    <w:rsid w:val="00C3744A"/>
    <w:rsid w:val="00C4002A"/>
    <w:rsid w:val="00C46912"/>
    <w:rsid w:val="00C524A7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1AAC"/>
    <w:rsid w:val="00CB27B0"/>
    <w:rsid w:val="00CC25A2"/>
    <w:rsid w:val="00CC3E29"/>
    <w:rsid w:val="00CD6A20"/>
    <w:rsid w:val="00CD7F07"/>
    <w:rsid w:val="00CE04F3"/>
    <w:rsid w:val="00CE12D8"/>
    <w:rsid w:val="00CE4574"/>
    <w:rsid w:val="00CE70E6"/>
    <w:rsid w:val="00CF0BCA"/>
    <w:rsid w:val="00CF299E"/>
    <w:rsid w:val="00CF2E1E"/>
    <w:rsid w:val="00CF5295"/>
    <w:rsid w:val="00D006C5"/>
    <w:rsid w:val="00D02E99"/>
    <w:rsid w:val="00D13357"/>
    <w:rsid w:val="00D13A13"/>
    <w:rsid w:val="00D20305"/>
    <w:rsid w:val="00D2689A"/>
    <w:rsid w:val="00D30D5C"/>
    <w:rsid w:val="00D448ED"/>
    <w:rsid w:val="00D65506"/>
    <w:rsid w:val="00D6639E"/>
    <w:rsid w:val="00D773CF"/>
    <w:rsid w:val="00D83563"/>
    <w:rsid w:val="00D8448F"/>
    <w:rsid w:val="00DA64B6"/>
    <w:rsid w:val="00DB5C9D"/>
    <w:rsid w:val="00DD02E6"/>
    <w:rsid w:val="00DD2CAE"/>
    <w:rsid w:val="00DD6EAB"/>
    <w:rsid w:val="00DE6C7A"/>
    <w:rsid w:val="00DF5D84"/>
    <w:rsid w:val="00DF665B"/>
    <w:rsid w:val="00E0152A"/>
    <w:rsid w:val="00E03394"/>
    <w:rsid w:val="00E039ED"/>
    <w:rsid w:val="00E066E5"/>
    <w:rsid w:val="00E21253"/>
    <w:rsid w:val="00E22F03"/>
    <w:rsid w:val="00E233C1"/>
    <w:rsid w:val="00E51404"/>
    <w:rsid w:val="00E574C9"/>
    <w:rsid w:val="00E610DE"/>
    <w:rsid w:val="00E643EE"/>
    <w:rsid w:val="00E66167"/>
    <w:rsid w:val="00E71F2F"/>
    <w:rsid w:val="00E72005"/>
    <w:rsid w:val="00E74B64"/>
    <w:rsid w:val="00E75864"/>
    <w:rsid w:val="00E77786"/>
    <w:rsid w:val="00E806FB"/>
    <w:rsid w:val="00E84899"/>
    <w:rsid w:val="00E949D2"/>
    <w:rsid w:val="00EB1C2D"/>
    <w:rsid w:val="00EB5470"/>
    <w:rsid w:val="00EC1810"/>
    <w:rsid w:val="00EC3FCC"/>
    <w:rsid w:val="00ED32FF"/>
    <w:rsid w:val="00ED5AED"/>
    <w:rsid w:val="00EF039B"/>
    <w:rsid w:val="00EF4933"/>
    <w:rsid w:val="00EF5044"/>
    <w:rsid w:val="00F01956"/>
    <w:rsid w:val="00F067E8"/>
    <w:rsid w:val="00F116CE"/>
    <w:rsid w:val="00F16F93"/>
    <w:rsid w:val="00F176DE"/>
    <w:rsid w:val="00F21C47"/>
    <w:rsid w:val="00F23FC1"/>
    <w:rsid w:val="00F2408C"/>
    <w:rsid w:val="00F24187"/>
    <w:rsid w:val="00F244E2"/>
    <w:rsid w:val="00F24789"/>
    <w:rsid w:val="00F317D7"/>
    <w:rsid w:val="00F340DE"/>
    <w:rsid w:val="00F43542"/>
    <w:rsid w:val="00F44BAB"/>
    <w:rsid w:val="00F454E2"/>
    <w:rsid w:val="00F527CB"/>
    <w:rsid w:val="00F562AA"/>
    <w:rsid w:val="00F635A9"/>
    <w:rsid w:val="00F66975"/>
    <w:rsid w:val="00F7105A"/>
    <w:rsid w:val="00F7710E"/>
    <w:rsid w:val="00F77676"/>
    <w:rsid w:val="00F77D6F"/>
    <w:rsid w:val="00F8197C"/>
    <w:rsid w:val="00F82B4E"/>
    <w:rsid w:val="00F87559"/>
    <w:rsid w:val="00F929B3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63D20"/>
  <w15:docId w15:val="{EFCBF761-B65B-4710-AA2D-7F38B42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nstituteforapprenticeships.org/media/1918/st0603_prof_econ_l6_cycle11_finalforpublication216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3AMX4D3CU3N3-1347740811-26</_dlc_DocId>
    <_dlc_DocIdUrl xmlns="628b86bc-6029-4e1b-a9dd-f751dff92bc2">
      <Url>https://sharepoint.kent.ac.uk/economics/HDA2/_layouts/15/DocIdRedir.aspx?ID=3AMX4D3CU3N3-1347740811-26</Url>
      <Description>3AMX4D3CU3N3-1347740811-26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4FAD-E735-47C8-8EF4-2418161D8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52C5-5D16-4D12-996C-37581CDF9B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8b86bc-6029-4e1b-a9dd-f751dff92bc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D9939-7FAB-4390-88BF-8B4118C33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82DB9-C000-4F12-9DF1-3F9E1557B3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EF9222-5ED2-42B7-976F-946DF3B7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2019-01-23T17:19:00Z</cp:lastPrinted>
  <dcterms:created xsi:type="dcterms:W3CDTF">2019-08-05T12:25:00Z</dcterms:created>
  <dcterms:modified xsi:type="dcterms:W3CDTF">2019-08-05T12:25:00Z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da555e60-5fe3-4243-b63e-fc4242d0d6e0</vt:lpwstr>
  </property>
</Properties>
</file>