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A14B" w14:textId="77777777" w:rsidR="009A2D37" w:rsidRDefault="000713DA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3F8D8C35" w14:textId="77777777" w:rsidR="00424439" w:rsidRDefault="009B42C6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</w:t>
      </w:r>
      <w:r w:rsidR="00AF1D7D">
        <w:rPr>
          <w:rFonts w:ascii="Arial" w:hAnsi="Arial" w:cs="Arial"/>
        </w:rPr>
        <w:t>with Economic Data on Digital Pl</w:t>
      </w:r>
      <w:r>
        <w:rPr>
          <w:rFonts w:ascii="Arial" w:hAnsi="Arial" w:cs="Arial"/>
        </w:rPr>
        <w:t>atforms</w:t>
      </w:r>
    </w:p>
    <w:p w14:paraId="0F7FDBBB" w14:textId="77777777" w:rsidR="00457775" w:rsidRPr="00F77D6F" w:rsidRDefault="00457775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1D58679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3A6BB28" w14:textId="2554723D" w:rsidR="009A2D37" w:rsidRPr="00302082" w:rsidRDefault="00576831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4EDB97B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E595D6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D977051" w14:textId="77777777" w:rsidR="009A2D37" w:rsidRPr="00302082" w:rsidRDefault="009A2D37" w:rsidP="00850848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850848">
        <w:rPr>
          <w:rFonts w:ascii="Arial" w:hAnsi="Arial" w:cs="Arial"/>
        </w:rPr>
        <w:t>4</w:t>
      </w:r>
      <w:proofErr w:type="gramEnd"/>
    </w:p>
    <w:p w14:paraId="0B632C8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B537D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76516F1" w14:textId="77777777" w:rsidR="009A2D37" w:rsidRPr="005B1B14" w:rsidRDefault="00850848" w:rsidP="00850848">
      <w:pPr>
        <w:pStyle w:val="NormalWeb"/>
        <w:spacing w:before="0" w:beforeAutospacing="0" w:after="120" w:afterAutospacing="0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9A2D37" w:rsidRPr="00850848">
        <w:rPr>
          <w:rFonts w:ascii="Arial" w:hAnsi="Arial" w:cs="Arial"/>
          <w:sz w:val="22"/>
          <w:szCs w:val="22"/>
        </w:rPr>
        <w:t>15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5B1B14">
        <w:rPr>
          <w:rFonts w:ascii="Arial" w:hAnsi="Arial" w:cs="Arial"/>
          <w:sz w:val="22"/>
          <w:szCs w:val="22"/>
        </w:rPr>
        <w:t>(7.5 ECTS)</w:t>
      </w:r>
    </w:p>
    <w:p w14:paraId="14EB90B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3CBC3374" w14:textId="77777777" w:rsidR="00CF43F8" w:rsidRPr="00CF43F8" w:rsidRDefault="009A2D37" w:rsidP="00CF43F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DFB6A24" w14:textId="77777777" w:rsidR="00424439" w:rsidRDefault="005B1B14" w:rsidP="00CF43F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 xml:space="preserve">This module </w:t>
      </w:r>
      <w:proofErr w:type="gramStart"/>
      <w:r w:rsidR="00457775" w:rsidRPr="00457775">
        <w:rPr>
          <w:rFonts w:ascii="Arial" w:hAnsi="Arial" w:cs="Arial"/>
          <w:iCs/>
        </w:rPr>
        <w:t>will be taught</w:t>
      </w:r>
      <w:proofErr w:type="gramEnd"/>
      <w:r w:rsidR="00457775" w:rsidRPr="00457775">
        <w:rPr>
          <w:rFonts w:ascii="Arial" w:hAnsi="Arial" w:cs="Arial"/>
          <w:iCs/>
        </w:rPr>
        <w:t xml:space="preserve"> in the first trimester </w:t>
      </w:r>
      <w:r w:rsidR="002131DE">
        <w:rPr>
          <w:rFonts w:ascii="Arial" w:hAnsi="Arial" w:cs="Arial"/>
          <w:iCs/>
        </w:rPr>
        <w:t xml:space="preserve">of the first </w:t>
      </w:r>
      <w:r w:rsidR="00457775" w:rsidRPr="00457775">
        <w:rPr>
          <w:rFonts w:ascii="Arial" w:hAnsi="Arial" w:cs="Arial"/>
          <w:iCs/>
        </w:rPr>
        <w:t>academ</w:t>
      </w:r>
      <w:r w:rsidR="00CF43F8">
        <w:rPr>
          <w:rFonts w:ascii="Arial" w:hAnsi="Arial" w:cs="Arial"/>
          <w:iCs/>
        </w:rPr>
        <w:t>ic year, September to December.</w:t>
      </w:r>
    </w:p>
    <w:p w14:paraId="5EA9D009" w14:textId="77777777" w:rsidR="00CF43F8" w:rsidRPr="00850848" w:rsidRDefault="00CF43F8" w:rsidP="00CF43F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C8BA9E4" w14:textId="77777777" w:rsidR="00CF43F8" w:rsidRDefault="00CF43F8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6AA6868C" w14:textId="77777777" w:rsidR="00270557" w:rsidRDefault="00270557" w:rsidP="00270557">
      <w:pPr>
        <w:spacing w:line="240" w:lineRule="auto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</w:rPr>
        <w:tab/>
      </w:r>
      <w:r w:rsidRPr="00696559">
        <w:rPr>
          <w:rFonts w:ascii="Arial" w:hAnsi="Arial" w:cs="Arial"/>
          <w:iCs/>
          <w:szCs w:val="20"/>
        </w:rPr>
        <w:t>Co-requisite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11849F40" w14:textId="77777777" w:rsidR="00270557" w:rsidRDefault="00270557" w:rsidP="00576831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0CB5EAC3" w14:textId="77777777" w:rsidR="00270557" w:rsidRDefault="00270557" w:rsidP="00576831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39FBFE5A" w14:textId="77777777" w:rsidR="00270557" w:rsidRDefault="00270557" w:rsidP="00576831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13598F6D" w14:textId="77777777" w:rsidR="00270557" w:rsidRDefault="00270557" w:rsidP="00576831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6DDFFC12" w14:textId="77777777" w:rsidR="00270557" w:rsidRDefault="00270557" w:rsidP="00576831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7C5FDA41" w14:textId="0444FC1C" w:rsidR="003A2816" w:rsidRDefault="003A2816" w:rsidP="00576831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44D63693" w14:textId="77777777" w:rsidR="00270557" w:rsidRDefault="00270557" w:rsidP="00576831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68F87EF1" w14:textId="77777777" w:rsidR="00270557" w:rsidRDefault="00270557" w:rsidP="00576831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pre-requisite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202ABFB7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230992FE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4158E700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0AA2C4D8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21663DC8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6A5CD4AE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06580BCE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AC98339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1FBC140D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0D59F165" w14:textId="102686B3" w:rsidR="00270557" w:rsidRDefault="00576831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Economics </w:t>
      </w:r>
      <w:r w:rsidR="00270557">
        <w:rPr>
          <w:rFonts w:ascii="Arial" w:hAnsi="Arial" w:cs="Arial"/>
        </w:rPr>
        <w:t>Dissertation</w:t>
      </w:r>
    </w:p>
    <w:p w14:paraId="4E8E6BC9" w14:textId="310A48F6" w:rsidR="00270557" w:rsidRDefault="00576831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Economics </w:t>
      </w:r>
      <w:r w:rsidR="00270557">
        <w:rPr>
          <w:rFonts w:ascii="Arial" w:hAnsi="Arial" w:cs="Arial"/>
        </w:rPr>
        <w:t>Technical Assessment</w:t>
      </w:r>
    </w:p>
    <w:p w14:paraId="48C9CB6C" w14:textId="77777777" w:rsidR="00270557" w:rsidRDefault="00270557" w:rsidP="00576831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47D79938" w14:textId="716C99B8" w:rsidR="00511526" w:rsidRPr="00CF43F8" w:rsidRDefault="00511526" w:rsidP="007727B4">
      <w:pPr>
        <w:spacing w:after="120" w:line="240" w:lineRule="auto"/>
        <w:ind w:right="260"/>
        <w:jc w:val="both"/>
        <w:rPr>
          <w:rFonts w:ascii="Arial" w:hAnsi="Arial" w:cs="Arial"/>
        </w:rPr>
      </w:pPr>
    </w:p>
    <w:p w14:paraId="7668578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92457B0" w14:textId="18954057" w:rsidR="009A2D37" w:rsidRPr="00302082" w:rsidRDefault="00457775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024E08">
        <w:rPr>
          <w:rFonts w:ascii="Arial" w:hAnsi="Arial" w:cs="Arial"/>
          <w:iCs/>
        </w:rPr>
        <w:t>(Professional Economist) (Hons)</w:t>
      </w:r>
    </w:p>
    <w:p w14:paraId="1B1991A1" w14:textId="77777777" w:rsidR="00576831" w:rsidRPr="00302082" w:rsidRDefault="00576831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8E79F0F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086303C" w14:textId="77777777" w:rsidR="00CF43F8" w:rsidRDefault="00CF43F8" w:rsidP="00C33D73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8.1</w:t>
      </w:r>
      <w:r>
        <w:rPr>
          <w:rFonts w:ascii="Arial" w:hAnsi="Arial" w:cs="Arial"/>
          <w:color w:val="000000" w:themeColor="text1"/>
        </w:rPr>
        <w:tab/>
      </w:r>
      <w:r w:rsidRPr="00CF43F8">
        <w:rPr>
          <w:rFonts w:ascii="Arial" w:hAnsi="Arial" w:cs="Arial"/>
          <w:color w:val="000000" w:themeColor="text1"/>
        </w:rPr>
        <w:t>Search, identify an</w:t>
      </w:r>
      <w:r>
        <w:rPr>
          <w:rFonts w:ascii="Arial" w:hAnsi="Arial" w:cs="Arial"/>
          <w:color w:val="000000" w:themeColor="text1"/>
        </w:rPr>
        <w:t xml:space="preserve">d access </w:t>
      </w:r>
      <w:r w:rsidR="009978DA">
        <w:rPr>
          <w:rFonts w:ascii="Arial" w:hAnsi="Arial" w:cs="Arial"/>
          <w:color w:val="000000" w:themeColor="text1"/>
        </w:rPr>
        <w:t xml:space="preserve">government and other </w:t>
      </w:r>
      <w:r>
        <w:rPr>
          <w:rFonts w:ascii="Arial" w:hAnsi="Arial" w:cs="Arial"/>
          <w:color w:val="000000" w:themeColor="text1"/>
        </w:rPr>
        <w:t>secondary data sources</w:t>
      </w:r>
    </w:p>
    <w:p w14:paraId="71D29F0D" w14:textId="0E2700C4" w:rsidR="00CF43F8" w:rsidRDefault="00CF43F8" w:rsidP="00C33D73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8.2</w:t>
      </w:r>
      <w:r>
        <w:rPr>
          <w:rFonts w:ascii="Arial" w:hAnsi="Arial" w:cs="Arial"/>
          <w:color w:val="000000" w:themeColor="text1"/>
        </w:rPr>
        <w:tab/>
      </w:r>
      <w:r w:rsidR="00024E08">
        <w:rPr>
          <w:rFonts w:ascii="Arial" w:hAnsi="Arial" w:cs="Arial"/>
          <w:color w:val="000000" w:themeColor="text1"/>
        </w:rPr>
        <w:t>Utilise spreadsheet software</w:t>
      </w:r>
    </w:p>
    <w:p w14:paraId="5D2FDDA2" w14:textId="77777777" w:rsidR="00CF43F8" w:rsidRDefault="00CF43F8" w:rsidP="00C33D73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</w:r>
      <w:r w:rsidRPr="00CF43F8">
        <w:rPr>
          <w:rFonts w:ascii="Arial" w:hAnsi="Arial" w:cs="Arial"/>
          <w:color w:val="000000" w:themeColor="text1"/>
        </w:rPr>
        <w:t xml:space="preserve">Utilise specialist data analysis and reporting tools </w:t>
      </w:r>
      <w:r w:rsidR="009978DA">
        <w:rPr>
          <w:rFonts w:ascii="Arial" w:hAnsi="Arial" w:cs="Arial"/>
          <w:color w:val="000000" w:themeColor="text1"/>
        </w:rPr>
        <w:t>in the context of economic policies</w:t>
      </w:r>
    </w:p>
    <w:p w14:paraId="6F1087F6" w14:textId="77777777" w:rsidR="00CF43F8" w:rsidRDefault="00CF43F8" w:rsidP="00C33D73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8.4</w:t>
      </w:r>
      <w:r>
        <w:rPr>
          <w:rFonts w:ascii="Arial" w:hAnsi="Arial" w:cs="Arial"/>
          <w:color w:val="000000" w:themeColor="text1"/>
        </w:rPr>
        <w:tab/>
      </w:r>
      <w:r w:rsidRPr="00CF43F8">
        <w:rPr>
          <w:rFonts w:ascii="Arial" w:hAnsi="Arial" w:cs="Arial"/>
          <w:color w:val="000000" w:themeColor="text1"/>
        </w:rPr>
        <w:t>Undertake graphical and numerical data analyses</w:t>
      </w:r>
      <w:r w:rsidR="009978DA">
        <w:rPr>
          <w:rFonts w:ascii="Arial" w:hAnsi="Arial" w:cs="Arial"/>
          <w:color w:val="000000" w:themeColor="text1"/>
        </w:rPr>
        <w:t xml:space="preserve"> in the context of economic policies</w:t>
      </w:r>
    </w:p>
    <w:p w14:paraId="575F8D34" w14:textId="77777777" w:rsidR="009978DA" w:rsidRPr="00CF43F8" w:rsidRDefault="00CF43F8" w:rsidP="00C33D73">
      <w:p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8.5</w:t>
      </w:r>
      <w:r>
        <w:rPr>
          <w:rFonts w:ascii="Arial" w:hAnsi="Arial" w:cs="Arial"/>
          <w:color w:val="000000" w:themeColor="text1"/>
        </w:rPr>
        <w:tab/>
      </w:r>
      <w:r w:rsidR="009978DA">
        <w:rPr>
          <w:rFonts w:ascii="Arial" w:hAnsi="Arial" w:cs="Arial"/>
          <w:color w:val="000000" w:themeColor="text1"/>
        </w:rPr>
        <w:t>Run and interpret correlation and two variable regressions</w:t>
      </w:r>
    </w:p>
    <w:p w14:paraId="148195CA" w14:textId="77777777" w:rsidR="009A2D37" w:rsidRPr="00CF43F8" w:rsidRDefault="009A2D37" w:rsidP="00302082">
      <w:pPr>
        <w:spacing w:after="120" w:line="240" w:lineRule="auto"/>
        <w:ind w:left="360" w:right="260"/>
        <w:rPr>
          <w:rFonts w:ascii="Arial" w:hAnsi="Arial" w:cs="Arial"/>
        </w:rPr>
      </w:pPr>
    </w:p>
    <w:p w14:paraId="07D6DC1A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570B4B9" w14:textId="77777777" w:rsidR="009978DA" w:rsidRDefault="00342B9A" w:rsidP="00C33D73">
      <w:pPr>
        <w:spacing w:after="0" w:line="240" w:lineRule="auto"/>
        <w:jc w:val="both"/>
        <w:rPr>
          <w:rFonts w:ascii="Arial" w:hAnsi="Arial" w:cs="Arial"/>
        </w:rPr>
      </w:pPr>
      <w:r w:rsidRPr="00342B9A">
        <w:rPr>
          <w:rFonts w:ascii="Arial" w:hAnsi="Arial" w:cs="Arial"/>
        </w:rPr>
        <w:t>9.1</w:t>
      </w:r>
      <w:r w:rsidRPr="00342B9A">
        <w:rPr>
          <w:rFonts w:ascii="Arial" w:hAnsi="Arial" w:cs="Arial"/>
        </w:rPr>
        <w:tab/>
      </w:r>
      <w:r w:rsidR="009E369F" w:rsidRPr="00A8769D">
        <w:rPr>
          <w:rFonts w:ascii="Arial" w:hAnsi="Arial" w:cs="Arial"/>
        </w:rPr>
        <w:t>Retrieve information from a variety of sources</w:t>
      </w:r>
    </w:p>
    <w:p w14:paraId="0F8E214D" w14:textId="77777777" w:rsidR="009978DA" w:rsidRDefault="00C310F7" w:rsidP="00C33D73">
      <w:pPr>
        <w:spacing w:after="0" w:line="240" w:lineRule="auto"/>
        <w:jc w:val="both"/>
        <w:rPr>
          <w:rFonts w:ascii="Arial" w:hAnsi="Arial" w:cs="Arial"/>
        </w:rPr>
      </w:pPr>
      <w:r w:rsidRPr="009978DA">
        <w:rPr>
          <w:rFonts w:ascii="Arial" w:hAnsi="Arial" w:cs="Arial"/>
        </w:rPr>
        <w:t>9.2</w:t>
      </w:r>
      <w:r w:rsidRPr="009978DA">
        <w:rPr>
          <w:rFonts w:ascii="Arial" w:hAnsi="Arial" w:cs="Arial"/>
        </w:rPr>
        <w:tab/>
      </w:r>
      <w:r w:rsidR="009978DA" w:rsidRPr="009978DA">
        <w:rPr>
          <w:rFonts w:ascii="Arial" w:hAnsi="Arial" w:cs="Arial"/>
        </w:rPr>
        <w:t>Analyse and interpret data to support their understanding of economics</w:t>
      </w:r>
    </w:p>
    <w:p w14:paraId="14D9085E" w14:textId="77777777" w:rsidR="009978DA" w:rsidRDefault="009978DA" w:rsidP="00C33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 xml:space="preserve">Present and write up economic data reports </w:t>
      </w:r>
    </w:p>
    <w:p w14:paraId="10B54280" w14:textId="77777777" w:rsidR="009978DA" w:rsidRDefault="009978DA" w:rsidP="00C33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P</w:t>
      </w:r>
      <w:r w:rsidRPr="006E6007">
        <w:rPr>
          <w:rFonts w:ascii="Arial" w:hAnsi="Arial" w:cs="Arial"/>
        </w:rPr>
        <w:t>lan work and study independently</w:t>
      </w:r>
    </w:p>
    <w:p w14:paraId="427CA98E" w14:textId="77777777" w:rsidR="00C33D73" w:rsidRDefault="00C33D73" w:rsidP="00576831"/>
    <w:p w14:paraId="71334B6D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4091360" w14:textId="3A56B9F7" w:rsidR="009978DA" w:rsidRPr="00076AD5" w:rsidRDefault="009978DA" w:rsidP="009978DA">
      <w:pPr>
        <w:spacing w:line="240" w:lineRule="auto"/>
        <w:ind w:left="567"/>
        <w:rPr>
          <w:rFonts w:ascii="Arial" w:hAnsi="Arial" w:cs="Arial"/>
          <w:bCs/>
          <w:color w:val="000000" w:themeColor="text1"/>
        </w:rPr>
      </w:pPr>
      <w:r w:rsidRPr="00076AD5">
        <w:rPr>
          <w:rFonts w:ascii="Arial" w:hAnsi="Arial" w:cs="Arial"/>
          <w:bCs/>
          <w:color w:val="000000" w:themeColor="text1"/>
        </w:rPr>
        <w:t>The module develop</w:t>
      </w:r>
      <w:r w:rsidR="00511526">
        <w:rPr>
          <w:rFonts w:ascii="Arial" w:hAnsi="Arial" w:cs="Arial"/>
          <w:bCs/>
          <w:color w:val="000000" w:themeColor="text1"/>
        </w:rPr>
        <w:t>s</w:t>
      </w:r>
      <w:r w:rsidRPr="00076AD5">
        <w:rPr>
          <w:rFonts w:ascii="Arial" w:hAnsi="Arial" w:cs="Arial"/>
          <w:bCs/>
          <w:color w:val="000000" w:themeColor="text1"/>
        </w:rPr>
        <w:t xml:space="preserve"> students’ use of information technology and their ability to access </w:t>
      </w:r>
      <w:r w:rsidR="00511526">
        <w:rPr>
          <w:rFonts w:ascii="Arial" w:hAnsi="Arial" w:cs="Arial"/>
          <w:bCs/>
          <w:color w:val="000000" w:themeColor="text1"/>
        </w:rPr>
        <w:t xml:space="preserve">digital economic </w:t>
      </w:r>
      <w:r>
        <w:rPr>
          <w:rFonts w:ascii="Arial" w:hAnsi="Arial" w:cs="Arial"/>
          <w:bCs/>
          <w:color w:val="000000" w:themeColor="text1"/>
        </w:rPr>
        <w:t xml:space="preserve">government </w:t>
      </w:r>
      <w:r w:rsidRPr="00076AD5">
        <w:rPr>
          <w:rFonts w:ascii="Arial" w:hAnsi="Arial" w:cs="Arial"/>
          <w:bCs/>
          <w:color w:val="000000" w:themeColor="text1"/>
        </w:rPr>
        <w:t>and other secondary sources of data. In</w:t>
      </w:r>
      <w:r w:rsidR="00533D31">
        <w:rPr>
          <w:rFonts w:ascii="Arial" w:hAnsi="Arial" w:cs="Arial"/>
          <w:bCs/>
          <w:color w:val="000000" w:themeColor="text1"/>
        </w:rPr>
        <w:t xml:space="preserve"> particular, the module promotes </w:t>
      </w:r>
      <w:r w:rsidRPr="00076AD5">
        <w:rPr>
          <w:rFonts w:ascii="Arial" w:hAnsi="Arial" w:cs="Arial"/>
          <w:bCs/>
          <w:color w:val="000000" w:themeColor="text1"/>
        </w:rPr>
        <w:t>students’ computing</w:t>
      </w:r>
      <w:r w:rsidR="00511526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76AD5">
        <w:rPr>
          <w:rFonts w:ascii="Arial" w:hAnsi="Arial" w:cs="Arial"/>
          <w:bCs/>
          <w:color w:val="000000" w:themeColor="text1"/>
        </w:rPr>
        <w:t xml:space="preserve">quantitative </w:t>
      </w:r>
      <w:r w:rsidR="00511526">
        <w:rPr>
          <w:rFonts w:ascii="Arial" w:hAnsi="Arial" w:cs="Arial"/>
          <w:bCs/>
          <w:color w:val="000000" w:themeColor="text1"/>
        </w:rPr>
        <w:t xml:space="preserve">and reporting </w:t>
      </w:r>
      <w:r w:rsidRPr="00076AD5">
        <w:rPr>
          <w:rFonts w:ascii="Arial" w:hAnsi="Arial" w:cs="Arial"/>
          <w:bCs/>
          <w:color w:val="000000" w:themeColor="text1"/>
        </w:rPr>
        <w:t xml:space="preserve">skills </w:t>
      </w:r>
      <w:r>
        <w:rPr>
          <w:rFonts w:ascii="Arial" w:hAnsi="Arial" w:cs="Arial"/>
          <w:bCs/>
          <w:color w:val="000000" w:themeColor="text1"/>
        </w:rPr>
        <w:t xml:space="preserve">in the context of </w:t>
      </w:r>
      <w:r w:rsidR="00511526">
        <w:rPr>
          <w:rFonts w:ascii="Arial" w:hAnsi="Arial" w:cs="Arial"/>
          <w:bCs/>
          <w:color w:val="000000" w:themeColor="text1"/>
        </w:rPr>
        <w:t xml:space="preserve">their </w:t>
      </w:r>
      <w:r>
        <w:rPr>
          <w:rFonts w:ascii="Arial" w:hAnsi="Arial" w:cs="Arial"/>
          <w:bCs/>
          <w:color w:val="000000" w:themeColor="text1"/>
        </w:rPr>
        <w:t>work task</w:t>
      </w:r>
      <w:r w:rsidR="00533D31">
        <w:rPr>
          <w:rFonts w:ascii="Arial" w:hAnsi="Arial" w:cs="Arial"/>
          <w:bCs/>
          <w:color w:val="000000" w:themeColor="text1"/>
        </w:rPr>
        <w:t>s.</w:t>
      </w:r>
    </w:p>
    <w:p w14:paraId="487CA32D" w14:textId="77777777" w:rsidR="00511526" w:rsidRPr="002D1CC9" w:rsidRDefault="009978DA" w:rsidP="007727B4">
      <w:pPr>
        <w:spacing w:after="120" w:line="240" w:lineRule="auto"/>
        <w:ind w:left="567"/>
        <w:rPr>
          <w:rFonts w:ascii="Arial" w:hAnsi="Arial" w:cs="Arial"/>
          <w:color w:val="000000" w:themeColor="text1"/>
        </w:rPr>
      </w:pPr>
      <w:r w:rsidRPr="002D1CC9">
        <w:rPr>
          <w:rFonts w:ascii="Arial" w:hAnsi="Arial" w:cs="Arial"/>
          <w:color w:val="000000" w:themeColor="text1"/>
        </w:rPr>
        <w:t>The module cover</w:t>
      </w:r>
      <w:r>
        <w:rPr>
          <w:rFonts w:ascii="Arial" w:hAnsi="Arial" w:cs="Arial"/>
          <w:color w:val="000000" w:themeColor="text1"/>
        </w:rPr>
        <w:t>s</w:t>
      </w:r>
      <w:r w:rsidRPr="002D1CC9">
        <w:rPr>
          <w:rFonts w:ascii="Arial" w:hAnsi="Arial" w:cs="Arial"/>
          <w:color w:val="000000" w:themeColor="text1"/>
        </w:rPr>
        <w:t xml:space="preserve"> the following topics:</w:t>
      </w:r>
    </w:p>
    <w:p w14:paraId="529189A9" w14:textId="77777777" w:rsidR="009978DA" w:rsidRPr="00116692" w:rsidRDefault="009978DA" w:rsidP="0011669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16692">
        <w:rPr>
          <w:rFonts w:ascii="Arial" w:hAnsi="Arial" w:cs="Arial"/>
          <w:color w:val="000000" w:themeColor="text1"/>
        </w:rPr>
        <w:t>Data collection and sampling, accessing and downloading electronic data</w:t>
      </w:r>
    </w:p>
    <w:p w14:paraId="3D49EB01" w14:textId="77777777" w:rsidR="00116692" w:rsidRPr="00116692" w:rsidRDefault="00116692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</w:rPr>
        <w:t xml:space="preserve">Basic visualising, cleaning, scrutinizing , interpreting and explaining economic data </w:t>
      </w:r>
    </w:p>
    <w:p w14:paraId="6B4F06AF" w14:textId="77777777" w:rsidR="00116692" w:rsidRPr="00116692" w:rsidRDefault="009978DA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  <w:color w:val="000000" w:themeColor="text1"/>
        </w:rPr>
        <w:t>Descriptive statistics, graphical and numerical techniques for summarising data</w:t>
      </w:r>
    </w:p>
    <w:p w14:paraId="4722872A" w14:textId="5A31C791" w:rsidR="00116692" w:rsidRPr="00116692" w:rsidRDefault="00116692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  <w:color w:val="000000" w:themeColor="text1"/>
        </w:rPr>
        <w:t xml:space="preserve">Use of </w:t>
      </w:r>
      <w:r w:rsidR="00024E08">
        <w:rPr>
          <w:rFonts w:ascii="Arial" w:hAnsi="Arial" w:cs="Arial"/>
          <w:color w:val="000000" w:themeColor="text1"/>
        </w:rPr>
        <w:t>spreadsheet software</w:t>
      </w:r>
    </w:p>
    <w:p w14:paraId="5B2A14A7" w14:textId="77777777" w:rsidR="00116692" w:rsidRDefault="00116692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</w:rPr>
        <w:t>Analysis of data in the context of economic policies</w:t>
      </w:r>
    </w:p>
    <w:p w14:paraId="1690EEEF" w14:textId="77777777" w:rsidR="00C33D73" w:rsidRPr="00116692" w:rsidRDefault="00C33D73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Beginning to check and manipulate large data sets</w:t>
      </w:r>
    </w:p>
    <w:p w14:paraId="769E630B" w14:textId="77777777" w:rsidR="00116692" w:rsidRPr="00116692" w:rsidRDefault="00116692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</w:rPr>
        <w:t>How to present economic data and write a data</w:t>
      </w:r>
      <w:r w:rsidRPr="00116692">
        <w:rPr>
          <w:rFonts w:ascii="Arial" w:hAnsi="Arial" w:cs="Arial"/>
          <w:spacing w:val="-19"/>
        </w:rPr>
        <w:t xml:space="preserve"> </w:t>
      </w:r>
      <w:r w:rsidRPr="00116692">
        <w:rPr>
          <w:rFonts w:ascii="Arial" w:hAnsi="Arial" w:cs="Arial"/>
        </w:rPr>
        <w:t>report</w:t>
      </w:r>
    </w:p>
    <w:p w14:paraId="7AFE4302" w14:textId="77777777" w:rsidR="00116692" w:rsidRPr="00116692" w:rsidRDefault="00116692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</w:rPr>
        <w:t>Two variable correlation, correlation coefficients and two variable regression</w:t>
      </w:r>
    </w:p>
    <w:p w14:paraId="23853CDB" w14:textId="77777777" w:rsidR="00116692" w:rsidRPr="00116692" w:rsidRDefault="009978DA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  <w:color w:val="000000" w:themeColor="text1"/>
        </w:rPr>
        <w:t xml:space="preserve">Index numbers, </w:t>
      </w:r>
      <w:proofErr w:type="spellStart"/>
      <w:r w:rsidRPr="00116692">
        <w:rPr>
          <w:rFonts w:ascii="Arial" w:hAnsi="Arial" w:cs="Arial"/>
          <w:color w:val="000000" w:themeColor="text1"/>
        </w:rPr>
        <w:t>Paasche</w:t>
      </w:r>
      <w:proofErr w:type="spellEnd"/>
      <w:r w:rsidRPr="00116692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116692">
        <w:rPr>
          <w:rFonts w:ascii="Arial" w:hAnsi="Arial" w:cs="Arial"/>
          <w:color w:val="000000" w:themeColor="text1"/>
        </w:rPr>
        <w:t>Laspeyres</w:t>
      </w:r>
      <w:proofErr w:type="spellEnd"/>
      <w:r w:rsidRPr="00116692">
        <w:rPr>
          <w:rFonts w:ascii="Arial" w:hAnsi="Arial" w:cs="Arial"/>
          <w:color w:val="000000" w:themeColor="text1"/>
        </w:rPr>
        <w:t xml:space="preserve"> indices, chained and non-chained indices</w:t>
      </w:r>
    </w:p>
    <w:p w14:paraId="0A32FC57" w14:textId="77777777" w:rsidR="009978DA" w:rsidRPr="00116692" w:rsidRDefault="009978DA" w:rsidP="00116692">
      <w:pPr>
        <w:pStyle w:val="ListParagraph"/>
        <w:widowControl w:val="0"/>
        <w:numPr>
          <w:ilvl w:val="0"/>
          <w:numId w:val="15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116692">
        <w:rPr>
          <w:rFonts w:ascii="Arial" w:hAnsi="Arial" w:cs="Arial"/>
          <w:color w:val="000000" w:themeColor="text1"/>
        </w:rPr>
        <w:t xml:space="preserve">Investment decisions, discounting, NPV, internal rates of return </w:t>
      </w:r>
    </w:p>
    <w:p w14:paraId="26B62AFC" w14:textId="77777777" w:rsidR="009978DA" w:rsidRPr="00302082" w:rsidRDefault="009978DA" w:rsidP="009978D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588F52" w14:textId="77777777" w:rsidR="009978DA" w:rsidRPr="00302082" w:rsidRDefault="009978DA" w:rsidP="009978D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51261463" w14:textId="77777777" w:rsidR="009978DA" w:rsidRPr="00A07FA9" w:rsidRDefault="009978DA" w:rsidP="009978DA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1134" w:hanging="425"/>
        <w:rPr>
          <w:rFonts w:ascii="Arial" w:hAnsi="Arial" w:cs="Arial"/>
          <w:color w:val="000000" w:themeColor="text1"/>
        </w:rPr>
      </w:pPr>
      <w:r w:rsidRPr="00A07FA9">
        <w:rPr>
          <w:rFonts w:ascii="Arial" w:hAnsi="Arial" w:cs="Arial"/>
          <w:color w:val="000000" w:themeColor="text1"/>
        </w:rPr>
        <w:t xml:space="preserve">Davis, G. and B. </w:t>
      </w:r>
      <w:proofErr w:type="spellStart"/>
      <w:r w:rsidRPr="00A07FA9">
        <w:rPr>
          <w:rFonts w:ascii="Arial" w:hAnsi="Arial" w:cs="Arial"/>
          <w:color w:val="000000" w:themeColor="text1"/>
        </w:rPr>
        <w:t>Pecar</w:t>
      </w:r>
      <w:proofErr w:type="spellEnd"/>
      <w:r w:rsidRPr="00A07FA9">
        <w:rPr>
          <w:rFonts w:ascii="Arial" w:hAnsi="Arial" w:cs="Arial"/>
          <w:color w:val="000000" w:themeColor="text1"/>
        </w:rPr>
        <w:t xml:space="preserve"> (2013), Business Statistics using Excel, 2</w:t>
      </w:r>
      <w:r w:rsidRPr="00A07FA9">
        <w:rPr>
          <w:rFonts w:ascii="Arial" w:hAnsi="Arial" w:cs="Arial"/>
          <w:color w:val="000000" w:themeColor="text1"/>
          <w:vertAlign w:val="superscript"/>
        </w:rPr>
        <w:t>nd</w:t>
      </w:r>
      <w:r w:rsidRPr="00A07FA9">
        <w:rPr>
          <w:rFonts w:ascii="Arial" w:hAnsi="Arial" w:cs="Arial"/>
          <w:color w:val="000000" w:themeColor="text1"/>
        </w:rPr>
        <w:t xml:space="preserve"> Edition, OUP.</w:t>
      </w:r>
    </w:p>
    <w:p w14:paraId="69B97F9F" w14:textId="77777777" w:rsidR="009978DA" w:rsidRPr="00A07FA9" w:rsidRDefault="009978DA" w:rsidP="009978DA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1134" w:hanging="425"/>
        <w:rPr>
          <w:rFonts w:ascii="Arial" w:hAnsi="Arial" w:cs="Arial"/>
          <w:color w:val="000000" w:themeColor="text1"/>
        </w:rPr>
      </w:pPr>
      <w:r w:rsidRPr="00A07FA9">
        <w:rPr>
          <w:rFonts w:ascii="Arial" w:hAnsi="Arial" w:cs="Arial"/>
          <w:color w:val="171717"/>
        </w:rPr>
        <w:t>Etheridge, D. (201</w:t>
      </w:r>
      <w:r>
        <w:rPr>
          <w:rFonts w:ascii="Arial" w:hAnsi="Arial" w:cs="Arial"/>
          <w:color w:val="171717"/>
        </w:rPr>
        <w:t>0</w:t>
      </w:r>
      <w:r w:rsidRPr="00A07FA9">
        <w:rPr>
          <w:rFonts w:ascii="Arial" w:hAnsi="Arial" w:cs="Arial"/>
          <w:color w:val="171717"/>
        </w:rPr>
        <w:t xml:space="preserve">), Excel Data Analysis: Your Visual Blueprint for Creating and </w:t>
      </w:r>
      <w:proofErr w:type="spellStart"/>
      <w:r w:rsidRPr="00A07FA9">
        <w:rPr>
          <w:rFonts w:ascii="Arial" w:hAnsi="Arial" w:cs="Arial"/>
          <w:color w:val="171717"/>
        </w:rPr>
        <w:t>Analyzing</w:t>
      </w:r>
      <w:proofErr w:type="spellEnd"/>
      <w:r w:rsidRPr="00A07FA9">
        <w:rPr>
          <w:rFonts w:ascii="Arial" w:hAnsi="Arial" w:cs="Arial"/>
          <w:color w:val="171717"/>
        </w:rPr>
        <w:t xml:space="preserve"> Data, Charts and Pivot Tables (</w:t>
      </w:r>
      <w:proofErr w:type="gramStart"/>
      <w:r w:rsidRPr="00A07FA9">
        <w:rPr>
          <w:rFonts w:ascii="Arial" w:hAnsi="Arial" w:cs="Arial"/>
          <w:color w:val="171717"/>
        </w:rPr>
        <w:t>3rd</w:t>
      </w:r>
      <w:proofErr w:type="gramEnd"/>
      <w:r w:rsidRPr="00A07FA9">
        <w:rPr>
          <w:rFonts w:ascii="Arial" w:hAnsi="Arial" w:cs="Arial"/>
          <w:color w:val="171717"/>
        </w:rPr>
        <w:t xml:space="preserve"> </w:t>
      </w:r>
      <w:proofErr w:type="spellStart"/>
      <w:r w:rsidRPr="00A07FA9">
        <w:rPr>
          <w:rFonts w:ascii="Arial" w:hAnsi="Arial" w:cs="Arial"/>
          <w:color w:val="171717"/>
        </w:rPr>
        <w:t>ed</w:t>
      </w:r>
      <w:proofErr w:type="spellEnd"/>
      <w:r w:rsidRPr="00A07FA9">
        <w:rPr>
          <w:rFonts w:ascii="Arial" w:hAnsi="Arial" w:cs="Arial"/>
          <w:color w:val="171717"/>
        </w:rPr>
        <w:t>), John Wiley.</w:t>
      </w:r>
    </w:p>
    <w:p w14:paraId="3249AAF6" w14:textId="77777777" w:rsidR="009978DA" w:rsidRPr="00A07FA9" w:rsidRDefault="009978DA" w:rsidP="009978DA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1134" w:hanging="425"/>
        <w:rPr>
          <w:rFonts w:ascii="Arial" w:hAnsi="Arial" w:cs="Arial"/>
          <w:color w:val="000000" w:themeColor="text1"/>
        </w:rPr>
      </w:pPr>
      <w:r w:rsidRPr="00A07FA9">
        <w:rPr>
          <w:rFonts w:ascii="Arial" w:hAnsi="Arial" w:cs="Arial"/>
          <w:color w:val="000000" w:themeColor="text1"/>
        </w:rPr>
        <w:t xml:space="preserve">Barrow, M. (2013), Statistics for Economics, </w:t>
      </w:r>
      <w:proofErr w:type="gramStart"/>
      <w:r w:rsidRPr="00A07FA9">
        <w:rPr>
          <w:rFonts w:ascii="Arial" w:hAnsi="Arial" w:cs="Arial"/>
          <w:color w:val="000000" w:themeColor="text1"/>
        </w:rPr>
        <w:t>6</w:t>
      </w:r>
      <w:r w:rsidRPr="00A07FA9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Pr="00A07FA9">
        <w:rPr>
          <w:rFonts w:ascii="Arial" w:hAnsi="Arial" w:cs="Arial"/>
          <w:color w:val="000000" w:themeColor="text1"/>
        </w:rPr>
        <w:t xml:space="preserve"> Edition, Prentice Hall.</w:t>
      </w:r>
    </w:p>
    <w:p w14:paraId="07E7023C" w14:textId="77777777" w:rsidR="00486316" w:rsidRDefault="009978DA" w:rsidP="009978DA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1134" w:hanging="425"/>
        <w:rPr>
          <w:rFonts w:ascii="Arial" w:hAnsi="Arial" w:cs="Arial"/>
          <w:color w:val="000000" w:themeColor="text1"/>
        </w:rPr>
      </w:pPr>
      <w:r w:rsidRPr="00A07FA9">
        <w:rPr>
          <w:rFonts w:ascii="Arial" w:hAnsi="Arial" w:cs="Arial"/>
          <w:color w:val="000000" w:themeColor="text1"/>
        </w:rPr>
        <w:t>Whigham, D. (2007), Business Data Analysis using Excel, OUP.</w:t>
      </w:r>
      <w:r w:rsidR="00116692">
        <w:rPr>
          <w:rFonts w:ascii="Arial" w:hAnsi="Arial" w:cs="Arial"/>
          <w:color w:val="000000" w:themeColor="text1"/>
        </w:rPr>
        <w:t xml:space="preserve"> </w:t>
      </w:r>
    </w:p>
    <w:p w14:paraId="0D0960F1" w14:textId="05706FAC" w:rsidR="00270557" w:rsidRPr="009978DA" w:rsidRDefault="007A2F0D" w:rsidP="009978DA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1134" w:hanging="425"/>
        <w:rPr>
          <w:rFonts w:ascii="Arial" w:hAnsi="Arial" w:cs="Arial"/>
          <w:color w:val="000000" w:themeColor="text1"/>
        </w:rPr>
      </w:pPr>
      <w:hyperlink r:id="rId12" w:tgtFrame="_blank" w:history="1">
        <w:r w:rsidR="00270557" w:rsidRPr="00486316">
          <w:rPr>
            <w:rStyle w:val="Hyperlink"/>
            <w:rFonts w:ascii="Arial" w:hAnsi="Arial" w:cs="Arial"/>
          </w:rPr>
          <w:t>https://www.core-econ.org/doing-economics/</w:t>
        </w:r>
      </w:hyperlink>
    </w:p>
    <w:p w14:paraId="6F075BF8" w14:textId="77777777" w:rsidR="009E369F" w:rsidRPr="00302082" w:rsidRDefault="009E369F" w:rsidP="009E369F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1DAD3CAD" w14:textId="77777777" w:rsidR="009E369F" w:rsidRPr="008820A6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402889F9" w14:textId="77777777" w:rsidR="002131DE" w:rsidRDefault="002131DE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54963331" w14:textId="7D7039EB" w:rsidR="009E369F" w:rsidRPr="000E4603" w:rsidRDefault="00B60878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Directed</w:t>
      </w:r>
      <w:r w:rsidR="007727B4">
        <w:rPr>
          <w:rFonts w:ascii="Arial" w:hAnsi="Arial" w:cs="Arial"/>
          <w:iCs/>
        </w:rPr>
        <w:t xml:space="preserve"> learning time 100</w:t>
      </w:r>
      <w:r w:rsidR="00B35B7D">
        <w:rPr>
          <w:rFonts w:ascii="Arial" w:hAnsi="Arial" w:cs="Arial"/>
          <w:iCs/>
        </w:rPr>
        <w:t xml:space="preserve"> hours</w:t>
      </w:r>
    </w:p>
    <w:p w14:paraId="777C0A89" w14:textId="77777777" w:rsidR="009E369F" w:rsidRDefault="007727B4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time 50</w:t>
      </w:r>
      <w:r w:rsidR="007F15A3">
        <w:rPr>
          <w:rFonts w:ascii="Arial" w:hAnsi="Arial" w:cs="Arial"/>
          <w:iCs/>
        </w:rPr>
        <w:t xml:space="preserve"> hours</w:t>
      </w:r>
    </w:p>
    <w:p w14:paraId="39D7C79B" w14:textId="77777777" w:rsidR="009E369F" w:rsidRPr="000E4603" w:rsidRDefault="007F15A3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="009E369F" w:rsidRPr="000E4603">
        <w:rPr>
          <w:rFonts w:ascii="Arial" w:hAnsi="Arial" w:cs="Arial"/>
          <w:iCs/>
        </w:rPr>
        <w:t>0</w:t>
      </w:r>
    </w:p>
    <w:p w14:paraId="3E201DC3" w14:textId="77777777" w:rsidR="00576831" w:rsidRPr="00302082" w:rsidRDefault="00576831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  <w:bookmarkStart w:id="0" w:name="_GoBack"/>
      <w:bookmarkEnd w:id="0"/>
    </w:p>
    <w:p w14:paraId="65F277D5" w14:textId="77777777" w:rsidR="009E369F" w:rsidRPr="00883204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3271692" w14:textId="77777777" w:rsidR="009E369F" w:rsidRDefault="009E369F" w:rsidP="009E369F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contextualSpacing w:val="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28C0E93" w14:textId="2CBE20E1" w:rsidR="009E369F" w:rsidRDefault="00024E08" w:rsidP="009E369F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1,0</w:t>
      </w:r>
      <w:r w:rsidR="009E277B">
        <w:rPr>
          <w:rFonts w:ascii="Arial" w:hAnsi="Arial" w:cs="Arial"/>
          <w:iCs/>
        </w:rPr>
        <w:t>00</w:t>
      </w:r>
      <w:proofErr w:type="gramEnd"/>
      <w:r w:rsidR="009E277B">
        <w:rPr>
          <w:rFonts w:ascii="Arial" w:hAnsi="Arial" w:cs="Arial"/>
          <w:iCs/>
        </w:rPr>
        <w:t xml:space="preserve"> word Data Report 1 </w:t>
      </w:r>
      <w:r w:rsidR="00267D11">
        <w:rPr>
          <w:rFonts w:ascii="Arial" w:hAnsi="Arial" w:cs="Arial"/>
          <w:iCs/>
        </w:rPr>
        <w:t>(30</w:t>
      </w:r>
      <w:r w:rsidR="009E369F" w:rsidRPr="00EA26EA">
        <w:rPr>
          <w:rFonts w:ascii="Arial" w:hAnsi="Arial" w:cs="Arial"/>
          <w:iCs/>
        </w:rPr>
        <w:t>%)</w:t>
      </w:r>
    </w:p>
    <w:p w14:paraId="04364E39" w14:textId="12A12300" w:rsidR="009E277B" w:rsidRDefault="00D62586" w:rsidP="009E277B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Work </w:t>
      </w:r>
      <w:r w:rsidR="009E277B">
        <w:rPr>
          <w:rFonts w:ascii="Arial" w:hAnsi="Arial" w:cs="Arial"/>
          <w:iCs/>
        </w:rPr>
        <w:t xml:space="preserve">related </w:t>
      </w:r>
      <w:r w:rsidR="00024E08">
        <w:rPr>
          <w:rFonts w:ascii="Arial" w:hAnsi="Arial" w:cs="Arial"/>
          <w:iCs/>
        </w:rPr>
        <w:t>1,0</w:t>
      </w:r>
      <w:r w:rsidR="00B35B7D">
        <w:rPr>
          <w:rFonts w:ascii="Arial" w:hAnsi="Arial" w:cs="Arial"/>
          <w:iCs/>
        </w:rPr>
        <w:t xml:space="preserve">00 word </w:t>
      </w:r>
      <w:r w:rsidR="00267D11">
        <w:rPr>
          <w:rFonts w:ascii="Arial" w:hAnsi="Arial" w:cs="Arial"/>
          <w:iCs/>
        </w:rPr>
        <w:t>Data Report 2 (30</w:t>
      </w:r>
      <w:r w:rsidR="009E277B" w:rsidRPr="00EA26EA">
        <w:rPr>
          <w:rFonts w:ascii="Arial" w:hAnsi="Arial" w:cs="Arial"/>
          <w:iCs/>
        </w:rPr>
        <w:t>%)</w:t>
      </w:r>
    </w:p>
    <w:p w14:paraId="7529D654" w14:textId="4E392AB8" w:rsidR="009E277B" w:rsidRPr="007727B4" w:rsidRDefault="00D62586" w:rsidP="007727B4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</w:t>
      </w:r>
      <w:r w:rsidR="009E277B">
        <w:rPr>
          <w:rFonts w:ascii="Arial" w:hAnsi="Arial" w:cs="Arial"/>
          <w:iCs/>
        </w:rPr>
        <w:t xml:space="preserve"> related </w:t>
      </w:r>
      <w:r w:rsidR="00267D11">
        <w:rPr>
          <w:rFonts w:ascii="Arial" w:hAnsi="Arial" w:cs="Arial"/>
          <w:iCs/>
        </w:rPr>
        <w:t>1</w:t>
      </w:r>
      <w:r w:rsidR="00B35B7D">
        <w:rPr>
          <w:rFonts w:ascii="Arial" w:hAnsi="Arial" w:cs="Arial"/>
          <w:iCs/>
        </w:rPr>
        <w:t xml:space="preserve">,500 word </w:t>
      </w:r>
      <w:r w:rsidR="00267D11">
        <w:rPr>
          <w:rFonts w:ascii="Arial" w:hAnsi="Arial" w:cs="Arial"/>
          <w:iCs/>
        </w:rPr>
        <w:t xml:space="preserve">Data Report </w:t>
      </w:r>
      <w:r>
        <w:rPr>
          <w:rFonts w:ascii="Arial" w:hAnsi="Arial" w:cs="Arial"/>
          <w:iCs/>
        </w:rPr>
        <w:t xml:space="preserve">3 </w:t>
      </w:r>
      <w:r w:rsidR="00267D11">
        <w:rPr>
          <w:rFonts w:ascii="Arial" w:hAnsi="Arial" w:cs="Arial"/>
          <w:iCs/>
        </w:rPr>
        <w:t>(4</w:t>
      </w:r>
      <w:r w:rsidR="009E277B">
        <w:rPr>
          <w:rFonts w:ascii="Arial" w:hAnsi="Arial" w:cs="Arial"/>
          <w:iCs/>
        </w:rPr>
        <w:t>0%)</w:t>
      </w:r>
    </w:p>
    <w:p w14:paraId="46379206" w14:textId="77777777" w:rsidR="009E369F" w:rsidRDefault="009E369F" w:rsidP="00576831">
      <w:pPr>
        <w:spacing w:before="360" w:after="120" w:line="240" w:lineRule="auto"/>
        <w:ind w:left="1124" w:hanging="562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7197B35" w14:textId="77777777" w:rsidR="00270557" w:rsidRDefault="00270557" w:rsidP="00576831">
      <w:pPr>
        <w:spacing w:before="360" w:after="120" w:line="240" w:lineRule="auto"/>
        <w:ind w:left="1124" w:hanging="562"/>
        <w:contextualSpacing/>
        <w:rPr>
          <w:rFonts w:ascii="Arial" w:hAnsi="Arial" w:cs="Arial"/>
          <w:iCs/>
        </w:rPr>
      </w:pPr>
    </w:p>
    <w:p w14:paraId="2F37B1FC" w14:textId="39358F18" w:rsidR="00270557" w:rsidRDefault="00270557" w:rsidP="00576831">
      <w:pPr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     following trimester, in order to achieve the overall pass mark of 40%.</w:t>
      </w:r>
    </w:p>
    <w:p w14:paraId="61E0E23C" w14:textId="77777777" w:rsidR="009E369F" w:rsidRPr="00300A72" w:rsidRDefault="009E369F" w:rsidP="009E369F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iCs/>
        </w:rPr>
      </w:pPr>
      <w:r w:rsidRPr="00300A72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4040" w:type="pct"/>
        <w:tblInd w:w="704" w:type="dxa"/>
        <w:tblLook w:val="04A0" w:firstRow="1" w:lastRow="0" w:firstColumn="1" w:lastColumn="0" w:noHBand="0" w:noVBand="1"/>
      </w:tblPr>
      <w:tblGrid>
        <w:gridCol w:w="2490"/>
        <w:gridCol w:w="669"/>
        <w:gridCol w:w="667"/>
        <w:gridCol w:w="661"/>
        <w:gridCol w:w="662"/>
        <w:gridCol w:w="661"/>
        <w:gridCol w:w="659"/>
        <w:gridCol w:w="661"/>
        <w:gridCol w:w="659"/>
        <w:gridCol w:w="659"/>
      </w:tblGrid>
      <w:tr w:rsidR="00D13F00" w:rsidRPr="00302082" w14:paraId="63CE85D7" w14:textId="77777777" w:rsidTr="00D13F00">
        <w:tc>
          <w:tcPr>
            <w:tcW w:w="1474" w:type="pct"/>
            <w:shd w:val="clear" w:color="auto" w:fill="D9D9D9" w:themeFill="background1" w:themeFillShade="D9"/>
          </w:tcPr>
          <w:p w14:paraId="2DEBB45C" w14:textId="77777777" w:rsidR="00D13F00" w:rsidRPr="00302082" w:rsidRDefault="00D13F00" w:rsidP="008820A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96" w:type="pct"/>
            <w:vAlign w:val="center"/>
          </w:tcPr>
          <w:p w14:paraId="7692CE06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8.1</w:t>
            </w:r>
          </w:p>
        </w:tc>
        <w:tc>
          <w:tcPr>
            <w:tcW w:w="395" w:type="pct"/>
            <w:vAlign w:val="center"/>
          </w:tcPr>
          <w:p w14:paraId="1ADAD33F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8.2</w:t>
            </w:r>
          </w:p>
        </w:tc>
        <w:tc>
          <w:tcPr>
            <w:tcW w:w="391" w:type="pct"/>
            <w:vAlign w:val="center"/>
          </w:tcPr>
          <w:p w14:paraId="4D98985F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8.3</w:t>
            </w:r>
          </w:p>
        </w:tc>
        <w:tc>
          <w:tcPr>
            <w:tcW w:w="392" w:type="pct"/>
            <w:vAlign w:val="center"/>
          </w:tcPr>
          <w:p w14:paraId="0963A912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8.4</w:t>
            </w:r>
          </w:p>
        </w:tc>
        <w:tc>
          <w:tcPr>
            <w:tcW w:w="391" w:type="pct"/>
            <w:vAlign w:val="center"/>
          </w:tcPr>
          <w:p w14:paraId="16A88A66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8.5</w:t>
            </w:r>
          </w:p>
        </w:tc>
        <w:tc>
          <w:tcPr>
            <w:tcW w:w="390" w:type="pct"/>
            <w:vAlign w:val="center"/>
          </w:tcPr>
          <w:p w14:paraId="469EEEB3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9.1</w:t>
            </w:r>
          </w:p>
        </w:tc>
        <w:tc>
          <w:tcPr>
            <w:tcW w:w="391" w:type="pct"/>
            <w:vAlign w:val="center"/>
          </w:tcPr>
          <w:p w14:paraId="787224EA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9.2</w:t>
            </w:r>
          </w:p>
        </w:tc>
        <w:tc>
          <w:tcPr>
            <w:tcW w:w="390" w:type="pct"/>
            <w:vAlign w:val="center"/>
          </w:tcPr>
          <w:p w14:paraId="5C614A31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9.3</w:t>
            </w:r>
          </w:p>
        </w:tc>
        <w:tc>
          <w:tcPr>
            <w:tcW w:w="390" w:type="pct"/>
            <w:vAlign w:val="center"/>
          </w:tcPr>
          <w:p w14:paraId="70FC58EE" w14:textId="77777777" w:rsidR="00D13F00" w:rsidRPr="00380526" w:rsidRDefault="00D13F00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380526">
              <w:rPr>
                <w:rFonts w:ascii="Arial" w:hAnsi="Arial" w:cs="Arial"/>
              </w:rPr>
              <w:t>9.4</w:t>
            </w:r>
          </w:p>
        </w:tc>
      </w:tr>
      <w:tr w:rsidR="00D13F00" w:rsidRPr="00302082" w14:paraId="7EBA89BC" w14:textId="77777777" w:rsidTr="00D13F00">
        <w:tc>
          <w:tcPr>
            <w:tcW w:w="1474" w:type="pct"/>
            <w:shd w:val="clear" w:color="auto" w:fill="D9D9D9" w:themeFill="background1" w:themeFillShade="D9"/>
          </w:tcPr>
          <w:p w14:paraId="163591FA" w14:textId="77777777" w:rsidR="00D13F00" w:rsidRPr="00302082" w:rsidRDefault="00D13F00" w:rsidP="008820A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96" w:type="pct"/>
            <w:vAlign w:val="center"/>
          </w:tcPr>
          <w:p w14:paraId="43B2F3FA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pct"/>
            <w:vAlign w:val="center"/>
          </w:tcPr>
          <w:p w14:paraId="26FBC2E0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1548B229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vAlign w:val="center"/>
          </w:tcPr>
          <w:p w14:paraId="5FDCD5E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109C0907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24CF6CE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310AC174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0F72E02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510098A3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13F00" w:rsidRPr="00302082" w14:paraId="178956CA" w14:textId="77777777" w:rsidTr="00D13F00">
        <w:tc>
          <w:tcPr>
            <w:tcW w:w="1474" w:type="pct"/>
          </w:tcPr>
          <w:p w14:paraId="055C8EDA" w14:textId="77777777" w:rsidR="00D13F00" w:rsidRPr="00745D69" w:rsidRDefault="00D13F00" w:rsidP="008820A6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396" w:type="pct"/>
            <w:vAlign w:val="center"/>
          </w:tcPr>
          <w:p w14:paraId="13FB7098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789E0613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125AA0B6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01748CB7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34C6B0FC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447ED1D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5023FC00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44D548B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158A097B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13F00" w:rsidRPr="00302082" w14:paraId="7326B198" w14:textId="77777777" w:rsidTr="00D13F00">
        <w:tc>
          <w:tcPr>
            <w:tcW w:w="1474" w:type="pct"/>
          </w:tcPr>
          <w:p w14:paraId="176ED7B7" w14:textId="77777777" w:rsidR="00D13F00" w:rsidRPr="00745D69" w:rsidRDefault="00D13F00" w:rsidP="008820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</w:t>
            </w:r>
            <w:r w:rsidRPr="00745D69">
              <w:rPr>
                <w:rFonts w:ascii="Arial" w:hAnsi="Arial" w:cs="Arial"/>
              </w:rPr>
              <w:t>Workshop</w:t>
            </w:r>
          </w:p>
        </w:tc>
        <w:tc>
          <w:tcPr>
            <w:tcW w:w="396" w:type="pct"/>
            <w:vAlign w:val="center"/>
          </w:tcPr>
          <w:p w14:paraId="3A4E69DC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65A3B2E6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0704B247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79899B45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5C240E46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1B1AC058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48DB6EAC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281CB474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6737EE18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13F00" w:rsidRPr="00302082" w14:paraId="1ED91A99" w14:textId="77777777" w:rsidTr="00D13F00">
        <w:tc>
          <w:tcPr>
            <w:tcW w:w="1474" w:type="pct"/>
          </w:tcPr>
          <w:p w14:paraId="5D3A8B58" w14:textId="77777777" w:rsidR="00D13F00" w:rsidRPr="00745D69" w:rsidRDefault="00D13F00" w:rsidP="008820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 Sessions</w:t>
            </w:r>
          </w:p>
        </w:tc>
        <w:tc>
          <w:tcPr>
            <w:tcW w:w="396" w:type="pct"/>
            <w:vAlign w:val="center"/>
          </w:tcPr>
          <w:p w14:paraId="5FE1242B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665ABC24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4E6A6202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153F9375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30D620C8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545BA5A8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5CEB1BB8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5DD90BF8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03517C75" w14:textId="77777777" w:rsidR="00D13F00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13F00" w:rsidRPr="00302082" w14:paraId="75683879" w14:textId="77777777" w:rsidTr="00D13F00">
        <w:tc>
          <w:tcPr>
            <w:tcW w:w="1474" w:type="pct"/>
          </w:tcPr>
          <w:p w14:paraId="1E0A8452" w14:textId="77777777" w:rsidR="00D13F00" w:rsidRPr="00745D69" w:rsidRDefault="00D13F00" w:rsidP="008820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396" w:type="pct"/>
            <w:vAlign w:val="center"/>
          </w:tcPr>
          <w:p w14:paraId="34444DFD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76FD9833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279A9935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2C7D871D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2D7FE3C2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39E540FD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00AB887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207893F3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33D51147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13F00" w:rsidRPr="00302082" w14:paraId="258E6C05" w14:textId="77777777" w:rsidTr="00D13F00">
        <w:tc>
          <w:tcPr>
            <w:tcW w:w="1474" w:type="pct"/>
          </w:tcPr>
          <w:p w14:paraId="2AF85620" w14:textId="77777777" w:rsidR="00D13F00" w:rsidRPr="00745D69" w:rsidRDefault="00D13F00" w:rsidP="008820A6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Private Study</w:t>
            </w:r>
          </w:p>
        </w:tc>
        <w:tc>
          <w:tcPr>
            <w:tcW w:w="396" w:type="pct"/>
            <w:vAlign w:val="center"/>
          </w:tcPr>
          <w:p w14:paraId="1DCABA9A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3781262E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334ED1E8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35E5D84B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4FDE536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6F6CA255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1E24A0C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7709EBF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59C4EB7A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13F00" w:rsidRPr="00302082" w14:paraId="2193688B" w14:textId="77777777" w:rsidTr="00D13F00">
        <w:tc>
          <w:tcPr>
            <w:tcW w:w="1474" w:type="pct"/>
            <w:shd w:val="clear" w:color="auto" w:fill="D9D9D9" w:themeFill="background1" w:themeFillShade="D9"/>
          </w:tcPr>
          <w:p w14:paraId="4E6BF4D7" w14:textId="77777777" w:rsidR="00D13F00" w:rsidRPr="00302082" w:rsidRDefault="00D13F00" w:rsidP="008820A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96" w:type="pct"/>
            <w:vAlign w:val="center"/>
          </w:tcPr>
          <w:p w14:paraId="76146FCE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pct"/>
            <w:vAlign w:val="center"/>
          </w:tcPr>
          <w:p w14:paraId="3AE4688B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13FF27F7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vAlign w:val="center"/>
          </w:tcPr>
          <w:p w14:paraId="412E63D2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</w:tcPr>
          <w:p w14:paraId="464F444E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154DA5A0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141D5B42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72126056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Align w:val="center"/>
          </w:tcPr>
          <w:p w14:paraId="703B7A6C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13F00" w:rsidRPr="00302082" w14:paraId="45454D48" w14:textId="77777777" w:rsidTr="00D13F00">
        <w:tc>
          <w:tcPr>
            <w:tcW w:w="1474" w:type="pct"/>
          </w:tcPr>
          <w:p w14:paraId="65267612" w14:textId="42C1D9D2" w:rsidR="00D13F00" w:rsidRPr="00745D69" w:rsidRDefault="00D13F00" w:rsidP="003E13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Report </w:t>
            </w:r>
          </w:p>
        </w:tc>
        <w:tc>
          <w:tcPr>
            <w:tcW w:w="396" w:type="pct"/>
            <w:vAlign w:val="center"/>
          </w:tcPr>
          <w:p w14:paraId="73802722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1C5DE78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7A9CD0B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2D52AD1B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1C45FC19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7E6086A5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29657A11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620749B9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40CC501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13F00" w:rsidRPr="00302082" w14:paraId="7774D8DA" w14:textId="77777777" w:rsidTr="00D13F00">
        <w:tc>
          <w:tcPr>
            <w:tcW w:w="1474" w:type="pct"/>
          </w:tcPr>
          <w:p w14:paraId="7954FA99" w14:textId="21CE2675" w:rsidR="00D13F00" w:rsidRPr="00745D69" w:rsidRDefault="00D13F00" w:rsidP="00C310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Report </w:t>
            </w:r>
          </w:p>
        </w:tc>
        <w:tc>
          <w:tcPr>
            <w:tcW w:w="396" w:type="pct"/>
            <w:vAlign w:val="center"/>
          </w:tcPr>
          <w:p w14:paraId="210CD3C0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2705436D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0DFAB897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13E4DA1F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2A1768C4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7E5E4C79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444598D7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7F24389F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556A2FA8" w14:textId="77777777" w:rsidR="00D13F00" w:rsidRPr="00302082" w:rsidRDefault="00D13F00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13F00" w:rsidRPr="00302082" w14:paraId="3669174E" w14:textId="77777777" w:rsidTr="00D13F00">
        <w:tc>
          <w:tcPr>
            <w:tcW w:w="1474" w:type="pct"/>
          </w:tcPr>
          <w:p w14:paraId="729B7B36" w14:textId="53D39919" w:rsidR="00D13F00" w:rsidRPr="00745D69" w:rsidRDefault="00D13F00" w:rsidP="003E13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Report</w:t>
            </w:r>
          </w:p>
        </w:tc>
        <w:tc>
          <w:tcPr>
            <w:tcW w:w="396" w:type="pct"/>
            <w:vAlign w:val="center"/>
          </w:tcPr>
          <w:p w14:paraId="25E61906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5" w:type="pct"/>
            <w:vAlign w:val="center"/>
          </w:tcPr>
          <w:p w14:paraId="3F7D24AC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5A294FA4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  <w:vAlign w:val="center"/>
          </w:tcPr>
          <w:p w14:paraId="1E876BA7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</w:tcPr>
          <w:p w14:paraId="69BC7F2F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337C0BAE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1" w:type="pct"/>
            <w:vAlign w:val="center"/>
          </w:tcPr>
          <w:p w14:paraId="3ABCDBB3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34D08CA5" w14:textId="77777777" w:rsidR="00D13F00" w:rsidRPr="00302082" w:rsidRDefault="00D13F00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0" w:type="pct"/>
            <w:vAlign w:val="center"/>
          </w:tcPr>
          <w:p w14:paraId="723BD8E5" w14:textId="7CA60FD2" w:rsidR="00D13F00" w:rsidRPr="00302082" w:rsidRDefault="00024E08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4265B128" w14:textId="77777777" w:rsidR="003E13DE" w:rsidRPr="00CF43F8" w:rsidRDefault="003E13DE" w:rsidP="00D6687D">
      <w:pPr>
        <w:spacing w:after="120" w:line="240" w:lineRule="auto"/>
        <w:ind w:right="260"/>
        <w:rPr>
          <w:rFonts w:ascii="Arial" w:hAnsi="Arial" w:cs="Arial"/>
        </w:rPr>
      </w:pPr>
    </w:p>
    <w:p w14:paraId="74CFD1A3" w14:textId="77777777" w:rsidR="009E369F" w:rsidRPr="00D50113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F3A5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5AC3EFE6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5B6464D4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BBA9B4C" w14:textId="77777777" w:rsidR="009E369F" w:rsidRPr="00D50113" w:rsidRDefault="009E369F" w:rsidP="009E369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F8C1ED1" w14:textId="77777777" w:rsidR="009E369F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9FA4B8" w14:textId="77777777" w:rsidR="009E369F" w:rsidRPr="00302082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2A263EC" w14:textId="7D78A076" w:rsidR="009E369F" w:rsidRPr="000E4603" w:rsidRDefault="009E369F" w:rsidP="00576831">
      <w:pPr>
        <w:ind w:firstLine="567"/>
        <w:rPr>
          <w:rFonts w:ascii="Arial" w:hAnsi="Arial" w:cs="Arial"/>
          <w:b/>
        </w:rPr>
      </w:pPr>
      <w:r w:rsidRPr="000E4603">
        <w:rPr>
          <w:rFonts w:ascii="Arial" w:hAnsi="Arial" w:cs="Arial"/>
        </w:rPr>
        <w:t>Canterbury</w:t>
      </w:r>
      <w:r w:rsidR="00270557">
        <w:rPr>
          <w:rFonts w:ascii="Arial" w:hAnsi="Arial" w:cs="Arial"/>
        </w:rPr>
        <w:t>, employer</w:t>
      </w:r>
      <w:r w:rsidR="00576831">
        <w:rPr>
          <w:rFonts w:ascii="Arial" w:hAnsi="Arial" w:cs="Arial"/>
        </w:rPr>
        <w:t xml:space="preserve"> premises and London/</w:t>
      </w:r>
      <w:r w:rsidR="00270557">
        <w:rPr>
          <w:rFonts w:ascii="Arial" w:hAnsi="Arial" w:cs="Arial"/>
        </w:rPr>
        <w:t>Leeds</w:t>
      </w:r>
      <w:r w:rsidR="00576831">
        <w:rPr>
          <w:rFonts w:ascii="Arial" w:hAnsi="Arial" w:cs="Arial"/>
        </w:rPr>
        <w:t>.</w:t>
      </w:r>
      <w:r w:rsidR="009015AE">
        <w:rPr>
          <w:rFonts w:ascii="Arial" w:hAnsi="Arial" w:cs="Arial"/>
        </w:rPr>
        <w:t xml:space="preserve">  </w:t>
      </w:r>
    </w:p>
    <w:p w14:paraId="1AAA2D5D" w14:textId="77777777" w:rsidR="009E369F" w:rsidRPr="002A7F48" w:rsidRDefault="009E369F" w:rsidP="009E369F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0219012" w14:textId="0228A505" w:rsidR="009E369F" w:rsidRPr="008B0EE4" w:rsidRDefault="009E369F" w:rsidP="009E369F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>The module provides students with the 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="00D62586">
        <w:rPr>
          <w:rFonts w:ascii="Arial" w:hAnsi="Arial" w:cs="Arial"/>
          <w:lang w:val="en"/>
        </w:rPr>
        <w:t xml:space="preserve">data and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 w:rsidR="00024E08">
        <w:rPr>
          <w:rFonts w:ascii="Arial" w:hAnsi="Arial" w:cs="Arial"/>
          <w:lang w:val="en"/>
        </w:rPr>
        <w:t>IT a</w:t>
      </w:r>
      <w:r>
        <w:rPr>
          <w:rFonts w:ascii="Arial" w:hAnsi="Arial" w:cs="Arial"/>
          <w:lang w:val="en"/>
        </w:rPr>
        <w:t xml:space="preserve">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1F4A00E1" w14:textId="77777777" w:rsidR="009E369F" w:rsidRPr="00302082" w:rsidRDefault="009E369F" w:rsidP="009E369F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752ED09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00388123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7FAF792" w14:textId="77777777" w:rsidR="009E369F" w:rsidRPr="00302082" w:rsidRDefault="009E369F" w:rsidP="009E369F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71DD2DF2" w14:textId="77777777" w:rsidTr="008820A6">
        <w:trPr>
          <w:trHeight w:val="317"/>
        </w:trPr>
        <w:tc>
          <w:tcPr>
            <w:tcW w:w="1526" w:type="dxa"/>
          </w:tcPr>
          <w:p w14:paraId="24B4951D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62114A8" w14:textId="77777777" w:rsidR="009E369F" w:rsidRPr="00BA453C" w:rsidRDefault="009E369F" w:rsidP="008820A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FBC466A" w14:textId="77777777" w:rsidR="009E369F" w:rsidRPr="00BA453C" w:rsidRDefault="009E369F" w:rsidP="008820A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A5182C5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5F4D040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0801557B" w14:textId="77777777" w:rsidTr="008820A6">
        <w:trPr>
          <w:trHeight w:val="305"/>
        </w:trPr>
        <w:tc>
          <w:tcPr>
            <w:tcW w:w="1526" w:type="dxa"/>
          </w:tcPr>
          <w:p w14:paraId="076C9415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C8D76C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373701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ADE0E6A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84ACA89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9E369F" w:rsidRPr="00302082" w14:paraId="0D504471" w14:textId="77777777" w:rsidTr="008820A6">
        <w:trPr>
          <w:trHeight w:val="305"/>
        </w:trPr>
        <w:tc>
          <w:tcPr>
            <w:tcW w:w="1526" w:type="dxa"/>
          </w:tcPr>
          <w:p w14:paraId="68B5302E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A44C35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1921B4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2E477EA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49F9244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A7A4CC4" w14:textId="77777777" w:rsidR="009A2D37" w:rsidRPr="00302082" w:rsidRDefault="009A2D37" w:rsidP="00D30D5C">
      <w:pPr>
        <w:spacing w:after="120" w:line="240" w:lineRule="auto"/>
        <w:ind w:right="-330"/>
        <w:rPr>
          <w:rFonts w:ascii="Arial" w:hAnsi="Arial" w:cs="Arial"/>
          <w:b/>
        </w:rPr>
      </w:pPr>
    </w:p>
    <w:sectPr w:rsidR="009A2D37" w:rsidRPr="00302082" w:rsidSect="00B213D2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7B60" w14:textId="77777777" w:rsidR="0032186B" w:rsidRDefault="0032186B" w:rsidP="009A2D37">
      <w:pPr>
        <w:spacing w:after="0" w:line="240" w:lineRule="auto"/>
      </w:pPr>
      <w:r>
        <w:separator/>
      </w:r>
    </w:p>
  </w:endnote>
  <w:endnote w:type="continuationSeparator" w:id="0">
    <w:p w14:paraId="38D79C01" w14:textId="77777777" w:rsidR="0032186B" w:rsidRDefault="0032186B" w:rsidP="009A2D37">
      <w:pPr>
        <w:spacing w:after="0" w:line="240" w:lineRule="auto"/>
      </w:pPr>
      <w:r>
        <w:continuationSeparator/>
      </w:r>
    </w:p>
  </w:endnote>
  <w:endnote w:type="continuationNotice" w:id="1">
    <w:p w14:paraId="11628BA2" w14:textId="77777777" w:rsidR="0032186B" w:rsidRDefault="00321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F2BEB86" w14:textId="72355DD7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EF37" w14:textId="77777777" w:rsidR="0032186B" w:rsidRDefault="0032186B" w:rsidP="009A2D37">
      <w:pPr>
        <w:spacing w:after="0" w:line="240" w:lineRule="auto"/>
      </w:pPr>
      <w:r>
        <w:separator/>
      </w:r>
    </w:p>
  </w:footnote>
  <w:footnote w:type="continuationSeparator" w:id="0">
    <w:p w14:paraId="476DD6E1" w14:textId="77777777" w:rsidR="0032186B" w:rsidRDefault="0032186B" w:rsidP="009A2D37">
      <w:pPr>
        <w:spacing w:after="0" w:line="240" w:lineRule="auto"/>
      </w:pPr>
      <w:r>
        <w:continuationSeparator/>
      </w:r>
    </w:p>
  </w:footnote>
  <w:footnote w:type="continuationNotice" w:id="1">
    <w:p w14:paraId="3D91D2A0" w14:textId="77777777" w:rsidR="0032186B" w:rsidRDefault="00321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949A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5AFD20B" wp14:editId="3519CBD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ADF4EC3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17347E9E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3949" w14:textId="7720EE63" w:rsidR="007A2F0D" w:rsidRPr="007A2F0D" w:rsidRDefault="007A2F0D" w:rsidP="007A2F0D">
    <w:pPr>
      <w:pStyle w:val="Header"/>
      <w:jc w:val="center"/>
      <w:rPr>
        <w:b/>
        <w:sz w:val="28"/>
        <w:szCs w:val="28"/>
      </w:rPr>
    </w:pPr>
    <w:r w:rsidRPr="007A2F0D">
      <w:rPr>
        <w:b/>
        <w:sz w:val="28"/>
        <w:szCs w:val="28"/>
      </w:rPr>
      <w:t>MODULE SPECIFICATION</w:t>
    </w:r>
  </w:p>
  <w:p w14:paraId="63C6B361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869"/>
    <w:multiLevelType w:val="hybridMultilevel"/>
    <w:tmpl w:val="58DE9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370F8"/>
    <w:multiLevelType w:val="hybridMultilevel"/>
    <w:tmpl w:val="35CE678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6956BC"/>
    <w:multiLevelType w:val="hybridMultilevel"/>
    <w:tmpl w:val="4B14917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</w:rPr>
    </w:lvl>
    <w:lvl w:ilvl="1" w:tplc="0A5CDDF6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E842EBA8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1762910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D4507FA0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9506B25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5A0F5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86E67F2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ECC1B8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2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4E08"/>
    <w:rsid w:val="00025992"/>
    <w:rsid w:val="00027937"/>
    <w:rsid w:val="00030C9E"/>
    <w:rsid w:val="00031E67"/>
    <w:rsid w:val="000408CC"/>
    <w:rsid w:val="00045373"/>
    <w:rsid w:val="00062A37"/>
    <w:rsid w:val="00063A2F"/>
    <w:rsid w:val="0006573A"/>
    <w:rsid w:val="000678D3"/>
    <w:rsid w:val="000713DA"/>
    <w:rsid w:val="00094810"/>
    <w:rsid w:val="00096DA4"/>
    <w:rsid w:val="000A0248"/>
    <w:rsid w:val="000A726A"/>
    <w:rsid w:val="000B32EA"/>
    <w:rsid w:val="000C0294"/>
    <w:rsid w:val="000C3A7E"/>
    <w:rsid w:val="000C7A1C"/>
    <w:rsid w:val="000D2A8A"/>
    <w:rsid w:val="000D32AC"/>
    <w:rsid w:val="000E1D7D"/>
    <w:rsid w:val="000E20C1"/>
    <w:rsid w:val="000E3B73"/>
    <w:rsid w:val="000F6C56"/>
    <w:rsid w:val="000F7FBF"/>
    <w:rsid w:val="00106BE5"/>
    <w:rsid w:val="00110947"/>
    <w:rsid w:val="00111906"/>
    <w:rsid w:val="00111CB3"/>
    <w:rsid w:val="001154FD"/>
    <w:rsid w:val="00116692"/>
    <w:rsid w:val="00117577"/>
    <w:rsid w:val="00117793"/>
    <w:rsid w:val="001206E4"/>
    <w:rsid w:val="001208A3"/>
    <w:rsid w:val="001214D3"/>
    <w:rsid w:val="00121BFC"/>
    <w:rsid w:val="001402AD"/>
    <w:rsid w:val="00152DCE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31DE"/>
    <w:rsid w:val="0021578E"/>
    <w:rsid w:val="00224DC6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67D11"/>
    <w:rsid w:val="00270557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6920"/>
    <w:rsid w:val="002E71C0"/>
    <w:rsid w:val="002F05F4"/>
    <w:rsid w:val="002F0CE4"/>
    <w:rsid w:val="002F23EF"/>
    <w:rsid w:val="002F2626"/>
    <w:rsid w:val="00300A72"/>
    <w:rsid w:val="00302082"/>
    <w:rsid w:val="00306620"/>
    <w:rsid w:val="0032186B"/>
    <w:rsid w:val="003262B9"/>
    <w:rsid w:val="003316CD"/>
    <w:rsid w:val="00334A02"/>
    <w:rsid w:val="00335875"/>
    <w:rsid w:val="00335FBE"/>
    <w:rsid w:val="00342B9A"/>
    <w:rsid w:val="00351D4F"/>
    <w:rsid w:val="00352D8E"/>
    <w:rsid w:val="00356B68"/>
    <w:rsid w:val="0035702D"/>
    <w:rsid w:val="003604D4"/>
    <w:rsid w:val="003604FA"/>
    <w:rsid w:val="003627B0"/>
    <w:rsid w:val="00374DF6"/>
    <w:rsid w:val="003759B0"/>
    <w:rsid w:val="00375F84"/>
    <w:rsid w:val="00376E34"/>
    <w:rsid w:val="003804E7"/>
    <w:rsid w:val="00380526"/>
    <w:rsid w:val="00385022"/>
    <w:rsid w:val="003934D2"/>
    <w:rsid w:val="003973A1"/>
    <w:rsid w:val="003A2816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3AA1"/>
    <w:rsid w:val="003D4A1C"/>
    <w:rsid w:val="003D5935"/>
    <w:rsid w:val="003D7AA0"/>
    <w:rsid w:val="003E13DE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71C6C"/>
    <w:rsid w:val="00472023"/>
    <w:rsid w:val="00486316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1526"/>
    <w:rsid w:val="00513689"/>
    <w:rsid w:val="0051375A"/>
    <w:rsid w:val="00516208"/>
    <w:rsid w:val="00521097"/>
    <w:rsid w:val="0053059E"/>
    <w:rsid w:val="00532F6F"/>
    <w:rsid w:val="00533663"/>
    <w:rsid w:val="00533D31"/>
    <w:rsid w:val="005460C2"/>
    <w:rsid w:val="005526FB"/>
    <w:rsid w:val="0055280A"/>
    <w:rsid w:val="005548E1"/>
    <w:rsid w:val="0055585D"/>
    <w:rsid w:val="0056127B"/>
    <w:rsid w:val="00561D26"/>
    <w:rsid w:val="00563F22"/>
    <w:rsid w:val="00564738"/>
    <w:rsid w:val="00567EC9"/>
    <w:rsid w:val="00571630"/>
    <w:rsid w:val="00571F4E"/>
    <w:rsid w:val="005759F4"/>
    <w:rsid w:val="00576831"/>
    <w:rsid w:val="005779D1"/>
    <w:rsid w:val="0058041A"/>
    <w:rsid w:val="0058743D"/>
    <w:rsid w:val="00587BF7"/>
    <w:rsid w:val="00592034"/>
    <w:rsid w:val="0059477B"/>
    <w:rsid w:val="00596884"/>
    <w:rsid w:val="005A14B5"/>
    <w:rsid w:val="005B1B14"/>
    <w:rsid w:val="005B5A98"/>
    <w:rsid w:val="005C1A4F"/>
    <w:rsid w:val="005C26AA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4F88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57D3"/>
    <w:rsid w:val="00696FF5"/>
    <w:rsid w:val="006A6BB4"/>
    <w:rsid w:val="006A7FB0"/>
    <w:rsid w:val="006B0F87"/>
    <w:rsid w:val="006C2A9A"/>
    <w:rsid w:val="006C423D"/>
    <w:rsid w:val="006C46EF"/>
    <w:rsid w:val="006C4C67"/>
    <w:rsid w:val="006D13C0"/>
    <w:rsid w:val="006D1889"/>
    <w:rsid w:val="006D41AB"/>
    <w:rsid w:val="006D444F"/>
    <w:rsid w:val="006D7934"/>
    <w:rsid w:val="006E4FEA"/>
    <w:rsid w:val="006F1700"/>
    <w:rsid w:val="006F1A15"/>
    <w:rsid w:val="006F3F8B"/>
    <w:rsid w:val="00700488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792C"/>
    <w:rsid w:val="00754069"/>
    <w:rsid w:val="007667DF"/>
    <w:rsid w:val="0077080B"/>
    <w:rsid w:val="007727B4"/>
    <w:rsid w:val="00787070"/>
    <w:rsid w:val="007906FD"/>
    <w:rsid w:val="00797197"/>
    <w:rsid w:val="007972A7"/>
    <w:rsid w:val="007A2BA2"/>
    <w:rsid w:val="007A2F0D"/>
    <w:rsid w:val="007A6245"/>
    <w:rsid w:val="007B1DB2"/>
    <w:rsid w:val="007B375B"/>
    <w:rsid w:val="007B412A"/>
    <w:rsid w:val="007B596C"/>
    <w:rsid w:val="007B635E"/>
    <w:rsid w:val="007B7724"/>
    <w:rsid w:val="007B7CDC"/>
    <w:rsid w:val="007C1034"/>
    <w:rsid w:val="007C17C2"/>
    <w:rsid w:val="007C5EAD"/>
    <w:rsid w:val="007C74B4"/>
    <w:rsid w:val="007C7D8E"/>
    <w:rsid w:val="007E3412"/>
    <w:rsid w:val="007E76C7"/>
    <w:rsid w:val="007F10D0"/>
    <w:rsid w:val="007F15A3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B2543"/>
    <w:rsid w:val="008B4B6E"/>
    <w:rsid w:val="008D7401"/>
    <w:rsid w:val="008F1F00"/>
    <w:rsid w:val="009015AE"/>
    <w:rsid w:val="009029BE"/>
    <w:rsid w:val="00903DF6"/>
    <w:rsid w:val="00921CF6"/>
    <w:rsid w:val="00922E9E"/>
    <w:rsid w:val="00924EF0"/>
    <w:rsid w:val="00934D7B"/>
    <w:rsid w:val="00947180"/>
    <w:rsid w:val="009567BE"/>
    <w:rsid w:val="00963FF5"/>
    <w:rsid w:val="009676FA"/>
    <w:rsid w:val="009679E0"/>
    <w:rsid w:val="00977632"/>
    <w:rsid w:val="00977DD2"/>
    <w:rsid w:val="00982A8E"/>
    <w:rsid w:val="00987DB4"/>
    <w:rsid w:val="0099029D"/>
    <w:rsid w:val="00996204"/>
    <w:rsid w:val="009978DA"/>
    <w:rsid w:val="009A26CB"/>
    <w:rsid w:val="009A2BC2"/>
    <w:rsid w:val="009A2CD7"/>
    <w:rsid w:val="009A2D37"/>
    <w:rsid w:val="009A7587"/>
    <w:rsid w:val="009B0A69"/>
    <w:rsid w:val="009B35C3"/>
    <w:rsid w:val="009B42C6"/>
    <w:rsid w:val="009C2474"/>
    <w:rsid w:val="009C7082"/>
    <w:rsid w:val="009D0006"/>
    <w:rsid w:val="009D068C"/>
    <w:rsid w:val="009D2A43"/>
    <w:rsid w:val="009E277B"/>
    <w:rsid w:val="009E369F"/>
    <w:rsid w:val="009F3A2A"/>
    <w:rsid w:val="009F6E5F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1D7D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5B7D"/>
    <w:rsid w:val="00B37B05"/>
    <w:rsid w:val="00B52FF5"/>
    <w:rsid w:val="00B5498B"/>
    <w:rsid w:val="00B57219"/>
    <w:rsid w:val="00B60878"/>
    <w:rsid w:val="00B64571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59A2"/>
    <w:rsid w:val="00C16DEF"/>
    <w:rsid w:val="00C2492F"/>
    <w:rsid w:val="00C310F7"/>
    <w:rsid w:val="00C33D73"/>
    <w:rsid w:val="00C3744A"/>
    <w:rsid w:val="00C4002A"/>
    <w:rsid w:val="00C46912"/>
    <w:rsid w:val="00C612A8"/>
    <w:rsid w:val="00C618D2"/>
    <w:rsid w:val="00C65ECD"/>
    <w:rsid w:val="00C66573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7CBA"/>
    <w:rsid w:val="00CC25A2"/>
    <w:rsid w:val="00CD6A20"/>
    <w:rsid w:val="00CD7F07"/>
    <w:rsid w:val="00CE04F3"/>
    <w:rsid w:val="00CE12D8"/>
    <w:rsid w:val="00CE4574"/>
    <w:rsid w:val="00CE6307"/>
    <w:rsid w:val="00CE70E6"/>
    <w:rsid w:val="00CF0BCA"/>
    <w:rsid w:val="00CF2E1E"/>
    <w:rsid w:val="00CF43F8"/>
    <w:rsid w:val="00D02E99"/>
    <w:rsid w:val="00D13357"/>
    <w:rsid w:val="00D13A13"/>
    <w:rsid w:val="00D13F00"/>
    <w:rsid w:val="00D2689A"/>
    <w:rsid w:val="00D30D5C"/>
    <w:rsid w:val="00D448ED"/>
    <w:rsid w:val="00D62586"/>
    <w:rsid w:val="00D65506"/>
    <w:rsid w:val="00D6639E"/>
    <w:rsid w:val="00D6687D"/>
    <w:rsid w:val="00D773CF"/>
    <w:rsid w:val="00D83563"/>
    <w:rsid w:val="00D8448F"/>
    <w:rsid w:val="00DA64B6"/>
    <w:rsid w:val="00DB5C9D"/>
    <w:rsid w:val="00DD02E6"/>
    <w:rsid w:val="00DE6C7A"/>
    <w:rsid w:val="00DF5D84"/>
    <w:rsid w:val="00DF665B"/>
    <w:rsid w:val="00E0152A"/>
    <w:rsid w:val="00E03394"/>
    <w:rsid w:val="00E066E5"/>
    <w:rsid w:val="00E22C1C"/>
    <w:rsid w:val="00E22F03"/>
    <w:rsid w:val="00E233C1"/>
    <w:rsid w:val="00E469FD"/>
    <w:rsid w:val="00E51404"/>
    <w:rsid w:val="00E574C9"/>
    <w:rsid w:val="00E610DE"/>
    <w:rsid w:val="00E66167"/>
    <w:rsid w:val="00E71F2F"/>
    <w:rsid w:val="00E77786"/>
    <w:rsid w:val="00E806FB"/>
    <w:rsid w:val="00E84899"/>
    <w:rsid w:val="00EB1C2D"/>
    <w:rsid w:val="00EC1810"/>
    <w:rsid w:val="00EC3FCC"/>
    <w:rsid w:val="00ED32FF"/>
    <w:rsid w:val="00ED5AED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ED634"/>
  <w15:docId w15:val="{F03573C7-A51C-43FB-90DC-C8A76449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116692"/>
    <w:pPr>
      <w:widowControl w:val="0"/>
      <w:autoSpaceDE w:val="0"/>
      <w:autoSpaceDN w:val="0"/>
      <w:spacing w:before="1" w:after="0" w:line="240" w:lineRule="auto"/>
      <w:ind w:left="460" w:hanging="36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669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re-econ.org/doing-economic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D"/>
    <w:rsid w:val="0092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138A241EB435595C231145079A41F">
    <w:name w:val="F7D138A241EB435595C231145079A41F"/>
    <w:rsid w:val="00920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3AMX4D3CU3N3-1347740811-2</_dlc_DocId>
    <_dlc_DocIdUrl xmlns="628b86bc-6029-4e1b-a9dd-f751dff92bc2">
      <Url>https://sharepoint.kent.ac.uk/economics/HDA2/_layouts/15/DocIdRedir.aspx?ID=3AMX4D3CU3N3-1347740811-2</Url>
      <Description>3AMX4D3CU3N3-1347740811-2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0A8F-5F02-4C95-825B-0498CD8DB2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EBD895-A533-4905-9854-D2887BCB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33EF3-D131-4A46-BCA2-35DFFF728BD5}">
  <ds:schemaRefs>
    <ds:schemaRef ds:uri="http://purl.org/dc/terms/"/>
    <ds:schemaRef ds:uri="http://schemas.openxmlformats.org/package/2006/metadata/core-properties"/>
    <ds:schemaRef ds:uri="http://purl.org/dc/dcmitype/"/>
    <ds:schemaRef ds:uri="628b86bc-6029-4e1b-a9dd-f751dff92bc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0283F5-F776-4A1A-89FA-3E85D2EE72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1E21C4-BA26-4CA3-A58B-D9CB7C5D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2019-08-02T11:59:00Z</dcterms:created>
  <dcterms:modified xsi:type="dcterms:W3CDTF">2019-08-02T12:00:00Z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94f147eb-e5c2-40b6-aac8-ac6bcd4cf852</vt:lpwstr>
  </property>
</Properties>
</file>