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7AAA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2B859DD" w14:textId="17D3AC26" w:rsidR="00A76C12" w:rsidRPr="00A76C12" w:rsidRDefault="006843AB" w:rsidP="00A76C12">
      <w:pPr>
        <w:spacing w:after="120" w:line="240" w:lineRule="auto"/>
        <w:ind w:right="260" w:firstLine="567"/>
        <w:jc w:val="both"/>
        <w:rPr>
          <w:rFonts w:ascii="Arial" w:hAnsi="Arial" w:cs="Arial"/>
          <w:iCs/>
          <w:color w:val="000000" w:themeColor="text1"/>
        </w:rPr>
      </w:pPr>
      <w:r>
        <w:rPr>
          <w:rFonts w:ascii="Arial" w:hAnsi="Arial" w:cs="Arial"/>
          <w:color w:val="000000" w:themeColor="text1"/>
        </w:rPr>
        <w:t>BIOS6500 (</w:t>
      </w:r>
      <w:r w:rsidR="00A76C12" w:rsidRPr="00A76C12">
        <w:rPr>
          <w:rFonts w:ascii="Arial" w:hAnsi="Arial" w:cs="Arial"/>
          <w:color w:val="000000" w:themeColor="text1"/>
        </w:rPr>
        <w:t>BI</w:t>
      </w:r>
      <w:r w:rsidRPr="006843AB">
        <w:rPr>
          <w:rFonts w:ascii="Arial" w:hAnsi="Arial" w:cs="Arial"/>
          <w:color w:val="000000" w:themeColor="text1"/>
        </w:rPr>
        <w:t>650</w:t>
      </w:r>
      <w:r>
        <w:rPr>
          <w:rFonts w:ascii="Arial" w:hAnsi="Arial" w:cs="Arial"/>
          <w:color w:val="000000" w:themeColor="text1"/>
        </w:rPr>
        <w:t>)</w:t>
      </w:r>
      <w:r w:rsidRPr="006843AB">
        <w:rPr>
          <w:rFonts w:ascii="Arial" w:hAnsi="Arial" w:cs="Arial"/>
          <w:color w:val="000000" w:themeColor="text1"/>
        </w:rPr>
        <w:t xml:space="preserve"> </w:t>
      </w:r>
      <w:r w:rsidR="00A76C12" w:rsidRPr="00A76C12">
        <w:rPr>
          <w:rFonts w:ascii="Arial" w:hAnsi="Arial" w:cs="Arial"/>
          <w:color w:val="000000" w:themeColor="text1"/>
        </w:rPr>
        <w:t xml:space="preserve">Advances in </w:t>
      </w:r>
      <w:r>
        <w:rPr>
          <w:rFonts w:ascii="Arial" w:hAnsi="Arial" w:cs="Arial"/>
          <w:color w:val="000000" w:themeColor="text1"/>
        </w:rPr>
        <w:t>E</w:t>
      </w:r>
      <w:r w:rsidR="00A76C12" w:rsidRPr="00A76C12">
        <w:rPr>
          <w:rFonts w:ascii="Arial" w:hAnsi="Arial" w:cs="Arial"/>
          <w:color w:val="000000" w:themeColor="text1"/>
        </w:rPr>
        <w:t xml:space="preserve">ukaryotic </w:t>
      </w:r>
      <w:r>
        <w:rPr>
          <w:rFonts w:ascii="Arial" w:hAnsi="Arial" w:cs="Arial"/>
          <w:color w:val="000000" w:themeColor="text1"/>
        </w:rPr>
        <w:t>Diversity and E</w:t>
      </w:r>
      <w:r w:rsidR="00A76C12" w:rsidRPr="00A76C12">
        <w:rPr>
          <w:rFonts w:ascii="Arial" w:hAnsi="Arial" w:cs="Arial"/>
          <w:color w:val="000000" w:themeColor="text1"/>
        </w:rPr>
        <w:t>volution</w:t>
      </w:r>
    </w:p>
    <w:p w14:paraId="5039F3B3" w14:textId="77777777" w:rsidR="009A2D37" w:rsidRPr="00A76C12" w:rsidRDefault="009A2D37" w:rsidP="00AE6CD0">
      <w:pPr>
        <w:spacing w:after="120" w:line="240" w:lineRule="auto"/>
        <w:ind w:left="567" w:right="260" w:hanging="567"/>
        <w:jc w:val="both"/>
        <w:rPr>
          <w:rFonts w:ascii="Arial" w:hAnsi="Arial" w:cs="Arial"/>
          <w:b/>
        </w:rPr>
      </w:pPr>
      <w:bookmarkStart w:id="0" w:name="_GoBack"/>
      <w:bookmarkEnd w:id="0"/>
    </w:p>
    <w:p w14:paraId="5A470B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C2E3A9B" w14:textId="77777777" w:rsidR="00A76C12" w:rsidRPr="00A76C12" w:rsidRDefault="00A76C12" w:rsidP="00A76C12">
      <w:pPr>
        <w:spacing w:after="120" w:line="240" w:lineRule="auto"/>
        <w:ind w:right="260" w:firstLine="567"/>
        <w:rPr>
          <w:rFonts w:ascii="Arial" w:hAnsi="Arial" w:cs="Arial"/>
          <w:iCs/>
          <w:color w:val="000000" w:themeColor="text1"/>
        </w:rPr>
      </w:pPr>
      <w:r w:rsidRPr="00A76C12">
        <w:rPr>
          <w:rFonts w:ascii="Arial" w:hAnsi="Arial" w:cs="Arial"/>
          <w:iCs/>
          <w:color w:val="000000" w:themeColor="text1"/>
        </w:rPr>
        <w:t>School of Biosciences</w:t>
      </w:r>
    </w:p>
    <w:p w14:paraId="72959452" w14:textId="77777777" w:rsidR="009A2D37" w:rsidRPr="0036174D" w:rsidRDefault="009A2D37" w:rsidP="00AE6CD0">
      <w:pPr>
        <w:spacing w:after="120" w:line="240" w:lineRule="auto"/>
        <w:ind w:left="567" w:right="260" w:hanging="567"/>
        <w:rPr>
          <w:rFonts w:ascii="Arial" w:hAnsi="Arial" w:cs="Arial"/>
          <w:iCs/>
        </w:rPr>
      </w:pPr>
    </w:p>
    <w:p w14:paraId="6F680B8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58EBF5E" w14:textId="088A8A7D" w:rsidR="009A2D37" w:rsidRDefault="00A76C12" w:rsidP="00A76C12">
      <w:pPr>
        <w:spacing w:after="120" w:line="240" w:lineRule="auto"/>
        <w:ind w:left="1134" w:right="260" w:hanging="567"/>
        <w:rPr>
          <w:rFonts w:ascii="Arial" w:hAnsi="Arial" w:cs="Arial"/>
          <w:iCs/>
        </w:rPr>
      </w:pPr>
      <w:r>
        <w:rPr>
          <w:rFonts w:ascii="Arial" w:hAnsi="Arial" w:cs="Arial"/>
          <w:iCs/>
        </w:rPr>
        <w:t>Level 6</w:t>
      </w:r>
    </w:p>
    <w:p w14:paraId="0BE26D5F" w14:textId="77777777" w:rsidR="00A76C12" w:rsidRPr="0036174D" w:rsidRDefault="00A76C12" w:rsidP="00A76C12">
      <w:pPr>
        <w:spacing w:after="120" w:line="240" w:lineRule="auto"/>
        <w:ind w:left="1134" w:right="260" w:hanging="567"/>
        <w:rPr>
          <w:rFonts w:ascii="Arial" w:hAnsi="Arial" w:cs="Arial"/>
          <w:iCs/>
        </w:rPr>
      </w:pPr>
    </w:p>
    <w:p w14:paraId="505028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59C1E3" w14:textId="77777777" w:rsidR="00A76C12" w:rsidRPr="00EA55B1" w:rsidRDefault="00A76C12" w:rsidP="00A76C12">
      <w:pPr>
        <w:pStyle w:val="NormalWeb"/>
        <w:spacing w:before="0" w:beforeAutospacing="0" w:after="120" w:afterAutospacing="0"/>
        <w:ind w:left="502" w:right="260"/>
        <w:rPr>
          <w:rFonts w:ascii="Arial" w:hAnsi="Arial" w:cs="Arial"/>
          <w:color w:val="000000" w:themeColor="text1"/>
          <w:sz w:val="22"/>
          <w:szCs w:val="22"/>
        </w:rPr>
      </w:pPr>
      <w:r w:rsidRPr="00EA55B1">
        <w:rPr>
          <w:rFonts w:ascii="Arial" w:hAnsi="Arial" w:cs="Arial"/>
          <w:color w:val="000000" w:themeColor="text1"/>
          <w:sz w:val="22"/>
          <w:szCs w:val="22"/>
        </w:rPr>
        <w:t>15 credits (7.5 ECTS)</w:t>
      </w:r>
    </w:p>
    <w:p w14:paraId="2E374E86" w14:textId="77777777" w:rsidR="009A2D37" w:rsidRPr="0036174D" w:rsidRDefault="009A2D37" w:rsidP="00D50113">
      <w:pPr>
        <w:spacing w:after="120" w:line="240" w:lineRule="auto"/>
        <w:ind w:left="426" w:right="260"/>
        <w:rPr>
          <w:rFonts w:ascii="Arial" w:hAnsi="Arial" w:cs="Arial"/>
        </w:rPr>
      </w:pPr>
    </w:p>
    <w:p w14:paraId="1ACC343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FAD02F" w14:textId="5ABA2CFB" w:rsidR="009A2D37" w:rsidRDefault="00981D1C" w:rsidP="00A76C12">
      <w:pPr>
        <w:spacing w:after="120" w:line="240" w:lineRule="auto"/>
        <w:ind w:left="1134" w:right="260" w:hanging="567"/>
        <w:rPr>
          <w:rFonts w:ascii="Arial" w:hAnsi="Arial" w:cs="Arial"/>
          <w:iCs/>
        </w:rPr>
      </w:pPr>
      <w:r>
        <w:rPr>
          <w:rFonts w:ascii="Arial" w:hAnsi="Arial" w:cs="Arial"/>
          <w:iCs/>
        </w:rPr>
        <w:t>Autumn</w:t>
      </w:r>
      <w:r w:rsidR="00C2367B">
        <w:rPr>
          <w:rFonts w:ascii="Arial" w:hAnsi="Arial" w:cs="Arial"/>
          <w:iCs/>
        </w:rPr>
        <w:t xml:space="preserve"> Term</w:t>
      </w:r>
    </w:p>
    <w:p w14:paraId="4B6FFC0E" w14:textId="77777777" w:rsidR="00A76C12" w:rsidRPr="0036174D" w:rsidRDefault="00A76C12" w:rsidP="00A76C12">
      <w:pPr>
        <w:spacing w:after="120" w:line="240" w:lineRule="auto"/>
        <w:ind w:left="1134" w:right="260" w:hanging="567"/>
        <w:rPr>
          <w:rFonts w:ascii="Arial" w:hAnsi="Arial" w:cs="Arial"/>
          <w:iCs/>
        </w:rPr>
      </w:pPr>
    </w:p>
    <w:p w14:paraId="7F115E2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F73627" w14:textId="5A3567A0" w:rsidR="00A76C12" w:rsidRPr="00A76C12" w:rsidRDefault="00A76C12" w:rsidP="00C2367B">
      <w:pPr>
        <w:pStyle w:val="ListParagraph"/>
        <w:spacing w:after="120" w:line="240" w:lineRule="auto"/>
        <w:ind w:left="502" w:right="260" w:firstLine="65"/>
        <w:rPr>
          <w:rFonts w:ascii="Arial" w:hAnsi="Arial" w:cs="Arial"/>
          <w:iCs/>
          <w:color w:val="000000" w:themeColor="text1"/>
        </w:rPr>
      </w:pPr>
      <w:r w:rsidRPr="00A76C12">
        <w:rPr>
          <w:rFonts w:ascii="Arial" w:hAnsi="Arial" w:cs="Arial"/>
          <w:iCs/>
          <w:color w:val="000000" w:themeColor="text1"/>
        </w:rPr>
        <w:t>Pre-requisite</w:t>
      </w:r>
      <w:r w:rsidR="00444242">
        <w:rPr>
          <w:rFonts w:ascii="Arial" w:hAnsi="Arial" w:cs="Arial"/>
          <w:iCs/>
          <w:color w:val="000000" w:themeColor="text1"/>
        </w:rPr>
        <w:t>s</w:t>
      </w:r>
      <w:r w:rsidRPr="00A76C12">
        <w:rPr>
          <w:rFonts w:ascii="Arial" w:hAnsi="Arial" w:cs="Arial"/>
          <w:iCs/>
          <w:color w:val="000000" w:themeColor="text1"/>
        </w:rPr>
        <w:t xml:space="preserve">: </w:t>
      </w:r>
      <w:r w:rsidR="00444242">
        <w:rPr>
          <w:rFonts w:ascii="Arial" w:hAnsi="Arial" w:cs="Arial"/>
          <w:iCs/>
          <w:color w:val="000000" w:themeColor="text1"/>
        </w:rPr>
        <w:t>BIOS3230 (</w:t>
      </w:r>
      <w:r w:rsidRPr="00A76C12">
        <w:rPr>
          <w:rFonts w:ascii="Arial" w:hAnsi="Arial" w:cs="Arial"/>
          <w:iCs/>
          <w:color w:val="000000" w:themeColor="text1"/>
        </w:rPr>
        <w:t>BI323</w:t>
      </w:r>
      <w:r w:rsidR="00444242">
        <w:rPr>
          <w:rFonts w:ascii="Arial" w:hAnsi="Arial" w:cs="Arial"/>
          <w:iCs/>
          <w:color w:val="000000" w:themeColor="text1"/>
        </w:rPr>
        <w:t>)</w:t>
      </w:r>
      <w:r w:rsidRPr="00A76C12">
        <w:rPr>
          <w:rFonts w:ascii="Arial" w:hAnsi="Arial" w:cs="Arial"/>
          <w:iCs/>
          <w:color w:val="000000" w:themeColor="text1"/>
        </w:rPr>
        <w:t xml:space="preserve">; </w:t>
      </w:r>
      <w:r w:rsidR="00444242">
        <w:rPr>
          <w:rFonts w:ascii="Arial" w:hAnsi="Arial" w:cs="Arial"/>
          <w:iCs/>
          <w:color w:val="000000" w:themeColor="text1"/>
        </w:rPr>
        <w:t>BIOS3240 (</w:t>
      </w:r>
      <w:r w:rsidRPr="00A76C12">
        <w:rPr>
          <w:rFonts w:ascii="Arial" w:hAnsi="Arial" w:cs="Arial"/>
          <w:iCs/>
          <w:color w:val="000000" w:themeColor="text1"/>
        </w:rPr>
        <w:t>BI324</w:t>
      </w:r>
      <w:r w:rsidR="00444242">
        <w:rPr>
          <w:rFonts w:ascii="Arial" w:hAnsi="Arial" w:cs="Arial"/>
          <w:iCs/>
          <w:color w:val="000000" w:themeColor="text1"/>
        </w:rPr>
        <w:t>)</w:t>
      </w:r>
    </w:p>
    <w:p w14:paraId="58552DFE" w14:textId="77777777" w:rsidR="009A2D37" w:rsidRPr="0036174D" w:rsidRDefault="009A2D37" w:rsidP="00A76C12">
      <w:pPr>
        <w:spacing w:after="120" w:line="240" w:lineRule="auto"/>
        <w:ind w:left="1134" w:right="260" w:hanging="567"/>
        <w:rPr>
          <w:rFonts w:ascii="Arial" w:hAnsi="Arial" w:cs="Arial"/>
          <w:iCs/>
        </w:rPr>
      </w:pPr>
    </w:p>
    <w:p w14:paraId="56D25BF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6DE1E5" w14:textId="4DD53A9E" w:rsidR="00A76C12" w:rsidRPr="00A76C12" w:rsidRDefault="00A76C12" w:rsidP="00C2367B">
      <w:pPr>
        <w:pStyle w:val="ListParagraph"/>
        <w:spacing w:after="120" w:line="240" w:lineRule="auto"/>
        <w:ind w:left="502" w:right="260" w:firstLine="65"/>
        <w:rPr>
          <w:rFonts w:ascii="Arial" w:hAnsi="Arial" w:cs="Arial"/>
          <w:iCs/>
          <w:color w:val="000000" w:themeColor="text1"/>
        </w:rPr>
      </w:pPr>
      <w:r w:rsidRPr="00A76C12">
        <w:rPr>
          <w:rFonts w:ascii="Arial" w:hAnsi="Arial" w:cs="Arial"/>
          <w:color w:val="000000" w:themeColor="text1"/>
        </w:rPr>
        <w:t xml:space="preserve">BSc Biology and related programmes </w:t>
      </w:r>
    </w:p>
    <w:p w14:paraId="5F1FD645" w14:textId="77777777" w:rsidR="009A2D37" w:rsidRPr="0036174D" w:rsidRDefault="009A2D37" w:rsidP="00AE6CD0">
      <w:pPr>
        <w:spacing w:after="120" w:line="240" w:lineRule="auto"/>
        <w:ind w:left="567" w:right="260" w:hanging="567"/>
        <w:rPr>
          <w:rFonts w:ascii="Arial" w:hAnsi="Arial" w:cs="Arial"/>
          <w:iCs/>
        </w:rPr>
      </w:pPr>
    </w:p>
    <w:p w14:paraId="636BFB5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C936C8" w14:textId="67662980" w:rsidR="00A76C12" w:rsidRPr="00EA55B1" w:rsidRDefault="00A76C12" w:rsidP="006843AB">
      <w:pPr>
        <w:pStyle w:val="ListParagraph"/>
        <w:numPr>
          <w:ilvl w:val="1"/>
          <w:numId w:val="1"/>
        </w:numPr>
        <w:spacing w:after="120" w:line="240" w:lineRule="auto"/>
        <w:ind w:left="1134" w:right="260" w:hanging="501"/>
        <w:rPr>
          <w:rFonts w:ascii="Arial" w:hAnsi="Arial" w:cs="Arial"/>
          <w:iCs/>
          <w:color w:val="000000" w:themeColor="text1"/>
        </w:rPr>
      </w:pPr>
      <w:r w:rsidRPr="00EA55B1">
        <w:rPr>
          <w:rFonts w:ascii="Arial" w:hAnsi="Arial" w:cs="Arial"/>
          <w:iCs/>
          <w:color w:val="000000" w:themeColor="text1"/>
        </w:rPr>
        <w:t>De</w:t>
      </w:r>
      <w:r w:rsidR="00C2367B">
        <w:rPr>
          <w:rFonts w:ascii="Arial" w:hAnsi="Arial" w:cs="Arial"/>
          <w:iCs/>
          <w:color w:val="000000" w:themeColor="text1"/>
        </w:rPr>
        <w:t>monstrate</w:t>
      </w:r>
      <w:r w:rsidRPr="00EA55B1">
        <w:rPr>
          <w:rFonts w:ascii="Arial" w:hAnsi="Arial" w:cs="Arial"/>
          <w:iCs/>
          <w:color w:val="000000" w:themeColor="text1"/>
        </w:rPr>
        <w:t xml:space="preserve"> knowledge of the major processes underlying eukaryotic diversity and evolution</w:t>
      </w:r>
    </w:p>
    <w:p w14:paraId="63474F13" w14:textId="2274B859" w:rsidR="00A76C12" w:rsidRPr="00EA55B1" w:rsidRDefault="00C2367B" w:rsidP="006843AB">
      <w:pPr>
        <w:pStyle w:val="ListParagraph"/>
        <w:numPr>
          <w:ilvl w:val="1"/>
          <w:numId w:val="1"/>
        </w:numPr>
        <w:spacing w:after="120" w:line="240" w:lineRule="auto"/>
        <w:ind w:left="1134" w:right="260" w:hanging="501"/>
        <w:rPr>
          <w:rFonts w:ascii="Arial" w:hAnsi="Arial" w:cs="Arial"/>
          <w:iCs/>
          <w:color w:val="000000" w:themeColor="text1"/>
        </w:rPr>
      </w:pPr>
      <w:r>
        <w:rPr>
          <w:rFonts w:ascii="Arial" w:hAnsi="Arial" w:cs="Arial"/>
          <w:iCs/>
          <w:color w:val="000000" w:themeColor="text1"/>
        </w:rPr>
        <w:t xml:space="preserve">Demonstrate </w:t>
      </w:r>
      <w:r w:rsidR="00A76C12" w:rsidRPr="00EA55B1">
        <w:rPr>
          <w:rFonts w:ascii="Arial" w:hAnsi="Arial" w:cs="Arial"/>
          <w:iCs/>
          <w:color w:val="000000" w:themeColor="text1"/>
        </w:rPr>
        <w:t xml:space="preserve">handling skills associated with </w:t>
      </w:r>
      <w:r>
        <w:rPr>
          <w:rFonts w:ascii="Arial" w:hAnsi="Arial" w:cs="Arial"/>
          <w:iCs/>
          <w:color w:val="000000" w:themeColor="text1"/>
        </w:rPr>
        <w:t xml:space="preserve">the analysis of data relevant to </w:t>
      </w:r>
      <w:r w:rsidR="00A76C12" w:rsidRPr="00EA55B1">
        <w:rPr>
          <w:rFonts w:ascii="Arial" w:hAnsi="Arial" w:cs="Arial"/>
          <w:iCs/>
          <w:color w:val="000000" w:themeColor="text1"/>
        </w:rPr>
        <w:t>taxonomy, diversity and evolution of microbial eukaryotes.</w:t>
      </w:r>
    </w:p>
    <w:p w14:paraId="4096367C" w14:textId="77777777" w:rsidR="009A2D37" w:rsidRPr="0036174D" w:rsidRDefault="009A2D37" w:rsidP="00AE6CD0">
      <w:pPr>
        <w:spacing w:after="120" w:line="240" w:lineRule="auto"/>
        <w:ind w:left="567" w:right="260" w:hanging="567"/>
        <w:rPr>
          <w:rFonts w:ascii="Arial" w:hAnsi="Arial" w:cs="Arial"/>
        </w:rPr>
      </w:pPr>
    </w:p>
    <w:p w14:paraId="5DB512E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1308D0" w14:textId="77777777" w:rsidR="00A76C12" w:rsidRPr="00EA55B1" w:rsidRDefault="00A76C12" w:rsidP="006843AB">
      <w:pPr>
        <w:pStyle w:val="ListParagraph"/>
        <w:numPr>
          <w:ilvl w:val="1"/>
          <w:numId w:val="1"/>
        </w:numPr>
        <w:spacing w:after="120" w:line="240" w:lineRule="auto"/>
        <w:ind w:left="1134" w:right="260" w:hanging="425"/>
        <w:jc w:val="both"/>
        <w:rPr>
          <w:rFonts w:ascii="Arial" w:hAnsi="Arial" w:cs="Arial"/>
          <w:color w:val="000000" w:themeColor="text1"/>
        </w:rPr>
      </w:pPr>
      <w:r w:rsidRPr="00EA55B1">
        <w:rPr>
          <w:rFonts w:ascii="Arial" w:hAnsi="Arial" w:cs="Arial"/>
          <w:color w:val="000000" w:themeColor="text1"/>
        </w:rPr>
        <w:t>Retrieve information with subsequent interpretation</w:t>
      </w:r>
    </w:p>
    <w:p w14:paraId="5045CE4E" w14:textId="77777777" w:rsidR="00A76C12" w:rsidRPr="00EA55B1" w:rsidRDefault="00A76C12" w:rsidP="006843AB">
      <w:pPr>
        <w:pStyle w:val="ListParagraph"/>
        <w:numPr>
          <w:ilvl w:val="1"/>
          <w:numId w:val="1"/>
        </w:numPr>
        <w:spacing w:after="120" w:line="240" w:lineRule="auto"/>
        <w:ind w:left="1134" w:right="260" w:hanging="425"/>
        <w:jc w:val="both"/>
        <w:rPr>
          <w:rFonts w:ascii="Arial" w:hAnsi="Arial" w:cs="Arial"/>
          <w:color w:val="000000" w:themeColor="text1"/>
        </w:rPr>
      </w:pPr>
      <w:r w:rsidRPr="00EA55B1">
        <w:rPr>
          <w:rFonts w:ascii="Arial" w:hAnsi="Arial" w:cs="Arial"/>
          <w:color w:val="000000" w:themeColor="text1"/>
        </w:rPr>
        <w:t>Analyse and evaluate data</w:t>
      </w:r>
    </w:p>
    <w:p w14:paraId="21086FC3" w14:textId="23F17C92" w:rsidR="00A76C12" w:rsidRPr="00EA55B1" w:rsidRDefault="00C2367B" w:rsidP="006843AB">
      <w:pPr>
        <w:pStyle w:val="ListParagraph"/>
        <w:numPr>
          <w:ilvl w:val="1"/>
          <w:numId w:val="1"/>
        </w:numPr>
        <w:spacing w:after="120" w:line="240" w:lineRule="auto"/>
        <w:ind w:left="1134" w:right="260" w:hanging="425"/>
        <w:jc w:val="both"/>
        <w:rPr>
          <w:rFonts w:ascii="Arial" w:hAnsi="Arial" w:cs="Arial"/>
          <w:color w:val="000000" w:themeColor="text1"/>
        </w:rPr>
      </w:pPr>
      <w:r>
        <w:rPr>
          <w:rFonts w:ascii="Arial" w:hAnsi="Arial" w:cs="Arial"/>
          <w:color w:val="000000" w:themeColor="text1"/>
        </w:rPr>
        <w:t>Demonstrate i</w:t>
      </w:r>
      <w:r w:rsidR="00A76C12" w:rsidRPr="00EA55B1">
        <w:rPr>
          <w:rFonts w:ascii="Arial" w:hAnsi="Arial" w:cs="Arial"/>
          <w:color w:val="000000" w:themeColor="text1"/>
        </w:rPr>
        <w:t>mprove</w:t>
      </w:r>
      <w:r>
        <w:rPr>
          <w:rFonts w:ascii="Arial" w:hAnsi="Arial" w:cs="Arial"/>
          <w:color w:val="000000" w:themeColor="text1"/>
        </w:rPr>
        <w:t>d</w:t>
      </w:r>
      <w:r w:rsidR="00A76C12" w:rsidRPr="00EA55B1">
        <w:rPr>
          <w:rFonts w:ascii="Arial" w:hAnsi="Arial" w:cs="Arial"/>
          <w:color w:val="000000" w:themeColor="text1"/>
        </w:rPr>
        <w:t xml:space="preserve"> written communication skills </w:t>
      </w:r>
    </w:p>
    <w:p w14:paraId="06A227CB" w14:textId="77777777" w:rsidR="00273CF0" w:rsidRPr="0036174D" w:rsidRDefault="00273CF0" w:rsidP="00AE6CD0">
      <w:pPr>
        <w:spacing w:after="120" w:line="240" w:lineRule="auto"/>
        <w:ind w:left="567" w:right="260" w:hanging="567"/>
        <w:rPr>
          <w:rFonts w:ascii="Arial" w:hAnsi="Arial" w:cs="Arial"/>
        </w:rPr>
      </w:pPr>
    </w:p>
    <w:p w14:paraId="15DD595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8A741A" w14:textId="77777777" w:rsidR="00A76C12" w:rsidRPr="00F2190F" w:rsidRDefault="00A76C12" w:rsidP="00F2190F">
      <w:pPr>
        <w:spacing w:after="120" w:line="240" w:lineRule="auto"/>
        <w:ind w:left="502" w:right="260"/>
        <w:jc w:val="both"/>
        <w:rPr>
          <w:rFonts w:ascii="Arial" w:hAnsi="Arial" w:cs="Arial"/>
          <w:iCs/>
          <w:color w:val="000000" w:themeColor="text1"/>
        </w:rPr>
      </w:pPr>
      <w:r w:rsidRPr="00F2190F">
        <w:rPr>
          <w:rFonts w:ascii="Arial" w:hAnsi="Arial" w:cs="Arial"/>
          <w:iCs/>
          <w:color w:val="000000" w:themeColor="text1"/>
        </w:rPr>
        <w:t xml:space="preserve">This module will introduce the students to the diversity of eukaryotic organisms (mainly microbes in the six domains of the eukaryotic tree of life), theories on endosymbiotic events (chloroplasts &amp; mitochondria), </w:t>
      </w:r>
      <w:proofErr w:type="spellStart"/>
      <w:r w:rsidRPr="00F2190F">
        <w:rPr>
          <w:rFonts w:ascii="Arial" w:hAnsi="Arial" w:cs="Arial"/>
          <w:iCs/>
          <w:color w:val="000000" w:themeColor="text1"/>
        </w:rPr>
        <w:t>organellar</w:t>
      </w:r>
      <w:proofErr w:type="spellEnd"/>
      <w:r w:rsidRPr="00F2190F">
        <w:rPr>
          <w:rFonts w:ascii="Arial" w:hAnsi="Arial" w:cs="Arial"/>
          <w:iCs/>
          <w:color w:val="000000" w:themeColor="text1"/>
        </w:rPr>
        <w:t xml:space="preserve"> adaptations and diversity, primary and secondary acquisition of other organelles, lateral gene transfer in eukaryotes, adaptations to extreme environments (from anoxia, to salinity and to parasitism), community evolution (microbiome) and the evolution of multi-cellularity.</w:t>
      </w:r>
    </w:p>
    <w:p w14:paraId="0CDC33D5" w14:textId="77777777" w:rsidR="00A76C12" w:rsidRDefault="00A76C12" w:rsidP="00A76C12">
      <w:pPr>
        <w:pStyle w:val="ListParagraph"/>
        <w:spacing w:after="0" w:line="240" w:lineRule="auto"/>
        <w:ind w:left="502"/>
        <w:rPr>
          <w:rFonts w:ascii="Arial" w:hAnsi="Arial" w:cs="Arial"/>
          <w:b/>
          <w:color w:val="000000" w:themeColor="text1"/>
        </w:rPr>
      </w:pPr>
    </w:p>
    <w:p w14:paraId="7394EEAC" w14:textId="77777777" w:rsidR="00A76C12" w:rsidRPr="00A76C12" w:rsidRDefault="00A76C12" w:rsidP="00A76C12">
      <w:pPr>
        <w:pStyle w:val="ListParagraph"/>
        <w:spacing w:after="0" w:line="240" w:lineRule="auto"/>
        <w:ind w:left="502"/>
        <w:rPr>
          <w:rFonts w:ascii="Arial" w:hAnsi="Arial" w:cs="Arial"/>
          <w:color w:val="000000" w:themeColor="text1"/>
        </w:rPr>
      </w:pPr>
      <w:r w:rsidRPr="00A76C12">
        <w:rPr>
          <w:rFonts w:ascii="Arial" w:hAnsi="Arial" w:cs="Arial"/>
          <w:b/>
          <w:color w:val="000000" w:themeColor="text1"/>
        </w:rPr>
        <w:lastRenderedPageBreak/>
        <w:t>Lectures</w:t>
      </w:r>
      <w:r w:rsidRPr="00A76C12">
        <w:rPr>
          <w:rFonts w:ascii="Arial" w:hAnsi="Arial" w:cs="Arial"/>
          <w:color w:val="000000" w:themeColor="text1"/>
        </w:rPr>
        <w:t xml:space="preserve"> will cover the following major topics: eukaryotic diversity, genomes and eukaryote phylogeny; the theories of </w:t>
      </w:r>
      <w:proofErr w:type="spellStart"/>
      <w:r w:rsidRPr="00A76C12">
        <w:rPr>
          <w:rFonts w:ascii="Arial" w:hAnsi="Arial" w:cs="Arial"/>
          <w:color w:val="000000" w:themeColor="text1"/>
        </w:rPr>
        <w:t>eukaryogenesis</w:t>
      </w:r>
      <w:proofErr w:type="spellEnd"/>
      <w:r w:rsidRPr="00A76C12">
        <w:rPr>
          <w:rFonts w:ascii="Arial" w:hAnsi="Arial" w:cs="Arial"/>
          <w:color w:val="000000" w:themeColor="text1"/>
        </w:rPr>
        <w:t xml:space="preserve">; introduction to major eukaryotic clades (fungi </w:t>
      </w:r>
      <w:proofErr w:type="spellStart"/>
      <w:r w:rsidRPr="00A76C12">
        <w:rPr>
          <w:rFonts w:ascii="Arial" w:hAnsi="Arial" w:cs="Arial"/>
          <w:color w:val="000000" w:themeColor="text1"/>
        </w:rPr>
        <w:t>etc</w:t>
      </w:r>
      <w:proofErr w:type="spellEnd"/>
      <w:r w:rsidRPr="00A76C12">
        <w:rPr>
          <w:rFonts w:ascii="Arial" w:hAnsi="Arial" w:cs="Arial"/>
          <w:color w:val="000000" w:themeColor="text1"/>
        </w:rPr>
        <w:t>); the evolution of parasitism and of multicellularity; extreme eukaryotic microbiology; microbial eukaryotes and the microbiome; and the evolution of microbial communities</w:t>
      </w:r>
    </w:p>
    <w:p w14:paraId="3395259C" w14:textId="77777777" w:rsidR="00A76C12" w:rsidRPr="00E43234" w:rsidRDefault="00A76C12" w:rsidP="00A76C12">
      <w:pPr>
        <w:pStyle w:val="ListParagraph"/>
        <w:spacing w:after="0" w:line="240" w:lineRule="auto"/>
        <w:ind w:left="502"/>
        <w:rPr>
          <w:rFonts w:ascii="Arial" w:hAnsi="Arial" w:cs="Arial"/>
          <w:b/>
          <w:color w:val="000000" w:themeColor="text1"/>
        </w:rPr>
      </w:pPr>
    </w:p>
    <w:p w14:paraId="7BD0A583" w14:textId="77777777" w:rsidR="00A76C12" w:rsidRPr="00A76C12" w:rsidRDefault="00A76C12" w:rsidP="00A76C12">
      <w:pPr>
        <w:pStyle w:val="ListParagraph"/>
        <w:ind w:left="502"/>
        <w:rPr>
          <w:rFonts w:ascii="Arial" w:hAnsi="Arial" w:cs="Arial"/>
          <w:color w:val="000000" w:themeColor="text1"/>
        </w:rPr>
      </w:pPr>
      <w:r w:rsidRPr="00A76C12">
        <w:rPr>
          <w:rFonts w:ascii="Arial" w:hAnsi="Arial" w:cs="Arial"/>
          <w:b/>
          <w:color w:val="000000" w:themeColor="text1"/>
        </w:rPr>
        <w:t>Group discussion</w:t>
      </w:r>
      <w:r w:rsidRPr="00A76C12">
        <w:rPr>
          <w:rFonts w:ascii="Arial" w:hAnsi="Arial" w:cs="Arial"/>
          <w:color w:val="000000" w:themeColor="text1"/>
        </w:rPr>
        <w:t xml:space="preserve"> </w:t>
      </w:r>
      <w:r w:rsidRPr="00A76C12">
        <w:rPr>
          <w:rFonts w:ascii="Arial" w:hAnsi="Arial" w:cs="Arial"/>
          <w:b/>
          <w:color w:val="000000" w:themeColor="text1"/>
        </w:rPr>
        <w:t>Workshop:</w:t>
      </w:r>
      <w:r w:rsidRPr="00A76C12">
        <w:rPr>
          <w:rFonts w:ascii="Arial" w:hAnsi="Arial" w:cs="Arial"/>
          <w:color w:val="000000" w:themeColor="text1"/>
        </w:rPr>
        <w:t xml:space="preserve"> on the theories of </w:t>
      </w:r>
      <w:proofErr w:type="spellStart"/>
      <w:r w:rsidRPr="00A76C12">
        <w:rPr>
          <w:rFonts w:ascii="Arial" w:hAnsi="Arial" w:cs="Arial"/>
          <w:color w:val="000000" w:themeColor="text1"/>
        </w:rPr>
        <w:t>eukaryogenesis</w:t>
      </w:r>
      <w:proofErr w:type="spellEnd"/>
    </w:p>
    <w:p w14:paraId="0E6A9C9C" w14:textId="77777777" w:rsidR="00A76C12" w:rsidRPr="00A76C12" w:rsidRDefault="00A76C12" w:rsidP="00A76C12">
      <w:pPr>
        <w:pStyle w:val="ListParagraph"/>
        <w:ind w:left="502"/>
        <w:rPr>
          <w:rFonts w:ascii="Arial" w:hAnsi="Arial" w:cs="Arial"/>
          <w:color w:val="000000" w:themeColor="text1"/>
        </w:rPr>
      </w:pPr>
      <w:r w:rsidRPr="00A76C12">
        <w:rPr>
          <w:rFonts w:ascii="Arial" w:hAnsi="Arial" w:cs="Arial"/>
          <w:b/>
          <w:color w:val="000000" w:themeColor="text1"/>
        </w:rPr>
        <w:t>Field practical:</w:t>
      </w:r>
      <w:r w:rsidRPr="00A76C12">
        <w:rPr>
          <w:rFonts w:ascii="Arial" w:hAnsi="Arial" w:cs="Arial"/>
          <w:color w:val="000000" w:themeColor="text1"/>
        </w:rPr>
        <w:t xml:space="preserve"> Field sampling: soil, aquatic and animal microbiome</w:t>
      </w:r>
    </w:p>
    <w:p w14:paraId="67B9E441" w14:textId="2B06D6A1" w:rsidR="009A2D37" w:rsidRDefault="00A76C12" w:rsidP="00A76C12">
      <w:pPr>
        <w:pStyle w:val="ListParagraph"/>
        <w:spacing w:after="120" w:line="240" w:lineRule="auto"/>
        <w:ind w:left="502" w:right="260"/>
        <w:rPr>
          <w:rFonts w:ascii="Arial" w:hAnsi="Arial" w:cs="Arial"/>
          <w:color w:val="000000" w:themeColor="text1"/>
        </w:rPr>
      </w:pPr>
      <w:r w:rsidRPr="00A76C12">
        <w:rPr>
          <w:rFonts w:ascii="Arial" w:hAnsi="Arial" w:cs="Arial"/>
          <w:b/>
          <w:color w:val="000000" w:themeColor="text1"/>
        </w:rPr>
        <w:t>Laboratory practical</w:t>
      </w:r>
      <w:r w:rsidRPr="00A76C12">
        <w:rPr>
          <w:rFonts w:ascii="Arial" w:hAnsi="Arial" w:cs="Arial"/>
          <w:color w:val="000000" w:themeColor="text1"/>
        </w:rPr>
        <w:t>: Culturing, taxonomy and data analysis</w:t>
      </w:r>
    </w:p>
    <w:p w14:paraId="0341C2D6" w14:textId="77777777" w:rsidR="00A76C12" w:rsidRPr="00A76C12" w:rsidRDefault="00A76C12" w:rsidP="00A76C12">
      <w:pPr>
        <w:pStyle w:val="ListParagraph"/>
        <w:spacing w:after="120" w:line="240" w:lineRule="auto"/>
        <w:ind w:left="502" w:right="260"/>
        <w:rPr>
          <w:rFonts w:ascii="Arial" w:hAnsi="Arial" w:cs="Arial"/>
          <w:iCs/>
        </w:rPr>
      </w:pPr>
    </w:p>
    <w:p w14:paraId="6176768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BD2CAC" w14:textId="77777777" w:rsidR="00A76C12" w:rsidRPr="00E43234" w:rsidRDefault="00A76C12" w:rsidP="00A76C12">
      <w:pPr>
        <w:spacing w:after="120" w:line="240" w:lineRule="auto"/>
        <w:ind w:right="260" w:firstLine="426"/>
        <w:jc w:val="both"/>
        <w:rPr>
          <w:rFonts w:ascii="Arial" w:hAnsi="Arial" w:cs="Arial"/>
          <w:b/>
          <w:color w:val="000000" w:themeColor="text1"/>
        </w:rPr>
      </w:pPr>
      <w:r w:rsidRPr="00E43234">
        <w:rPr>
          <w:rFonts w:ascii="Arial" w:hAnsi="Arial" w:cs="Arial"/>
          <w:b/>
          <w:color w:val="000000" w:themeColor="text1"/>
        </w:rPr>
        <w:t xml:space="preserve">Core reading list: </w:t>
      </w:r>
    </w:p>
    <w:p w14:paraId="5267BF74" w14:textId="77777777" w:rsidR="00A76C12" w:rsidRPr="00E43234" w:rsidRDefault="00A76C12" w:rsidP="00A76C12">
      <w:pPr>
        <w:pStyle w:val="ListParagraph"/>
        <w:numPr>
          <w:ilvl w:val="0"/>
          <w:numId w:val="9"/>
        </w:numPr>
        <w:spacing w:after="120" w:line="240" w:lineRule="auto"/>
        <w:ind w:right="260"/>
        <w:jc w:val="both"/>
        <w:rPr>
          <w:rFonts w:ascii="Arial" w:hAnsi="Arial" w:cs="Arial"/>
          <w:color w:val="000000" w:themeColor="text1"/>
        </w:rPr>
      </w:pPr>
      <w:r w:rsidRPr="00E43234">
        <w:rPr>
          <w:rFonts w:ascii="Arial" w:hAnsi="Arial" w:cs="Arial"/>
          <w:color w:val="000000" w:themeColor="text1"/>
        </w:rPr>
        <w:t xml:space="preserve">W. </w:t>
      </w:r>
      <w:proofErr w:type="spellStart"/>
      <w:r w:rsidRPr="00E43234">
        <w:rPr>
          <w:rFonts w:ascii="Arial" w:hAnsi="Arial" w:cs="Arial"/>
          <w:color w:val="000000" w:themeColor="text1"/>
        </w:rPr>
        <w:t>Foissner</w:t>
      </w:r>
      <w:proofErr w:type="spellEnd"/>
      <w:r w:rsidRPr="00E43234">
        <w:rPr>
          <w:rFonts w:ascii="Arial" w:hAnsi="Arial" w:cs="Arial"/>
          <w:color w:val="000000" w:themeColor="text1"/>
        </w:rPr>
        <w:t xml:space="preserve"> and D. L. </w:t>
      </w:r>
      <w:proofErr w:type="spellStart"/>
      <w:r w:rsidRPr="00E43234">
        <w:rPr>
          <w:rFonts w:ascii="Arial" w:hAnsi="Arial" w:cs="Arial"/>
          <w:color w:val="000000" w:themeColor="text1"/>
        </w:rPr>
        <w:t>Hawksworth</w:t>
      </w:r>
      <w:proofErr w:type="spellEnd"/>
      <w:r w:rsidRPr="00E43234">
        <w:rPr>
          <w:rFonts w:ascii="Arial" w:hAnsi="Arial" w:cs="Arial"/>
          <w:color w:val="000000" w:themeColor="text1"/>
        </w:rPr>
        <w:t xml:space="preserve">, (2009) </w:t>
      </w:r>
      <w:proofErr w:type="spellStart"/>
      <w:r w:rsidRPr="00266302">
        <w:rPr>
          <w:rFonts w:ascii="Arial" w:hAnsi="Arial" w:cs="Arial"/>
          <w:i/>
          <w:color w:val="000000" w:themeColor="text1"/>
        </w:rPr>
        <w:t>Protist</w:t>
      </w:r>
      <w:proofErr w:type="spellEnd"/>
      <w:r w:rsidRPr="00266302">
        <w:rPr>
          <w:rFonts w:ascii="Arial" w:hAnsi="Arial" w:cs="Arial"/>
          <w:i/>
          <w:color w:val="000000" w:themeColor="text1"/>
        </w:rPr>
        <w:t xml:space="preserve"> Diversity and Geographical Distribution</w:t>
      </w:r>
      <w:r w:rsidRPr="00E43234">
        <w:rPr>
          <w:rFonts w:ascii="Arial" w:hAnsi="Arial" w:cs="Arial"/>
          <w:color w:val="000000" w:themeColor="text1"/>
        </w:rPr>
        <w:t xml:space="preserve"> (Springer)</w:t>
      </w:r>
    </w:p>
    <w:p w14:paraId="7128B54E" w14:textId="77777777" w:rsidR="00A76C12" w:rsidRPr="00E43234" w:rsidRDefault="00A76C12" w:rsidP="00A76C12">
      <w:pPr>
        <w:pStyle w:val="ListParagraph"/>
        <w:numPr>
          <w:ilvl w:val="0"/>
          <w:numId w:val="9"/>
        </w:numPr>
        <w:spacing w:after="120" w:line="240" w:lineRule="auto"/>
        <w:ind w:right="260"/>
        <w:jc w:val="both"/>
        <w:rPr>
          <w:rFonts w:ascii="Arial" w:hAnsi="Arial" w:cs="Arial"/>
          <w:color w:val="000000" w:themeColor="text1"/>
        </w:rPr>
      </w:pPr>
      <w:r w:rsidRPr="00E43234">
        <w:rPr>
          <w:rFonts w:ascii="Arial" w:hAnsi="Arial" w:cs="Arial"/>
          <w:color w:val="000000" w:themeColor="text1"/>
        </w:rPr>
        <w:t xml:space="preserve">L A. Katz and D. Bhattacharya (2006) </w:t>
      </w:r>
      <w:r w:rsidRPr="00266302">
        <w:rPr>
          <w:rFonts w:ascii="Arial" w:hAnsi="Arial" w:cs="Arial"/>
          <w:i/>
          <w:color w:val="000000" w:themeColor="text1"/>
        </w:rPr>
        <w:t>Genomics and Evolution of Microbial Eukaryotes</w:t>
      </w:r>
      <w:r w:rsidRPr="00E43234">
        <w:rPr>
          <w:rFonts w:ascii="Arial" w:hAnsi="Arial" w:cs="Arial"/>
          <w:color w:val="000000" w:themeColor="text1"/>
        </w:rPr>
        <w:t xml:space="preserve"> (Oxford University press)</w:t>
      </w:r>
    </w:p>
    <w:p w14:paraId="41C06E51" w14:textId="77777777" w:rsidR="00A76C12" w:rsidRPr="00EA55B1" w:rsidRDefault="00A76C12" w:rsidP="00A76C12">
      <w:pPr>
        <w:spacing w:after="120" w:line="240" w:lineRule="auto"/>
        <w:ind w:left="426" w:right="260"/>
        <w:jc w:val="both"/>
        <w:rPr>
          <w:rFonts w:ascii="Arial" w:hAnsi="Arial" w:cs="Arial"/>
          <w:color w:val="000000" w:themeColor="text1"/>
        </w:rPr>
      </w:pPr>
      <w:r w:rsidRPr="00E43234">
        <w:rPr>
          <w:rFonts w:ascii="Arial" w:hAnsi="Arial" w:cs="Arial"/>
          <w:b/>
          <w:color w:val="000000" w:themeColor="text1"/>
        </w:rPr>
        <w:t>Recommended list</w:t>
      </w:r>
      <w:r w:rsidRPr="00EA55B1">
        <w:rPr>
          <w:rFonts w:ascii="Arial" w:hAnsi="Arial" w:cs="Arial"/>
          <w:color w:val="000000" w:themeColor="text1"/>
        </w:rPr>
        <w:t>:</w:t>
      </w:r>
    </w:p>
    <w:p w14:paraId="0E54F25E" w14:textId="77777777" w:rsidR="00A76C12" w:rsidRPr="00E43234" w:rsidRDefault="00A76C12" w:rsidP="00A76C12">
      <w:pPr>
        <w:pStyle w:val="ListParagraph"/>
        <w:numPr>
          <w:ilvl w:val="0"/>
          <w:numId w:val="10"/>
        </w:numPr>
        <w:spacing w:after="120" w:line="240" w:lineRule="auto"/>
        <w:ind w:right="260"/>
        <w:jc w:val="both"/>
        <w:rPr>
          <w:rFonts w:ascii="Arial" w:hAnsi="Arial" w:cs="Arial"/>
          <w:color w:val="000000" w:themeColor="text1"/>
        </w:rPr>
      </w:pPr>
      <w:r w:rsidRPr="00E43234">
        <w:rPr>
          <w:rFonts w:ascii="Arial" w:hAnsi="Arial" w:cs="Arial"/>
          <w:color w:val="000000" w:themeColor="text1"/>
        </w:rPr>
        <w:t xml:space="preserve">J. Archibald (2014) </w:t>
      </w:r>
      <w:r w:rsidRPr="00266302">
        <w:rPr>
          <w:rFonts w:ascii="Arial" w:hAnsi="Arial" w:cs="Arial"/>
          <w:i/>
          <w:color w:val="000000" w:themeColor="text1"/>
        </w:rPr>
        <w:t>One Plus One Equals One: Symbiosis and the evolution of complex life</w:t>
      </w:r>
      <w:r w:rsidRPr="00E43234">
        <w:rPr>
          <w:rFonts w:ascii="Arial" w:hAnsi="Arial" w:cs="Arial"/>
          <w:color w:val="000000" w:themeColor="text1"/>
        </w:rPr>
        <w:t xml:space="preserve"> (Oxford University press)</w:t>
      </w:r>
    </w:p>
    <w:p w14:paraId="6BE2CAED" w14:textId="77777777" w:rsidR="00A76C12" w:rsidRPr="00E43234" w:rsidRDefault="00A76C12" w:rsidP="00A76C12">
      <w:pPr>
        <w:pStyle w:val="ListParagraph"/>
        <w:numPr>
          <w:ilvl w:val="0"/>
          <w:numId w:val="10"/>
        </w:numPr>
        <w:spacing w:after="120" w:line="240" w:lineRule="auto"/>
        <w:ind w:right="260"/>
        <w:jc w:val="both"/>
        <w:rPr>
          <w:rFonts w:ascii="Arial" w:hAnsi="Arial" w:cs="Arial"/>
          <w:color w:val="000000" w:themeColor="text1"/>
        </w:rPr>
      </w:pPr>
      <w:r w:rsidRPr="00E43234">
        <w:rPr>
          <w:rFonts w:ascii="Arial" w:hAnsi="Arial" w:cs="Arial"/>
          <w:color w:val="000000" w:themeColor="text1"/>
        </w:rPr>
        <w:t xml:space="preserve">N. Lane (2005). </w:t>
      </w:r>
      <w:r w:rsidRPr="00266302">
        <w:rPr>
          <w:rFonts w:ascii="Arial" w:hAnsi="Arial" w:cs="Arial"/>
          <w:i/>
          <w:color w:val="000000" w:themeColor="text1"/>
        </w:rPr>
        <w:t>Power, Sex, Suicide: Mitochondria and the Meaning of Life</w:t>
      </w:r>
      <w:r w:rsidRPr="00E43234">
        <w:rPr>
          <w:rFonts w:ascii="Arial" w:hAnsi="Arial" w:cs="Arial"/>
          <w:color w:val="000000" w:themeColor="text1"/>
        </w:rPr>
        <w:t>. (Oxford University Press)</w:t>
      </w:r>
    </w:p>
    <w:p w14:paraId="768FCA93" w14:textId="77777777" w:rsidR="00A76C12" w:rsidRPr="00E43234" w:rsidRDefault="00A76C12" w:rsidP="00A76C12">
      <w:pPr>
        <w:pStyle w:val="ListParagraph"/>
        <w:numPr>
          <w:ilvl w:val="0"/>
          <w:numId w:val="10"/>
        </w:numPr>
        <w:spacing w:after="120" w:line="240" w:lineRule="auto"/>
        <w:ind w:right="260"/>
        <w:jc w:val="both"/>
        <w:rPr>
          <w:rFonts w:ascii="Arial" w:hAnsi="Arial" w:cs="Arial"/>
          <w:color w:val="000000" w:themeColor="text1"/>
        </w:rPr>
      </w:pPr>
      <w:r w:rsidRPr="00E43234">
        <w:rPr>
          <w:rFonts w:ascii="Arial" w:hAnsi="Arial" w:cs="Arial"/>
          <w:color w:val="000000" w:themeColor="text1"/>
        </w:rPr>
        <w:t xml:space="preserve">N. Lane (2009). </w:t>
      </w:r>
      <w:r w:rsidRPr="00266302">
        <w:rPr>
          <w:rFonts w:ascii="Arial" w:hAnsi="Arial" w:cs="Arial"/>
          <w:i/>
          <w:color w:val="000000" w:themeColor="text1"/>
        </w:rPr>
        <w:t>Life Ascending: The Ten Great Inventions of Evolution</w:t>
      </w:r>
      <w:r w:rsidRPr="00E43234">
        <w:rPr>
          <w:rFonts w:ascii="Arial" w:hAnsi="Arial" w:cs="Arial"/>
          <w:color w:val="000000" w:themeColor="text1"/>
        </w:rPr>
        <w:t>. (Profile Books)</w:t>
      </w:r>
    </w:p>
    <w:p w14:paraId="055B5993" w14:textId="77777777" w:rsidR="00A76C12" w:rsidRPr="00EA55B1" w:rsidRDefault="00A76C12" w:rsidP="00A76C12">
      <w:pPr>
        <w:ind w:left="426"/>
        <w:rPr>
          <w:rFonts w:ascii="Arial" w:hAnsi="Arial" w:cs="Arial"/>
          <w:color w:val="000000" w:themeColor="text1"/>
        </w:rPr>
      </w:pPr>
      <w:r w:rsidRPr="00EA55B1">
        <w:rPr>
          <w:rFonts w:ascii="Arial" w:hAnsi="Arial" w:cs="Arial"/>
          <w:color w:val="000000" w:themeColor="text1"/>
        </w:rPr>
        <w:t xml:space="preserve">The rest of the suggested reading will consist of review articles and primary research publications. There is going to be given emphasis during this course on how to </w:t>
      </w:r>
      <w:r>
        <w:rPr>
          <w:rFonts w:ascii="Arial" w:hAnsi="Arial" w:cs="Arial"/>
          <w:color w:val="000000" w:themeColor="text1"/>
        </w:rPr>
        <w:t xml:space="preserve">effectively </w:t>
      </w:r>
      <w:r w:rsidRPr="00EA55B1">
        <w:rPr>
          <w:rFonts w:ascii="Arial" w:hAnsi="Arial" w:cs="Arial"/>
          <w:color w:val="000000" w:themeColor="text1"/>
        </w:rPr>
        <w:t>read and interpret the literature first hand.</w:t>
      </w:r>
    </w:p>
    <w:p w14:paraId="18AE7FAD" w14:textId="77777777" w:rsidR="009A2D37" w:rsidRPr="0036174D" w:rsidRDefault="009A2D37" w:rsidP="00AE6CD0">
      <w:pPr>
        <w:spacing w:after="120" w:line="240" w:lineRule="auto"/>
        <w:ind w:left="567" w:right="260" w:hanging="567"/>
        <w:jc w:val="both"/>
        <w:rPr>
          <w:rFonts w:ascii="Arial" w:hAnsi="Arial" w:cs="Arial"/>
        </w:rPr>
      </w:pPr>
    </w:p>
    <w:p w14:paraId="7964C6C4" w14:textId="77777777" w:rsidR="009A2D37" w:rsidRPr="008F2977"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1A4DC8" w14:textId="5C1C2460" w:rsidR="008F2977" w:rsidRPr="008F2977" w:rsidRDefault="008F2977" w:rsidP="008F2977">
      <w:pPr>
        <w:pStyle w:val="ListParagraph"/>
        <w:numPr>
          <w:ilvl w:val="0"/>
          <w:numId w:val="16"/>
        </w:numPr>
        <w:spacing w:after="120" w:line="240" w:lineRule="auto"/>
        <w:ind w:right="260"/>
        <w:rPr>
          <w:rFonts w:ascii="Arial" w:hAnsi="Arial" w:cs="Arial"/>
          <w:i/>
          <w:iCs/>
          <w:color w:val="000000" w:themeColor="text1"/>
        </w:rPr>
      </w:pPr>
      <w:r w:rsidRPr="008F2977">
        <w:rPr>
          <w:rFonts w:ascii="Arial" w:hAnsi="Arial" w:cs="Arial"/>
          <w:iCs/>
          <w:color w:val="000000" w:themeColor="text1"/>
        </w:rPr>
        <w:t>26 Contact hours comprising lectures, workshops,</w:t>
      </w:r>
      <w:r w:rsidR="00F2190F">
        <w:rPr>
          <w:rFonts w:ascii="Arial" w:hAnsi="Arial" w:cs="Arial"/>
          <w:iCs/>
          <w:color w:val="000000" w:themeColor="text1"/>
        </w:rPr>
        <w:t xml:space="preserve"> </w:t>
      </w:r>
      <w:r w:rsidRPr="008F2977">
        <w:rPr>
          <w:rFonts w:ascii="Arial" w:hAnsi="Arial" w:cs="Arial"/>
          <w:iCs/>
          <w:color w:val="000000" w:themeColor="text1"/>
        </w:rPr>
        <w:t xml:space="preserve">field work and laboratory </w:t>
      </w:r>
      <w:proofErr w:type="spellStart"/>
      <w:r w:rsidRPr="008F2977">
        <w:rPr>
          <w:rFonts w:ascii="Arial" w:hAnsi="Arial" w:cs="Arial"/>
          <w:iCs/>
          <w:color w:val="000000" w:themeColor="text1"/>
        </w:rPr>
        <w:t>practicals</w:t>
      </w:r>
      <w:proofErr w:type="spellEnd"/>
    </w:p>
    <w:p w14:paraId="344451F2" w14:textId="77777777" w:rsidR="008F2977" w:rsidRPr="008F2977" w:rsidRDefault="008F2977" w:rsidP="008F2977">
      <w:pPr>
        <w:pStyle w:val="ListParagraph"/>
        <w:numPr>
          <w:ilvl w:val="0"/>
          <w:numId w:val="16"/>
        </w:numPr>
        <w:spacing w:after="120" w:line="240" w:lineRule="auto"/>
        <w:ind w:right="260"/>
        <w:rPr>
          <w:rFonts w:ascii="Arial" w:hAnsi="Arial" w:cs="Arial"/>
          <w:i/>
          <w:iCs/>
          <w:color w:val="000000" w:themeColor="text1"/>
        </w:rPr>
      </w:pPr>
      <w:r w:rsidRPr="008F2977">
        <w:rPr>
          <w:rFonts w:ascii="Arial" w:hAnsi="Arial" w:cs="Arial"/>
          <w:iCs/>
          <w:color w:val="000000" w:themeColor="text1"/>
        </w:rPr>
        <w:t>124 Hours of private study</w:t>
      </w:r>
    </w:p>
    <w:p w14:paraId="03F30253" w14:textId="3C08916C" w:rsidR="008F2977" w:rsidRPr="00F2190F" w:rsidRDefault="008F2977" w:rsidP="008F2977">
      <w:pPr>
        <w:pStyle w:val="ListParagraph"/>
        <w:numPr>
          <w:ilvl w:val="0"/>
          <w:numId w:val="16"/>
        </w:numPr>
        <w:spacing w:after="120" w:line="240" w:lineRule="auto"/>
        <w:ind w:right="260"/>
        <w:rPr>
          <w:rFonts w:ascii="Arial" w:hAnsi="Arial" w:cs="Arial"/>
          <w:i/>
          <w:iCs/>
          <w:color w:val="000000" w:themeColor="text1"/>
        </w:rPr>
      </w:pPr>
      <w:r w:rsidRPr="00F2190F">
        <w:rPr>
          <w:rFonts w:ascii="Arial" w:hAnsi="Arial" w:cs="Arial"/>
          <w:iCs/>
          <w:color w:val="000000" w:themeColor="text1"/>
        </w:rPr>
        <w:t>Total hours for the module 150</w:t>
      </w:r>
    </w:p>
    <w:p w14:paraId="2A2A52E0" w14:textId="5FDA71FE" w:rsidR="0036174D" w:rsidRPr="008F2977" w:rsidRDefault="00A76C12" w:rsidP="008F2977">
      <w:pPr>
        <w:pStyle w:val="ListParagraph"/>
        <w:spacing w:after="120" w:line="240" w:lineRule="auto"/>
        <w:ind w:right="260"/>
        <w:rPr>
          <w:rFonts w:ascii="Arial" w:hAnsi="Arial" w:cs="Arial"/>
          <w:iCs/>
        </w:rPr>
      </w:pPr>
      <w:r w:rsidRPr="008F2977">
        <w:rPr>
          <w:rFonts w:ascii="Arial" w:hAnsi="Arial" w:cs="Arial"/>
          <w:iCs/>
          <w:color w:val="000000" w:themeColor="text1"/>
        </w:rPr>
        <w:tab/>
      </w:r>
      <w:r w:rsidRPr="008F2977">
        <w:rPr>
          <w:rFonts w:ascii="Arial" w:hAnsi="Arial" w:cs="Arial"/>
          <w:iCs/>
          <w:color w:val="000000" w:themeColor="text1"/>
        </w:rPr>
        <w:tab/>
        <w:t xml:space="preserve"> </w:t>
      </w:r>
    </w:p>
    <w:p w14:paraId="34BA370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6DD4D8C" w14:textId="77777777" w:rsidR="0036174D" w:rsidRPr="00F2190F" w:rsidRDefault="00AE6CD0" w:rsidP="00AE6CD0">
      <w:pPr>
        <w:pStyle w:val="ListParagraph"/>
        <w:numPr>
          <w:ilvl w:val="1"/>
          <w:numId w:val="1"/>
        </w:numPr>
        <w:spacing w:after="120"/>
        <w:ind w:left="567" w:hanging="567"/>
        <w:contextualSpacing w:val="0"/>
        <w:rPr>
          <w:rFonts w:ascii="Arial" w:hAnsi="Arial" w:cs="Arial"/>
          <w:iCs/>
          <w:color w:val="000000" w:themeColor="text1"/>
        </w:rPr>
      </w:pPr>
      <w:r w:rsidRPr="00F2190F">
        <w:rPr>
          <w:rFonts w:ascii="Arial" w:hAnsi="Arial" w:cs="Arial"/>
          <w:iCs/>
          <w:color w:val="000000" w:themeColor="text1"/>
        </w:rPr>
        <w:t>Main assessment methods</w:t>
      </w:r>
    </w:p>
    <w:p w14:paraId="3D599B6B" w14:textId="6F93895A" w:rsidR="008F2977" w:rsidRPr="00F2190F" w:rsidRDefault="008F2977" w:rsidP="00F2190F">
      <w:pPr>
        <w:pStyle w:val="ListParagraph"/>
        <w:numPr>
          <w:ilvl w:val="0"/>
          <w:numId w:val="17"/>
        </w:numPr>
        <w:spacing w:after="120" w:line="240" w:lineRule="auto"/>
        <w:ind w:right="260"/>
        <w:jc w:val="both"/>
        <w:rPr>
          <w:rFonts w:ascii="Arial" w:hAnsi="Arial" w:cs="Arial"/>
          <w:iCs/>
          <w:color w:val="000000" w:themeColor="text1"/>
        </w:rPr>
      </w:pPr>
      <w:r w:rsidRPr="00F2190F">
        <w:rPr>
          <w:rFonts w:ascii="Arial" w:hAnsi="Arial" w:cs="Arial"/>
          <w:iCs/>
          <w:color w:val="000000" w:themeColor="text1"/>
        </w:rPr>
        <w:t>Essay, 1500 words (15%)</w:t>
      </w:r>
    </w:p>
    <w:p w14:paraId="124B589F" w14:textId="3CA1C8F9" w:rsidR="008F2977" w:rsidRPr="00F2190F" w:rsidRDefault="008F2977" w:rsidP="00F2190F">
      <w:pPr>
        <w:pStyle w:val="ListParagraph"/>
        <w:numPr>
          <w:ilvl w:val="0"/>
          <w:numId w:val="17"/>
        </w:numPr>
        <w:spacing w:after="120" w:line="240" w:lineRule="auto"/>
        <w:ind w:right="260"/>
        <w:jc w:val="both"/>
        <w:rPr>
          <w:rFonts w:ascii="Arial" w:hAnsi="Arial" w:cs="Arial"/>
          <w:iCs/>
          <w:color w:val="000000" w:themeColor="text1"/>
        </w:rPr>
      </w:pPr>
      <w:r w:rsidRPr="00F2190F">
        <w:rPr>
          <w:rFonts w:ascii="Arial" w:hAnsi="Arial" w:cs="Arial"/>
          <w:iCs/>
          <w:color w:val="000000" w:themeColor="text1"/>
        </w:rPr>
        <w:t>Laboratory practical report</w:t>
      </w:r>
      <w:r w:rsidR="006E5B77">
        <w:rPr>
          <w:rFonts w:ascii="Arial" w:hAnsi="Arial" w:cs="Arial"/>
          <w:iCs/>
          <w:color w:val="000000" w:themeColor="text1"/>
        </w:rPr>
        <w:t>, 2500 words</w:t>
      </w:r>
      <w:r w:rsidR="00F2190F" w:rsidRPr="00F2190F">
        <w:rPr>
          <w:rFonts w:ascii="Arial" w:hAnsi="Arial" w:cs="Arial"/>
          <w:iCs/>
          <w:color w:val="000000" w:themeColor="text1"/>
        </w:rPr>
        <w:t xml:space="preserve"> (35%)</w:t>
      </w:r>
    </w:p>
    <w:p w14:paraId="29C8C1BF" w14:textId="77777777" w:rsidR="00F2190F" w:rsidRPr="00F2190F" w:rsidRDefault="00F2190F" w:rsidP="00F2190F">
      <w:pPr>
        <w:pStyle w:val="ListParagraph"/>
        <w:numPr>
          <w:ilvl w:val="0"/>
          <w:numId w:val="17"/>
        </w:numPr>
        <w:spacing w:after="120" w:line="240" w:lineRule="auto"/>
        <w:ind w:right="260"/>
        <w:jc w:val="both"/>
        <w:rPr>
          <w:rFonts w:ascii="Arial" w:hAnsi="Arial" w:cs="Arial"/>
          <w:iCs/>
          <w:color w:val="000000" w:themeColor="text1"/>
        </w:rPr>
      </w:pPr>
      <w:r w:rsidRPr="00F2190F">
        <w:rPr>
          <w:rFonts w:ascii="Arial" w:hAnsi="Arial" w:cs="Arial"/>
          <w:iCs/>
          <w:color w:val="000000" w:themeColor="text1"/>
        </w:rPr>
        <w:t>Exam, 2 hours (50%)</w:t>
      </w:r>
    </w:p>
    <w:p w14:paraId="16DFC28B" w14:textId="2278C06E" w:rsidR="00AE6CD0" w:rsidRPr="00F2190F" w:rsidRDefault="00F2190F" w:rsidP="00F2190F">
      <w:pPr>
        <w:spacing w:after="120" w:line="240" w:lineRule="auto"/>
        <w:ind w:right="260"/>
        <w:jc w:val="both"/>
        <w:rPr>
          <w:rFonts w:ascii="Arial" w:hAnsi="Arial" w:cs="Arial"/>
          <w:iCs/>
          <w:color w:val="000000" w:themeColor="text1"/>
        </w:rPr>
      </w:pPr>
      <w:r w:rsidRPr="00F2190F">
        <w:rPr>
          <w:rFonts w:ascii="Arial" w:hAnsi="Arial" w:cs="Arial"/>
          <w:iCs/>
          <w:color w:val="000000" w:themeColor="text1"/>
        </w:rPr>
        <w:t xml:space="preserve">13.2. </w:t>
      </w:r>
      <w:r w:rsidR="00AE6CD0" w:rsidRPr="00F2190F">
        <w:rPr>
          <w:rFonts w:ascii="Arial" w:hAnsi="Arial" w:cs="Arial"/>
          <w:iCs/>
          <w:color w:val="000000" w:themeColor="text1"/>
        </w:rPr>
        <w:t xml:space="preserve">Reassessment methods </w:t>
      </w:r>
    </w:p>
    <w:p w14:paraId="51C8AA26" w14:textId="52CB865E" w:rsidR="005A028A" w:rsidRPr="00241B7C" w:rsidRDefault="00241B7C" w:rsidP="005A028A">
      <w:pPr>
        <w:spacing w:after="120"/>
        <w:ind w:left="567"/>
        <w:rPr>
          <w:rFonts w:ascii="Arial" w:hAnsi="Arial" w:cs="Arial"/>
          <w:iCs/>
          <w:color w:val="000000" w:themeColor="text1"/>
        </w:rPr>
      </w:pPr>
      <w:r w:rsidRPr="00241B7C">
        <w:rPr>
          <w:rFonts w:ascii="Arial" w:hAnsi="Arial" w:cs="Arial"/>
          <w:iCs/>
          <w:color w:val="000000" w:themeColor="text1"/>
        </w:rPr>
        <w:t>Like-for-like</w:t>
      </w:r>
      <w:r w:rsidRPr="00241B7C">
        <w:rPr>
          <w:rFonts w:ascii="Arial" w:hAnsi="Arial" w:cs="Arial"/>
          <w:color w:val="000000" w:themeColor="text1"/>
        </w:rPr>
        <w:t xml:space="preserve"> composite reassessment where one piece of like-for-like assessment will be set that will address all the coursework learning outcomes for any failed components</w:t>
      </w:r>
      <w:r w:rsidR="00F968B9">
        <w:rPr>
          <w:rFonts w:ascii="Arial" w:hAnsi="Arial" w:cs="Arial"/>
          <w:color w:val="000000" w:themeColor="text1"/>
        </w:rPr>
        <w:t>.</w:t>
      </w:r>
    </w:p>
    <w:p w14:paraId="58CBE2A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841" w:type="dxa"/>
        <w:tblInd w:w="108" w:type="dxa"/>
        <w:tblLayout w:type="fixed"/>
        <w:tblLook w:val="04A0" w:firstRow="1" w:lastRow="0" w:firstColumn="1" w:lastColumn="0" w:noHBand="0" w:noVBand="1"/>
      </w:tblPr>
      <w:tblGrid>
        <w:gridCol w:w="1730"/>
        <w:gridCol w:w="567"/>
        <w:gridCol w:w="567"/>
        <w:gridCol w:w="567"/>
        <w:gridCol w:w="567"/>
        <w:gridCol w:w="567"/>
        <w:gridCol w:w="567"/>
        <w:gridCol w:w="709"/>
      </w:tblGrid>
      <w:tr w:rsidR="00241B7C" w:rsidRPr="00EA55B1" w14:paraId="4351B1B0" w14:textId="77777777" w:rsidTr="00241B7C">
        <w:tc>
          <w:tcPr>
            <w:tcW w:w="1730" w:type="dxa"/>
            <w:shd w:val="clear" w:color="auto" w:fill="D9D9D9" w:themeFill="background1" w:themeFillShade="D9"/>
          </w:tcPr>
          <w:p w14:paraId="70D32DB7" w14:textId="77777777" w:rsidR="00241B7C" w:rsidRPr="00EA55B1" w:rsidRDefault="00241B7C" w:rsidP="007F6F4B">
            <w:pPr>
              <w:spacing w:after="120"/>
              <w:ind w:left="33"/>
              <w:rPr>
                <w:rFonts w:ascii="Arial" w:hAnsi="Arial" w:cs="Arial"/>
                <w:b/>
                <w:color w:val="000000" w:themeColor="text1"/>
              </w:rPr>
            </w:pPr>
            <w:r w:rsidRPr="00EA55B1">
              <w:rPr>
                <w:rFonts w:ascii="Arial" w:hAnsi="Arial" w:cs="Arial"/>
                <w:b/>
                <w:color w:val="000000" w:themeColor="text1"/>
              </w:rPr>
              <w:lastRenderedPageBreak/>
              <w:t>Module learning outcome</w:t>
            </w:r>
          </w:p>
        </w:tc>
        <w:tc>
          <w:tcPr>
            <w:tcW w:w="567" w:type="dxa"/>
          </w:tcPr>
          <w:p w14:paraId="0A4757ED" w14:textId="77777777" w:rsidR="00241B7C" w:rsidRPr="006843AB" w:rsidRDefault="00241B7C" w:rsidP="007F6F4B">
            <w:pPr>
              <w:spacing w:after="120"/>
              <w:rPr>
                <w:rFonts w:ascii="Arial" w:hAnsi="Arial" w:cs="Arial"/>
                <w:color w:val="000000" w:themeColor="text1"/>
              </w:rPr>
            </w:pPr>
            <w:r w:rsidRPr="006843AB">
              <w:rPr>
                <w:rFonts w:ascii="Arial" w:hAnsi="Arial" w:cs="Arial"/>
                <w:color w:val="000000" w:themeColor="text1"/>
              </w:rPr>
              <w:t>8.1</w:t>
            </w:r>
          </w:p>
        </w:tc>
        <w:tc>
          <w:tcPr>
            <w:tcW w:w="567" w:type="dxa"/>
          </w:tcPr>
          <w:p w14:paraId="6E04E680" w14:textId="77777777" w:rsidR="00241B7C" w:rsidRPr="006843AB" w:rsidRDefault="00241B7C" w:rsidP="007F6F4B">
            <w:pPr>
              <w:spacing w:after="120"/>
              <w:rPr>
                <w:rFonts w:ascii="Arial" w:hAnsi="Arial" w:cs="Arial"/>
                <w:color w:val="000000" w:themeColor="text1"/>
              </w:rPr>
            </w:pPr>
            <w:r w:rsidRPr="006843AB">
              <w:rPr>
                <w:rFonts w:ascii="Arial" w:hAnsi="Arial" w:cs="Arial"/>
                <w:color w:val="000000" w:themeColor="text1"/>
              </w:rPr>
              <w:t>8.2</w:t>
            </w:r>
          </w:p>
        </w:tc>
        <w:tc>
          <w:tcPr>
            <w:tcW w:w="567" w:type="dxa"/>
          </w:tcPr>
          <w:p w14:paraId="4D0BC0AC" w14:textId="77777777" w:rsidR="00241B7C" w:rsidRPr="006843AB" w:rsidRDefault="00241B7C" w:rsidP="007F6F4B">
            <w:pPr>
              <w:spacing w:after="120"/>
              <w:rPr>
                <w:rFonts w:ascii="Arial" w:hAnsi="Arial" w:cs="Arial"/>
                <w:color w:val="000000" w:themeColor="text1"/>
              </w:rPr>
            </w:pPr>
            <w:r w:rsidRPr="006843AB">
              <w:rPr>
                <w:rFonts w:ascii="Arial" w:hAnsi="Arial" w:cs="Arial"/>
                <w:color w:val="000000" w:themeColor="text1"/>
              </w:rPr>
              <w:t>9.1</w:t>
            </w:r>
          </w:p>
        </w:tc>
        <w:tc>
          <w:tcPr>
            <w:tcW w:w="567" w:type="dxa"/>
          </w:tcPr>
          <w:p w14:paraId="56EB7035" w14:textId="77777777" w:rsidR="00241B7C" w:rsidRPr="006843AB" w:rsidRDefault="00241B7C" w:rsidP="007F6F4B">
            <w:pPr>
              <w:spacing w:after="120"/>
              <w:rPr>
                <w:rFonts w:ascii="Arial" w:hAnsi="Arial" w:cs="Arial"/>
                <w:color w:val="000000" w:themeColor="text1"/>
              </w:rPr>
            </w:pPr>
            <w:r w:rsidRPr="006843AB">
              <w:rPr>
                <w:rFonts w:ascii="Arial" w:hAnsi="Arial" w:cs="Arial"/>
                <w:color w:val="000000" w:themeColor="text1"/>
              </w:rPr>
              <w:t>9.2</w:t>
            </w:r>
          </w:p>
        </w:tc>
        <w:tc>
          <w:tcPr>
            <w:tcW w:w="567" w:type="dxa"/>
          </w:tcPr>
          <w:p w14:paraId="213C8669" w14:textId="77777777" w:rsidR="00241B7C" w:rsidRPr="006843AB" w:rsidRDefault="00241B7C" w:rsidP="007F6F4B">
            <w:pPr>
              <w:spacing w:after="120"/>
              <w:rPr>
                <w:rFonts w:ascii="Arial" w:hAnsi="Arial" w:cs="Arial"/>
                <w:color w:val="000000" w:themeColor="text1"/>
              </w:rPr>
            </w:pPr>
            <w:r w:rsidRPr="006843AB">
              <w:rPr>
                <w:rFonts w:ascii="Arial" w:hAnsi="Arial" w:cs="Arial"/>
                <w:color w:val="000000" w:themeColor="text1"/>
              </w:rPr>
              <w:t>9.3</w:t>
            </w:r>
          </w:p>
        </w:tc>
        <w:tc>
          <w:tcPr>
            <w:tcW w:w="567" w:type="dxa"/>
          </w:tcPr>
          <w:p w14:paraId="29FD25DD" w14:textId="77777777" w:rsidR="00241B7C" w:rsidRPr="00EA55B1" w:rsidRDefault="00241B7C" w:rsidP="007F6F4B">
            <w:pPr>
              <w:spacing w:after="120"/>
              <w:rPr>
                <w:rFonts w:ascii="Arial" w:hAnsi="Arial" w:cs="Arial"/>
                <w:color w:val="000000" w:themeColor="text1"/>
              </w:rPr>
            </w:pPr>
          </w:p>
        </w:tc>
        <w:tc>
          <w:tcPr>
            <w:tcW w:w="709" w:type="dxa"/>
          </w:tcPr>
          <w:p w14:paraId="6FA26035" w14:textId="77777777" w:rsidR="00241B7C" w:rsidRPr="00EA55B1" w:rsidRDefault="00241B7C" w:rsidP="007F6F4B">
            <w:pPr>
              <w:spacing w:after="120"/>
              <w:rPr>
                <w:rFonts w:ascii="Arial" w:hAnsi="Arial" w:cs="Arial"/>
                <w:color w:val="000000" w:themeColor="text1"/>
              </w:rPr>
            </w:pPr>
          </w:p>
        </w:tc>
      </w:tr>
      <w:tr w:rsidR="00241B7C" w:rsidRPr="00EA55B1" w14:paraId="6439CC44" w14:textId="77777777" w:rsidTr="00241B7C">
        <w:tc>
          <w:tcPr>
            <w:tcW w:w="1730" w:type="dxa"/>
            <w:shd w:val="clear" w:color="auto" w:fill="D9D9D9" w:themeFill="background1" w:themeFillShade="D9"/>
          </w:tcPr>
          <w:p w14:paraId="301A7E16"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Learning/ teaching method</w:t>
            </w:r>
          </w:p>
        </w:tc>
        <w:tc>
          <w:tcPr>
            <w:tcW w:w="567" w:type="dxa"/>
          </w:tcPr>
          <w:p w14:paraId="29BA4ECE" w14:textId="77777777" w:rsidR="00241B7C" w:rsidRPr="00EA55B1" w:rsidRDefault="00241B7C" w:rsidP="007F6F4B">
            <w:pPr>
              <w:spacing w:after="120"/>
              <w:rPr>
                <w:rFonts w:ascii="Arial" w:hAnsi="Arial" w:cs="Arial"/>
                <w:b/>
                <w:color w:val="000000" w:themeColor="text1"/>
              </w:rPr>
            </w:pPr>
          </w:p>
        </w:tc>
        <w:tc>
          <w:tcPr>
            <w:tcW w:w="567" w:type="dxa"/>
          </w:tcPr>
          <w:p w14:paraId="6B6DFDF7" w14:textId="77777777" w:rsidR="00241B7C" w:rsidRPr="00EA55B1" w:rsidRDefault="00241B7C" w:rsidP="007F6F4B">
            <w:pPr>
              <w:spacing w:after="120"/>
              <w:rPr>
                <w:rFonts w:ascii="Arial" w:hAnsi="Arial" w:cs="Arial"/>
                <w:b/>
                <w:color w:val="000000" w:themeColor="text1"/>
              </w:rPr>
            </w:pPr>
          </w:p>
        </w:tc>
        <w:tc>
          <w:tcPr>
            <w:tcW w:w="567" w:type="dxa"/>
          </w:tcPr>
          <w:p w14:paraId="75B4D15B" w14:textId="77777777" w:rsidR="00241B7C" w:rsidRPr="00EA55B1" w:rsidRDefault="00241B7C" w:rsidP="007F6F4B">
            <w:pPr>
              <w:spacing w:after="120"/>
              <w:rPr>
                <w:rFonts w:ascii="Arial" w:hAnsi="Arial" w:cs="Arial"/>
                <w:b/>
                <w:color w:val="000000" w:themeColor="text1"/>
              </w:rPr>
            </w:pPr>
          </w:p>
        </w:tc>
        <w:tc>
          <w:tcPr>
            <w:tcW w:w="567" w:type="dxa"/>
          </w:tcPr>
          <w:p w14:paraId="34D08E2A" w14:textId="77777777" w:rsidR="00241B7C" w:rsidRPr="00EA55B1" w:rsidRDefault="00241B7C" w:rsidP="007F6F4B">
            <w:pPr>
              <w:spacing w:after="120"/>
              <w:rPr>
                <w:rFonts w:ascii="Arial" w:hAnsi="Arial" w:cs="Arial"/>
                <w:b/>
                <w:color w:val="000000" w:themeColor="text1"/>
              </w:rPr>
            </w:pPr>
          </w:p>
        </w:tc>
        <w:tc>
          <w:tcPr>
            <w:tcW w:w="567" w:type="dxa"/>
          </w:tcPr>
          <w:p w14:paraId="3FEAAFB5" w14:textId="77777777" w:rsidR="00241B7C" w:rsidRPr="00EA55B1" w:rsidRDefault="00241B7C" w:rsidP="007F6F4B">
            <w:pPr>
              <w:spacing w:after="120"/>
              <w:rPr>
                <w:rFonts w:ascii="Arial" w:hAnsi="Arial" w:cs="Arial"/>
                <w:b/>
                <w:color w:val="000000" w:themeColor="text1"/>
              </w:rPr>
            </w:pPr>
          </w:p>
        </w:tc>
        <w:tc>
          <w:tcPr>
            <w:tcW w:w="567" w:type="dxa"/>
          </w:tcPr>
          <w:p w14:paraId="2963936A" w14:textId="77777777" w:rsidR="00241B7C" w:rsidRPr="00EA55B1" w:rsidRDefault="00241B7C" w:rsidP="007F6F4B">
            <w:pPr>
              <w:spacing w:after="120"/>
              <w:rPr>
                <w:rFonts w:ascii="Arial" w:hAnsi="Arial" w:cs="Arial"/>
                <w:b/>
                <w:color w:val="000000" w:themeColor="text1"/>
              </w:rPr>
            </w:pPr>
          </w:p>
        </w:tc>
        <w:tc>
          <w:tcPr>
            <w:tcW w:w="709" w:type="dxa"/>
          </w:tcPr>
          <w:p w14:paraId="6C1B091F" w14:textId="77777777" w:rsidR="00241B7C" w:rsidRPr="00EA55B1" w:rsidRDefault="00241B7C" w:rsidP="007F6F4B">
            <w:pPr>
              <w:spacing w:after="120"/>
              <w:rPr>
                <w:rFonts w:ascii="Arial" w:hAnsi="Arial" w:cs="Arial"/>
                <w:b/>
                <w:color w:val="000000" w:themeColor="text1"/>
              </w:rPr>
            </w:pPr>
          </w:p>
        </w:tc>
      </w:tr>
      <w:tr w:rsidR="00241B7C" w:rsidRPr="00EA55B1" w14:paraId="7EDB0D52" w14:textId="77777777" w:rsidTr="00241B7C">
        <w:tc>
          <w:tcPr>
            <w:tcW w:w="1730" w:type="dxa"/>
          </w:tcPr>
          <w:p w14:paraId="185E3D06"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Private Study</w:t>
            </w:r>
          </w:p>
        </w:tc>
        <w:tc>
          <w:tcPr>
            <w:tcW w:w="567" w:type="dxa"/>
          </w:tcPr>
          <w:p w14:paraId="2D6E8636"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041F9139"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4A12F5BF"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546A8983"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162A3A5D"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6D0DB81B" w14:textId="77777777" w:rsidR="00241B7C" w:rsidRPr="00EA55B1" w:rsidRDefault="00241B7C" w:rsidP="007F6F4B">
            <w:pPr>
              <w:spacing w:after="120"/>
              <w:rPr>
                <w:rFonts w:ascii="Arial" w:hAnsi="Arial" w:cs="Arial"/>
                <w:b/>
                <w:color w:val="000000" w:themeColor="text1"/>
              </w:rPr>
            </w:pPr>
          </w:p>
        </w:tc>
        <w:tc>
          <w:tcPr>
            <w:tcW w:w="709" w:type="dxa"/>
          </w:tcPr>
          <w:p w14:paraId="425CD819" w14:textId="77777777" w:rsidR="00241B7C" w:rsidRPr="00EA55B1" w:rsidRDefault="00241B7C" w:rsidP="007F6F4B">
            <w:pPr>
              <w:spacing w:after="120"/>
              <w:rPr>
                <w:rFonts w:ascii="Arial" w:hAnsi="Arial" w:cs="Arial"/>
                <w:b/>
                <w:color w:val="000000" w:themeColor="text1"/>
              </w:rPr>
            </w:pPr>
          </w:p>
        </w:tc>
      </w:tr>
      <w:tr w:rsidR="00241B7C" w:rsidRPr="00EA55B1" w14:paraId="6CC65AEF" w14:textId="77777777" w:rsidTr="00241B7C">
        <w:tc>
          <w:tcPr>
            <w:tcW w:w="1730" w:type="dxa"/>
          </w:tcPr>
          <w:p w14:paraId="349B059D" w14:textId="77777777" w:rsidR="00241B7C" w:rsidRPr="00E43234" w:rsidRDefault="00241B7C" w:rsidP="007F6F4B">
            <w:pPr>
              <w:spacing w:after="120"/>
              <w:rPr>
                <w:rFonts w:ascii="Arial" w:hAnsi="Arial" w:cs="Arial"/>
                <w:i/>
                <w:color w:val="000000" w:themeColor="text1"/>
              </w:rPr>
            </w:pPr>
            <w:r w:rsidRPr="00E43234">
              <w:rPr>
                <w:rFonts w:ascii="Arial" w:hAnsi="Arial" w:cs="Arial"/>
                <w:i/>
                <w:color w:val="000000" w:themeColor="text1"/>
              </w:rPr>
              <w:t>Lectures</w:t>
            </w:r>
          </w:p>
        </w:tc>
        <w:tc>
          <w:tcPr>
            <w:tcW w:w="567" w:type="dxa"/>
          </w:tcPr>
          <w:p w14:paraId="59E7A638"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26E08571" w14:textId="77777777" w:rsidR="00241B7C" w:rsidRPr="00EA55B1" w:rsidRDefault="00241B7C" w:rsidP="007F6F4B">
            <w:pPr>
              <w:spacing w:after="120"/>
              <w:rPr>
                <w:rFonts w:ascii="Arial" w:hAnsi="Arial" w:cs="Arial"/>
                <w:b/>
                <w:color w:val="000000" w:themeColor="text1"/>
              </w:rPr>
            </w:pPr>
          </w:p>
        </w:tc>
        <w:tc>
          <w:tcPr>
            <w:tcW w:w="567" w:type="dxa"/>
          </w:tcPr>
          <w:p w14:paraId="0E6C0464"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60F1169D" w14:textId="77777777" w:rsidR="00241B7C" w:rsidRPr="00EA55B1" w:rsidRDefault="00241B7C" w:rsidP="007F6F4B">
            <w:pPr>
              <w:spacing w:after="120"/>
              <w:rPr>
                <w:rFonts w:ascii="Arial" w:hAnsi="Arial" w:cs="Arial"/>
                <w:b/>
                <w:color w:val="000000" w:themeColor="text1"/>
              </w:rPr>
            </w:pPr>
          </w:p>
        </w:tc>
        <w:tc>
          <w:tcPr>
            <w:tcW w:w="567" w:type="dxa"/>
          </w:tcPr>
          <w:p w14:paraId="1BFD7E46" w14:textId="77777777" w:rsidR="00241B7C" w:rsidRPr="00EA55B1" w:rsidRDefault="00241B7C" w:rsidP="007F6F4B">
            <w:pPr>
              <w:spacing w:after="120"/>
              <w:rPr>
                <w:rFonts w:ascii="Arial" w:hAnsi="Arial" w:cs="Arial"/>
                <w:b/>
                <w:color w:val="000000" w:themeColor="text1"/>
              </w:rPr>
            </w:pPr>
          </w:p>
        </w:tc>
        <w:tc>
          <w:tcPr>
            <w:tcW w:w="567" w:type="dxa"/>
          </w:tcPr>
          <w:p w14:paraId="66E1F2DB" w14:textId="77777777" w:rsidR="00241B7C" w:rsidRPr="00EA55B1" w:rsidRDefault="00241B7C" w:rsidP="007F6F4B">
            <w:pPr>
              <w:spacing w:after="120"/>
              <w:rPr>
                <w:rFonts w:ascii="Arial" w:hAnsi="Arial" w:cs="Arial"/>
                <w:b/>
                <w:color w:val="000000" w:themeColor="text1"/>
              </w:rPr>
            </w:pPr>
          </w:p>
        </w:tc>
        <w:tc>
          <w:tcPr>
            <w:tcW w:w="709" w:type="dxa"/>
          </w:tcPr>
          <w:p w14:paraId="052EBAF1" w14:textId="77777777" w:rsidR="00241B7C" w:rsidRPr="00EA55B1" w:rsidRDefault="00241B7C" w:rsidP="007F6F4B">
            <w:pPr>
              <w:spacing w:after="120"/>
              <w:rPr>
                <w:rFonts w:ascii="Arial" w:hAnsi="Arial" w:cs="Arial"/>
                <w:b/>
                <w:color w:val="000000" w:themeColor="text1"/>
              </w:rPr>
            </w:pPr>
          </w:p>
        </w:tc>
      </w:tr>
      <w:tr w:rsidR="00241B7C" w:rsidRPr="00EA55B1" w14:paraId="311C12FF" w14:textId="77777777" w:rsidTr="00241B7C">
        <w:tc>
          <w:tcPr>
            <w:tcW w:w="1730" w:type="dxa"/>
          </w:tcPr>
          <w:p w14:paraId="109B632F" w14:textId="77777777" w:rsidR="00241B7C" w:rsidRPr="00E43234" w:rsidRDefault="00241B7C" w:rsidP="007F6F4B">
            <w:pPr>
              <w:spacing w:after="120"/>
              <w:rPr>
                <w:rFonts w:ascii="Arial" w:hAnsi="Arial" w:cs="Arial"/>
                <w:i/>
                <w:color w:val="000000" w:themeColor="text1"/>
              </w:rPr>
            </w:pPr>
            <w:r w:rsidRPr="00E43234">
              <w:rPr>
                <w:rFonts w:ascii="Arial" w:hAnsi="Arial" w:cs="Arial"/>
                <w:i/>
                <w:color w:val="000000" w:themeColor="text1"/>
              </w:rPr>
              <w:t>Workshop (group discussion)</w:t>
            </w:r>
          </w:p>
        </w:tc>
        <w:tc>
          <w:tcPr>
            <w:tcW w:w="567" w:type="dxa"/>
          </w:tcPr>
          <w:p w14:paraId="02038C95"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5D34F057"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52F52CFF"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22CC18FE"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0AE78066"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6E357E67" w14:textId="77777777" w:rsidR="00241B7C" w:rsidRPr="00EA55B1" w:rsidRDefault="00241B7C" w:rsidP="007F6F4B">
            <w:pPr>
              <w:spacing w:after="120"/>
              <w:rPr>
                <w:rFonts w:ascii="Arial" w:hAnsi="Arial" w:cs="Arial"/>
                <w:b/>
                <w:color w:val="000000" w:themeColor="text1"/>
              </w:rPr>
            </w:pPr>
          </w:p>
        </w:tc>
        <w:tc>
          <w:tcPr>
            <w:tcW w:w="709" w:type="dxa"/>
          </w:tcPr>
          <w:p w14:paraId="153F1BD9" w14:textId="77777777" w:rsidR="00241B7C" w:rsidRPr="00EA55B1" w:rsidRDefault="00241B7C" w:rsidP="007F6F4B">
            <w:pPr>
              <w:spacing w:after="120"/>
              <w:rPr>
                <w:rFonts w:ascii="Arial" w:hAnsi="Arial" w:cs="Arial"/>
                <w:b/>
                <w:color w:val="000000" w:themeColor="text1"/>
              </w:rPr>
            </w:pPr>
          </w:p>
        </w:tc>
      </w:tr>
      <w:tr w:rsidR="00241B7C" w:rsidRPr="00EA55B1" w14:paraId="0C2F0C6F" w14:textId="77777777" w:rsidTr="00241B7C">
        <w:tc>
          <w:tcPr>
            <w:tcW w:w="1730" w:type="dxa"/>
          </w:tcPr>
          <w:p w14:paraId="1D119F33" w14:textId="77777777" w:rsidR="00241B7C" w:rsidRPr="00E43234" w:rsidRDefault="00241B7C" w:rsidP="007F6F4B">
            <w:pPr>
              <w:spacing w:after="120"/>
              <w:rPr>
                <w:rFonts w:ascii="Arial" w:hAnsi="Arial" w:cs="Arial"/>
                <w:i/>
                <w:color w:val="000000" w:themeColor="text1"/>
              </w:rPr>
            </w:pPr>
            <w:r w:rsidRPr="00E43234">
              <w:rPr>
                <w:rFonts w:ascii="Arial" w:hAnsi="Arial" w:cs="Arial"/>
                <w:i/>
                <w:color w:val="000000" w:themeColor="text1"/>
              </w:rPr>
              <w:t>Field practical</w:t>
            </w:r>
          </w:p>
        </w:tc>
        <w:tc>
          <w:tcPr>
            <w:tcW w:w="567" w:type="dxa"/>
          </w:tcPr>
          <w:p w14:paraId="6E0CF7C6"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028A4CC3"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0EAF82A0"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7E32E6ED" w14:textId="77777777" w:rsidR="00241B7C" w:rsidRPr="00EA55B1" w:rsidRDefault="00241B7C" w:rsidP="007F6F4B">
            <w:pPr>
              <w:spacing w:after="120"/>
              <w:rPr>
                <w:rFonts w:ascii="Arial" w:hAnsi="Arial" w:cs="Arial"/>
                <w:b/>
                <w:color w:val="000000" w:themeColor="text1"/>
              </w:rPr>
            </w:pPr>
          </w:p>
        </w:tc>
        <w:tc>
          <w:tcPr>
            <w:tcW w:w="567" w:type="dxa"/>
          </w:tcPr>
          <w:p w14:paraId="01D208CA" w14:textId="77777777" w:rsidR="00241B7C" w:rsidRPr="00EA55B1" w:rsidRDefault="00241B7C" w:rsidP="007F6F4B">
            <w:pPr>
              <w:spacing w:after="120"/>
              <w:rPr>
                <w:rFonts w:ascii="Arial" w:hAnsi="Arial" w:cs="Arial"/>
                <w:b/>
                <w:color w:val="000000" w:themeColor="text1"/>
              </w:rPr>
            </w:pPr>
          </w:p>
        </w:tc>
        <w:tc>
          <w:tcPr>
            <w:tcW w:w="567" w:type="dxa"/>
          </w:tcPr>
          <w:p w14:paraId="71A7D611" w14:textId="77777777" w:rsidR="00241B7C" w:rsidRPr="00EA55B1" w:rsidRDefault="00241B7C" w:rsidP="007F6F4B">
            <w:pPr>
              <w:spacing w:after="120"/>
              <w:rPr>
                <w:rFonts w:ascii="Arial" w:hAnsi="Arial" w:cs="Arial"/>
                <w:b/>
                <w:color w:val="000000" w:themeColor="text1"/>
              </w:rPr>
            </w:pPr>
          </w:p>
        </w:tc>
        <w:tc>
          <w:tcPr>
            <w:tcW w:w="709" w:type="dxa"/>
          </w:tcPr>
          <w:p w14:paraId="4ECC3C38" w14:textId="77777777" w:rsidR="00241B7C" w:rsidRPr="00EA55B1" w:rsidRDefault="00241B7C" w:rsidP="007F6F4B">
            <w:pPr>
              <w:spacing w:after="120"/>
              <w:rPr>
                <w:rFonts w:ascii="Arial" w:hAnsi="Arial" w:cs="Arial"/>
                <w:b/>
                <w:color w:val="000000" w:themeColor="text1"/>
              </w:rPr>
            </w:pPr>
          </w:p>
        </w:tc>
      </w:tr>
      <w:tr w:rsidR="00241B7C" w:rsidRPr="00EA55B1" w14:paraId="3F85834C" w14:textId="77777777" w:rsidTr="00241B7C">
        <w:tc>
          <w:tcPr>
            <w:tcW w:w="1730" w:type="dxa"/>
          </w:tcPr>
          <w:p w14:paraId="03FCBADF" w14:textId="77777777" w:rsidR="00241B7C" w:rsidRPr="00E43234" w:rsidRDefault="00241B7C" w:rsidP="007F6F4B">
            <w:pPr>
              <w:spacing w:after="120"/>
              <w:rPr>
                <w:rFonts w:ascii="Arial" w:hAnsi="Arial" w:cs="Arial"/>
                <w:i/>
                <w:color w:val="000000" w:themeColor="text1"/>
              </w:rPr>
            </w:pPr>
            <w:r w:rsidRPr="00E43234">
              <w:rPr>
                <w:rFonts w:ascii="Arial" w:hAnsi="Arial" w:cs="Arial"/>
                <w:i/>
                <w:color w:val="000000" w:themeColor="text1"/>
              </w:rPr>
              <w:t>Laboratory Practical</w:t>
            </w:r>
          </w:p>
        </w:tc>
        <w:tc>
          <w:tcPr>
            <w:tcW w:w="567" w:type="dxa"/>
          </w:tcPr>
          <w:p w14:paraId="4EBB8C9A"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0C0DC524"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0750BDB7"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3F8ABB78"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4846C7F4"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5E71C1EB" w14:textId="77777777" w:rsidR="00241B7C" w:rsidRPr="00EA55B1" w:rsidRDefault="00241B7C" w:rsidP="007F6F4B">
            <w:pPr>
              <w:spacing w:after="120"/>
              <w:rPr>
                <w:rFonts w:ascii="Arial" w:hAnsi="Arial" w:cs="Arial"/>
                <w:b/>
                <w:color w:val="000000" w:themeColor="text1"/>
              </w:rPr>
            </w:pPr>
          </w:p>
        </w:tc>
        <w:tc>
          <w:tcPr>
            <w:tcW w:w="709" w:type="dxa"/>
          </w:tcPr>
          <w:p w14:paraId="4D292BE3" w14:textId="77777777" w:rsidR="00241B7C" w:rsidRPr="00EA55B1" w:rsidRDefault="00241B7C" w:rsidP="007F6F4B">
            <w:pPr>
              <w:spacing w:after="120"/>
              <w:rPr>
                <w:rFonts w:ascii="Arial" w:hAnsi="Arial" w:cs="Arial"/>
                <w:b/>
                <w:color w:val="000000" w:themeColor="text1"/>
              </w:rPr>
            </w:pPr>
          </w:p>
        </w:tc>
      </w:tr>
      <w:tr w:rsidR="00241B7C" w:rsidRPr="00EA55B1" w14:paraId="65FDFA36" w14:textId="77777777" w:rsidTr="00241B7C">
        <w:tc>
          <w:tcPr>
            <w:tcW w:w="1730" w:type="dxa"/>
            <w:shd w:val="clear" w:color="auto" w:fill="D9D9D9" w:themeFill="background1" w:themeFillShade="D9"/>
          </w:tcPr>
          <w:p w14:paraId="000AE0AA"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Assessment method</w:t>
            </w:r>
          </w:p>
        </w:tc>
        <w:tc>
          <w:tcPr>
            <w:tcW w:w="567" w:type="dxa"/>
          </w:tcPr>
          <w:p w14:paraId="54D0AE58" w14:textId="77777777" w:rsidR="00241B7C" w:rsidRPr="00EA55B1" w:rsidRDefault="00241B7C" w:rsidP="007F6F4B">
            <w:pPr>
              <w:spacing w:after="120"/>
              <w:rPr>
                <w:rFonts w:ascii="Arial" w:hAnsi="Arial" w:cs="Arial"/>
                <w:b/>
                <w:color w:val="000000" w:themeColor="text1"/>
              </w:rPr>
            </w:pPr>
          </w:p>
        </w:tc>
        <w:tc>
          <w:tcPr>
            <w:tcW w:w="567" w:type="dxa"/>
          </w:tcPr>
          <w:p w14:paraId="64BD5888" w14:textId="77777777" w:rsidR="00241B7C" w:rsidRPr="00EA55B1" w:rsidRDefault="00241B7C" w:rsidP="007F6F4B">
            <w:pPr>
              <w:spacing w:after="120"/>
              <w:rPr>
                <w:rFonts w:ascii="Arial" w:hAnsi="Arial" w:cs="Arial"/>
                <w:b/>
                <w:color w:val="000000" w:themeColor="text1"/>
              </w:rPr>
            </w:pPr>
          </w:p>
        </w:tc>
        <w:tc>
          <w:tcPr>
            <w:tcW w:w="567" w:type="dxa"/>
          </w:tcPr>
          <w:p w14:paraId="4EFA4F31" w14:textId="77777777" w:rsidR="00241B7C" w:rsidRPr="00EA55B1" w:rsidRDefault="00241B7C" w:rsidP="007F6F4B">
            <w:pPr>
              <w:spacing w:after="120"/>
              <w:rPr>
                <w:rFonts w:ascii="Arial" w:hAnsi="Arial" w:cs="Arial"/>
                <w:b/>
                <w:color w:val="000000" w:themeColor="text1"/>
              </w:rPr>
            </w:pPr>
          </w:p>
        </w:tc>
        <w:tc>
          <w:tcPr>
            <w:tcW w:w="567" w:type="dxa"/>
          </w:tcPr>
          <w:p w14:paraId="73BCF951" w14:textId="77777777" w:rsidR="00241B7C" w:rsidRPr="00EA55B1" w:rsidRDefault="00241B7C" w:rsidP="007F6F4B">
            <w:pPr>
              <w:spacing w:after="120"/>
              <w:rPr>
                <w:rFonts w:ascii="Arial" w:hAnsi="Arial" w:cs="Arial"/>
                <w:b/>
                <w:color w:val="000000" w:themeColor="text1"/>
              </w:rPr>
            </w:pPr>
          </w:p>
        </w:tc>
        <w:tc>
          <w:tcPr>
            <w:tcW w:w="567" w:type="dxa"/>
          </w:tcPr>
          <w:p w14:paraId="33B5958F" w14:textId="77777777" w:rsidR="00241B7C" w:rsidRPr="00EA55B1" w:rsidRDefault="00241B7C" w:rsidP="007F6F4B">
            <w:pPr>
              <w:spacing w:after="120"/>
              <w:rPr>
                <w:rFonts w:ascii="Arial" w:hAnsi="Arial" w:cs="Arial"/>
                <w:b/>
                <w:color w:val="000000" w:themeColor="text1"/>
              </w:rPr>
            </w:pPr>
          </w:p>
        </w:tc>
        <w:tc>
          <w:tcPr>
            <w:tcW w:w="567" w:type="dxa"/>
          </w:tcPr>
          <w:p w14:paraId="58374F9C" w14:textId="77777777" w:rsidR="00241B7C" w:rsidRPr="00EA55B1" w:rsidRDefault="00241B7C" w:rsidP="007F6F4B">
            <w:pPr>
              <w:spacing w:after="120"/>
              <w:rPr>
                <w:rFonts w:ascii="Arial" w:hAnsi="Arial" w:cs="Arial"/>
                <w:b/>
                <w:color w:val="000000" w:themeColor="text1"/>
              </w:rPr>
            </w:pPr>
          </w:p>
        </w:tc>
        <w:tc>
          <w:tcPr>
            <w:tcW w:w="709" w:type="dxa"/>
          </w:tcPr>
          <w:p w14:paraId="5CF60A82" w14:textId="77777777" w:rsidR="00241B7C" w:rsidRPr="00EA55B1" w:rsidRDefault="00241B7C" w:rsidP="007F6F4B">
            <w:pPr>
              <w:spacing w:after="120"/>
              <w:rPr>
                <w:rFonts w:ascii="Arial" w:hAnsi="Arial" w:cs="Arial"/>
                <w:b/>
                <w:color w:val="000000" w:themeColor="text1"/>
              </w:rPr>
            </w:pPr>
          </w:p>
        </w:tc>
      </w:tr>
      <w:tr w:rsidR="00241B7C" w:rsidRPr="00EA55B1" w14:paraId="0AD75E12" w14:textId="77777777" w:rsidTr="00241B7C">
        <w:tc>
          <w:tcPr>
            <w:tcW w:w="1730" w:type="dxa"/>
          </w:tcPr>
          <w:p w14:paraId="5B74D36A" w14:textId="77777777" w:rsidR="00241B7C" w:rsidRPr="00E43234" w:rsidRDefault="00241B7C" w:rsidP="007F6F4B">
            <w:pPr>
              <w:spacing w:after="120"/>
              <w:rPr>
                <w:rFonts w:ascii="Arial" w:hAnsi="Arial" w:cs="Arial"/>
                <w:i/>
                <w:color w:val="000000" w:themeColor="text1"/>
              </w:rPr>
            </w:pPr>
            <w:r w:rsidRPr="00E43234">
              <w:rPr>
                <w:rFonts w:ascii="Arial" w:hAnsi="Arial" w:cs="Arial"/>
                <w:i/>
                <w:color w:val="000000" w:themeColor="text1"/>
              </w:rPr>
              <w:t>Essay (based on discussion workshop)</w:t>
            </w:r>
          </w:p>
        </w:tc>
        <w:tc>
          <w:tcPr>
            <w:tcW w:w="567" w:type="dxa"/>
          </w:tcPr>
          <w:p w14:paraId="36B07F73"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2C163013" w14:textId="77777777" w:rsidR="00241B7C" w:rsidRPr="00EA55B1" w:rsidRDefault="00241B7C" w:rsidP="007F6F4B">
            <w:pPr>
              <w:spacing w:after="120"/>
              <w:rPr>
                <w:rFonts w:ascii="Arial" w:hAnsi="Arial" w:cs="Arial"/>
                <w:b/>
                <w:color w:val="000000" w:themeColor="text1"/>
              </w:rPr>
            </w:pPr>
          </w:p>
        </w:tc>
        <w:tc>
          <w:tcPr>
            <w:tcW w:w="567" w:type="dxa"/>
          </w:tcPr>
          <w:p w14:paraId="6A3F25D0"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139A7F65"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29160F93"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4E6031A0" w14:textId="77777777" w:rsidR="00241B7C" w:rsidRPr="00EA55B1" w:rsidRDefault="00241B7C" w:rsidP="007F6F4B">
            <w:pPr>
              <w:spacing w:after="120"/>
              <w:rPr>
                <w:rFonts w:ascii="Arial" w:hAnsi="Arial" w:cs="Arial"/>
                <w:b/>
                <w:color w:val="000000" w:themeColor="text1"/>
              </w:rPr>
            </w:pPr>
          </w:p>
        </w:tc>
        <w:tc>
          <w:tcPr>
            <w:tcW w:w="709" w:type="dxa"/>
          </w:tcPr>
          <w:p w14:paraId="5B5C9BF1" w14:textId="77777777" w:rsidR="00241B7C" w:rsidRPr="00EA55B1" w:rsidRDefault="00241B7C" w:rsidP="007F6F4B">
            <w:pPr>
              <w:spacing w:after="120"/>
              <w:rPr>
                <w:rFonts w:ascii="Arial" w:hAnsi="Arial" w:cs="Arial"/>
                <w:b/>
                <w:color w:val="000000" w:themeColor="text1"/>
              </w:rPr>
            </w:pPr>
          </w:p>
        </w:tc>
      </w:tr>
      <w:tr w:rsidR="00241B7C" w:rsidRPr="00EA55B1" w14:paraId="5E46B4F5" w14:textId="77777777" w:rsidTr="00241B7C">
        <w:tc>
          <w:tcPr>
            <w:tcW w:w="1730" w:type="dxa"/>
          </w:tcPr>
          <w:p w14:paraId="03409323" w14:textId="77777777" w:rsidR="00241B7C" w:rsidRPr="00E43234" w:rsidRDefault="00241B7C" w:rsidP="007F6F4B">
            <w:pPr>
              <w:spacing w:after="120"/>
              <w:rPr>
                <w:rFonts w:ascii="Arial" w:hAnsi="Arial" w:cs="Arial"/>
                <w:i/>
                <w:color w:val="000000" w:themeColor="text1"/>
              </w:rPr>
            </w:pPr>
            <w:r w:rsidRPr="00E43234">
              <w:rPr>
                <w:rFonts w:ascii="Arial" w:hAnsi="Arial" w:cs="Arial"/>
                <w:i/>
                <w:color w:val="000000" w:themeColor="text1"/>
              </w:rPr>
              <w:t>Laboratory Practical report</w:t>
            </w:r>
          </w:p>
        </w:tc>
        <w:tc>
          <w:tcPr>
            <w:tcW w:w="567" w:type="dxa"/>
          </w:tcPr>
          <w:p w14:paraId="01FEBBA2"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2470F1F2"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1BFE9E52"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120C6C42"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01A1E9DC"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3B955425" w14:textId="77777777" w:rsidR="00241B7C" w:rsidRPr="00EA55B1" w:rsidRDefault="00241B7C" w:rsidP="007F6F4B">
            <w:pPr>
              <w:spacing w:after="120"/>
              <w:rPr>
                <w:rFonts w:ascii="Arial" w:hAnsi="Arial" w:cs="Arial"/>
                <w:b/>
                <w:color w:val="000000" w:themeColor="text1"/>
              </w:rPr>
            </w:pPr>
          </w:p>
        </w:tc>
        <w:tc>
          <w:tcPr>
            <w:tcW w:w="709" w:type="dxa"/>
          </w:tcPr>
          <w:p w14:paraId="6AC9E442" w14:textId="77777777" w:rsidR="00241B7C" w:rsidRPr="00EA55B1" w:rsidRDefault="00241B7C" w:rsidP="007F6F4B">
            <w:pPr>
              <w:spacing w:after="120"/>
              <w:rPr>
                <w:rFonts w:ascii="Arial" w:hAnsi="Arial" w:cs="Arial"/>
                <w:b/>
                <w:color w:val="000000" w:themeColor="text1"/>
              </w:rPr>
            </w:pPr>
          </w:p>
        </w:tc>
      </w:tr>
      <w:tr w:rsidR="00241B7C" w:rsidRPr="00EA55B1" w14:paraId="539B04BC" w14:textId="77777777" w:rsidTr="00241B7C">
        <w:tc>
          <w:tcPr>
            <w:tcW w:w="1730" w:type="dxa"/>
          </w:tcPr>
          <w:p w14:paraId="5998F3F1" w14:textId="77777777" w:rsidR="00241B7C" w:rsidRPr="00E43234" w:rsidRDefault="00241B7C" w:rsidP="007F6F4B">
            <w:pPr>
              <w:spacing w:after="120"/>
              <w:rPr>
                <w:rFonts w:ascii="Arial" w:hAnsi="Arial" w:cs="Arial"/>
                <w:i/>
                <w:color w:val="000000" w:themeColor="text1"/>
              </w:rPr>
            </w:pPr>
            <w:r w:rsidRPr="00E43234">
              <w:rPr>
                <w:rFonts w:ascii="Arial" w:hAnsi="Arial" w:cs="Arial"/>
                <w:i/>
                <w:color w:val="000000" w:themeColor="text1"/>
              </w:rPr>
              <w:t>Examination</w:t>
            </w:r>
          </w:p>
        </w:tc>
        <w:tc>
          <w:tcPr>
            <w:tcW w:w="567" w:type="dxa"/>
          </w:tcPr>
          <w:p w14:paraId="558B4BC7"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5BE70162" w14:textId="77777777" w:rsidR="00241B7C" w:rsidRPr="00EA55B1" w:rsidRDefault="00241B7C" w:rsidP="007F6F4B">
            <w:pPr>
              <w:spacing w:after="120"/>
              <w:rPr>
                <w:rFonts w:ascii="Arial" w:hAnsi="Arial" w:cs="Arial"/>
                <w:b/>
                <w:color w:val="000000" w:themeColor="text1"/>
              </w:rPr>
            </w:pPr>
          </w:p>
        </w:tc>
        <w:tc>
          <w:tcPr>
            <w:tcW w:w="567" w:type="dxa"/>
          </w:tcPr>
          <w:p w14:paraId="482D029D" w14:textId="77777777" w:rsidR="00241B7C" w:rsidRPr="00EA55B1" w:rsidRDefault="00241B7C" w:rsidP="007F6F4B">
            <w:pPr>
              <w:spacing w:after="120"/>
              <w:rPr>
                <w:rFonts w:ascii="Arial" w:hAnsi="Arial" w:cs="Arial"/>
                <w:b/>
                <w:color w:val="000000" w:themeColor="text1"/>
              </w:rPr>
            </w:pPr>
          </w:p>
        </w:tc>
        <w:tc>
          <w:tcPr>
            <w:tcW w:w="567" w:type="dxa"/>
          </w:tcPr>
          <w:p w14:paraId="01CA1E1A" w14:textId="77777777" w:rsidR="00241B7C" w:rsidRPr="00EA55B1" w:rsidRDefault="00241B7C" w:rsidP="007F6F4B">
            <w:pPr>
              <w:spacing w:after="120"/>
              <w:rPr>
                <w:rFonts w:ascii="Arial" w:hAnsi="Arial" w:cs="Arial"/>
                <w:b/>
                <w:color w:val="000000" w:themeColor="text1"/>
              </w:rPr>
            </w:pPr>
          </w:p>
        </w:tc>
        <w:tc>
          <w:tcPr>
            <w:tcW w:w="567" w:type="dxa"/>
          </w:tcPr>
          <w:p w14:paraId="41F16F7C" w14:textId="77777777" w:rsidR="00241B7C" w:rsidRPr="00EA55B1" w:rsidRDefault="00241B7C" w:rsidP="007F6F4B">
            <w:pPr>
              <w:spacing w:after="120"/>
              <w:rPr>
                <w:rFonts w:ascii="Arial" w:hAnsi="Arial" w:cs="Arial"/>
                <w:b/>
                <w:color w:val="000000" w:themeColor="text1"/>
              </w:rPr>
            </w:pPr>
            <w:r w:rsidRPr="00EA55B1">
              <w:rPr>
                <w:rFonts w:ascii="Arial" w:hAnsi="Arial" w:cs="Arial"/>
                <w:b/>
                <w:color w:val="000000" w:themeColor="text1"/>
              </w:rPr>
              <w:t>X</w:t>
            </w:r>
          </w:p>
        </w:tc>
        <w:tc>
          <w:tcPr>
            <w:tcW w:w="567" w:type="dxa"/>
          </w:tcPr>
          <w:p w14:paraId="664ED00C" w14:textId="77777777" w:rsidR="00241B7C" w:rsidRPr="00EA55B1" w:rsidRDefault="00241B7C" w:rsidP="007F6F4B">
            <w:pPr>
              <w:spacing w:after="120"/>
              <w:rPr>
                <w:rFonts w:ascii="Arial" w:hAnsi="Arial" w:cs="Arial"/>
                <w:b/>
                <w:color w:val="000000" w:themeColor="text1"/>
              </w:rPr>
            </w:pPr>
          </w:p>
        </w:tc>
        <w:tc>
          <w:tcPr>
            <w:tcW w:w="709" w:type="dxa"/>
          </w:tcPr>
          <w:p w14:paraId="789051B2" w14:textId="77777777" w:rsidR="00241B7C" w:rsidRPr="00EA55B1" w:rsidRDefault="00241B7C" w:rsidP="007F6F4B">
            <w:pPr>
              <w:spacing w:after="120"/>
              <w:rPr>
                <w:rFonts w:ascii="Arial" w:hAnsi="Arial" w:cs="Arial"/>
                <w:b/>
                <w:color w:val="000000" w:themeColor="text1"/>
              </w:rPr>
            </w:pPr>
          </w:p>
        </w:tc>
      </w:tr>
    </w:tbl>
    <w:p w14:paraId="28D32069" w14:textId="77777777" w:rsidR="007A6245" w:rsidRDefault="007A6245" w:rsidP="00302082">
      <w:pPr>
        <w:spacing w:after="120" w:line="240" w:lineRule="auto"/>
        <w:ind w:left="426" w:right="260"/>
        <w:rPr>
          <w:rFonts w:ascii="Arial" w:hAnsi="Arial" w:cs="Arial"/>
          <w:b/>
          <w:iCs/>
        </w:rPr>
      </w:pPr>
    </w:p>
    <w:p w14:paraId="468F236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06E6626" w14:textId="035AC8D3" w:rsidR="00C2367B" w:rsidRPr="00C2367B" w:rsidRDefault="00C2367B" w:rsidP="00F2190F">
      <w:pPr>
        <w:autoSpaceDE w:val="0"/>
        <w:autoSpaceDN w:val="0"/>
        <w:adjustRightInd w:val="0"/>
        <w:spacing w:after="120" w:line="240" w:lineRule="auto"/>
        <w:ind w:left="567" w:right="260"/>
        <w:jc w:val="both"/>
        <w:rPr>
          <w:rFonts w:ascii="Arial" w:hAnsi="Arial" w:cs="Arial"/>
        </w:rPr>
      </w:pPr>
      <w:r w:rsidRPr="00C2367B">
        <w:rPr>
          <w:rFonts w:ascii="Arial" w:hAnsi="Arial" w:cs="Arial"/>
        </w:rPr>
        <w:t>The School</w:t>
      </w:r>
      <w:r>
        <w:rPr>
          <w:rFonts w:ascii="Arial" w:hAnsi="Arial" w:cs="Arial"/>
        </w:rPr>
        <w:t xml:space="preserve"> of Biosciences</w:t>
      </w:r>
      <w:r w:rsidRPr="00C2367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5174C8" w14:textId="77777777" w:rsidR="00C2367B" w:rsidRPr="00C2367B" w:rsidRDefault="00C2367B" w:rsidP="00F2190F">
      <w:pPr>
        <w:autoSpaceDE w:val="0"/>
        <w:autoSpaceDN w:val="0"/>
        <w:adjustRightInd w:val="0"/>
        <w:spacing w:after="120" w:line="240" w:lineRule="auto"/>
        <w:ind w:left="567" w:right="260"/>
        <w:jc w:val="both"/>
        <w:rPr>
          <w:rFonts w:ascii="Arial" w:hAnsi="Arial" w:cs="Arial"/>
        </w:rPr>
      </w:pPr>
      <w:r w:rsidRPr="00C2367B">
        <w:rPr>
          <w:rFonts w:ascii="Arial" w:hAnsi="Arial" w:cs="Arial"/>
        </w:rPr>
        <w:t xml:space="preserve">The inclusive practices in the guidance (see </w:t>
      </w:r>
      <w:r w:rsidRPr="00C2367B">
        <w:rPr>
          <w:rFonts w:ascii="Arial" w:hAnsi="Arial" w:cs="Arial"/>
          <w:i/>
        </w:rPr>
        <w:t>Annex B Appendix A</w:t>
      </w:r>
      <w:r w:rsidRPr="00C2367B">
        <w:rPr>
          <w:rFonts w:ascii="Arial" w:hAnsi="Arial" w:cs="Arial"/>
        </w:rPr>
        <w:t>) have been considered in order to support all students in the following areas:</w:t>
      </w:r>
    </w:p>
    <w:p w14:paraId="1DF9E03F" w14:textId="77777777" w:rsidR="00C2367B" w:rsidRPr="00C2367B" w:rsidRDefault="00C2367B" w:rsidP="00F2190F">
      <w:pPr>
        <w:autoSpaceDE w:val="0"/>
        <w:autoSpaceDN w:val="0"/>
        <w:adjustRightInd w:val="0"/>
        <w:spacing w:after="120" w:line="240" w:lineRule="auto"/>
        <w:ind w:right="260" w:firstLine="502"/>
        <w:jc w:val="both"/>
        <w:rPr>
          <w:rFonts w:ascii="Arial" w:hAnsi="Arial" w:cs="Arial"/>
          <w:bCs/>
        </w:rPr>
      </w:pPr>
      <w:r w:rsidRPr="00C2367B">
        <w:rPr>
          <w:rFonts w:ascii="Arial" w:hAnsi="Arial" w:cs="Arial"/>
        </w:rPr>
        <w:t xml:space="preserve">a) </w:t>
      </w:r>
      <w:r w:rsidRPr="00C2367B">
        <w:rPr>
          <w:rFonts w:ascii="Arial" w:hAnsi="Arial" w:cs="Arial"/>
          <w:bCs/>
        </w:rPr>
        <w:t>Accessible resources and curriculum</w:t>
      </w:r>
    </w:p>
    <w:p w14:paraId="161C89B9" w14:textId="77777777" w:rsidR="00C2367B" w:rsidRPr="00C2367B" w:rsidRDefault="00C2367B" w:rsidP="00C2367B">
      <w:pPr>
        <w:pStyle w:val="ListParagraph"/>
        <w:tabs>
          <w:tab w:val="left" w:pos="567"/>
        </w:tabs>
        <w:autoSpaceDE w:val="0"/>
        <w:autoSpaceDN w:val="0"/>
        <w:adjustRightInd w:val="0"/>
        <w:spacing w:after="120" w:line="240" w:lineRule="auto"/>
        <w:ind w:left="502" w:right="260"/>
        <w:jc w:val="both"/>
        <w:rPr>
          <w:rFonts w:ascii="Arial" w:hAnsi="Arial" w:cs="Arial"/>
          <w:color w:val="000000"/>
        </w:rPr>
      </w:pPr>
      <w:r w:rsidRPr="00C2367B">
        <w:rPr>
          <w:rFonts w:ascii="Arial" w:hAnsi="Arial" w:cs="Arial"/>
        </w:rPr>
        <w:t xml:space="preserve">b) </w:t>
      </w:r>
      <w:r w:rsidRPr="00C2367B">
        <w:rPr>
          <w:rFonts w:ascii="Arial" w:hAnsi="Arial" w:cs="Arial"/>
          <w:bCs/>
        </w:rPr>
        <w:t>Learning, teaching and assessment methods</w:t>
      </w:r>
    </w:p>
    <w:p w14:paraId="54139865" w14:textId="77777777" w:rsidR="00D50113" w:rsidRDefault="00D50113" w:rsidP="00D50113">
      <w:pPr>
        <w:spacing w:after="120" w:line="240" w:lineRule="auto"/>
        <w:ind w:left="426" w:right="260"/>
        <w:rPr>
          <w:rFonts w:ascii="Arial" w:hAnsi="Arial" w:cs="Arial"/>
          <w:iCs/>
        </w:rPr>
      </w:pPr>
    </w:p>
    <w:p w14:paraId="0ECA37C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EC9B183" w14:textId="59D08F33" w:rsidR="002A7F48" w:rsidRPr="005A028A" w:rsidRDefault="005A028A" w:rsidP="005A028A">
      <w:pPr>
        <w:spacing w:after="120" w:line="240" w:lineRule="auto"/>
        <w:ind w:left="1134" w:right="260" w:hanging="567"/>
        <w:jc w:val="both"/>
        <w:rPr>
          <w:rFonts w:ascii="Arial" w:hAnsi="Arial" w:cs="Arial"/>
        </w:rPr>
      </w:pPr>
      <w:r w:rsidRPr="005A028A">
        <w:rPr>
          <w:rFonts w:ascii="Arial" w:hAnsi="Arial" w:cs="Arial"/>
        </w:rPr>
        <w:t>Canterbury</w:t>
      </w:r>
    </w:p>
    <w:p w14:paraId="50B5642A" w14:textId="77777777" w:rsidR="005A028A" w:rsidRDefault="005A028A" w:rsidP="005A028A">
      <w:pPr>
        <w:spacing w:after="120" w:line="240" w:lineRule="auto"/>
        <w:ind w:left="1134" w:right="260" w:hanging="567"/>
        <w:jc w:val="both"/>
        <w:rPr>
          <w:rFonts w:ascii="Arial" w:hAnsi="Arial" w:cs="Arial"/>
          <w:b/>
        </w:rPr>
      </w:pPr>
    </w:p>
    <w:p w14:paraId="1AABFCF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BCFE1E1" w14:textId="66D0C4AE" w:rsidR="002A7F48" w:rsidRPr="00F2190F" w:rsidRDefault="005A028A" w:rsidP="00F2190F">
      <w:pPr>
        <w:spacing w:after="120" w:line="240" w:lineRule="auto"/>
        <w:ind w:left="567" w:right="260"/>
        <w:jc w:val="both"/>
        <w:rPr>
          <w:rFonts w:ascii="Arial" w:hAnsi="Arial" w:cs="Arial"/>
          <w:color w:val="000000" w:themeColor="text1"/>
        </w:rPr>
      </w:pPr>
      <w:r w:rsidRPr="00F2190F">
        <w:rPr>
          <w:rFonts w:ascii="Arial" w:hAnsi="Arial" w:cs="Arial"/>
          <w:color w:val="000000" w:themeColor="text1"/>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F2190F">
        <w:rPr>
          <w:rFonts w:ascii="Arial" w:hAnsi="Arial" w:cs="Arial"/>
          <w:color w:val="000000" w:themeColor="text1"/>
        </w:rPr>
        <w:t>practicals</w:t>
      </w:r>
      <w:proofErr w:type="spellEnd"/>
      <w:r w:rsidRPr="00F2190F">
        <w:rPr>
          <w:rFonts w:ascii="Arial" w:hAnsi="Arial" w:cs="Arial"/>
          <w:color w:val="000000" w:themeColor="text1"/>
        </w:rPr>
        <w:t>, tutorials, workshops and self-study will naturally draw on the international make-up of the student body; the module teaching team includes members with international experience of teaching and research collaboration.</w:t>
      </w:r>
    </w:p>
    <w:p w14:paraId="51196BA6" w14:textId="77777777" w:rsidR="00641D6D" w:rsidRPr="00302082" w:rsidRDefault="00641D6D" w:rsidP="002A7F48">
      <w:pPr>
        <w:pBdr>
          <w:bottom w:val="single" w:sz="6" w:space="1" w:color="auto"/>
        </w:pBdr>
        <w:spacing w:after="120" w:line="240" w:lineRule="auto"/>
        <w:ind w:right="261"/>
        <w:rPr>
          <w:rFonts w:ascii="Arial" w:hAnsi="Arial" w:cs="Arial"/>
        </w:rPr>
      </w:pPr>
    </w:p>
    <w:p w14:paraId="5743A34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DB00A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4B4F32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A9F7B66" w14:textId="77777777" w:rsidTr="00AE6CD0">
        <w:trPr>
          <w:trHeight w:val="317"/>
        </w:trPr>
        <w:tc>
          <w:tcPr>
            <w:tcW w:w="1526" w:type="dxa"/>
          </w:tcPr>
          <w:p w14:paraId="0CE16C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13CBB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7B30A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20561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38259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E2AA9E" w14:textId="77777777" w:rsidTr="00AE6CD0">
        <w:trPr>
          <w:trHeight w:val="305"/>
        </w:trPr>
        <w:tc>
          <w:tcPr>
            <w:tcW w:w="1526" w:type="dxa"/>
          </w:tcPr>
          <w:p w14:paraId="034DE814" w14:textId="77777777" w:rsidR="00422B69" w:rsidRPr="00302082" w:rsidRDefault="00422B69" w:rsidP="00302082">
            <w:pPr>
              <w:spacing w:after="120"/>
              <w:ind w:right="-330"/>
              <w:rPr>
                <w:rFonts w:ascii="Arial" w:hAnsi="Arial" w:cs="Arial"/>
              </w:rPr>
            </w:pPr>
          </w:p>
        </w:tc>
        <w:tc>
          <w:tcPr>
            <w:tcW w:w="1701" w:type="dxa"/>
          </w:tcPr>
          <w:p w14:paraId="5ECCE995" w14:textId="77777777" w:rsidR="00422B69" w:rsidRPr="00302082" w:rsidRDefault="00422B69" w:rsidP="00302082">
            <w:pPr>
              <w:spacing w:after="120"/>
              <w:ind w:right="-330"/>
              <w:rPr>
                <w:rFonts w:ascii="Arial" w:hAnsi="Arial" w:cs="Arial"/>
              </w:rPr>
            </w:pPr>
          </w:p>
        </w:tc>
        <w:tc>
          <w:tcPr>
            <w:tcW w:w="2410" w:type="dxa"/>
          </w:tcPr>
          <w:p w14:paraId="7629DA4F" w14:textId="77777777" w:rsidR="00422B69" w:rsidRPr="00302082" w:rsidRDefault="00422B69" w:rsidP="00302082">
            <w:pPr>
              <w:spacing w:after="120"/>
              <w:ind w:right="-330"/>
              <w:rPr>
                <w:rFonts w:ascii="Arial" w:hAnsi="Arial" w:cs="Arial"/>
              </w:rPr>
            </w:pPr>
          </w:p>
        </w:tc>
        <w:tc>
          <w:tcPr>
            <w:tcW w:w="2448" w:type="dxa"/>
          </w:tcPr>
          <w:p w14:paraId="3EA91018" w14:textId="77777777" w:rsidR="00422B69" w:rsidRPr="00302082" w:rsidRDefault="00422B69" w:rsidP="00302082">
            <w:pPr>
              <w:spacing w:after="120"/>
              <w:ind w:right="-330"/>
              <w:rPr>
                <w:rFonts w:ascii="Arial" w:hAnsi="Arial" w:cs="Arial"/>
              </w:rPr>
            </w:pPr>
          </w:p>
        </w:tc>
        <w:tc>
          <w:tcPr>
            <w:tcW w:w="2400" w:type="dxa"/>
          </w:tcPr>
          <w:p w14:paraId="76DB4B3F" w14:textId="77777777" w:rsidR="00422B69" w:rsidRPr="00302082" w:rsidRDefault="00422B69" w:rsidP="00302082">
            <w:pPr>
              <w:spacing w:after="120"/>
              <w:ind w:right="-330"/>
              <w:rPr>
                <w:rFonts w:ascii="Arial" w:hAnsi="Arial" w:cs="Arial"/>
              </w:rPr>
            </w:pPr>
          </w:p>
        </w:tc>
      </w:tr>
      <w:tr w:rsidR="00302082" w:rsidRPr="00302082" w14:paraId="0FE8BDBC" w14:textId="77777777" w:rsidTr="00AE6CD0">
        <w:trPr>
          <w:trHeight w:val="305"/>
        </w:trPr>
        <w:tc>
          <w:tcPr>
            <w:tcW w:w="1526" w:type="dxa"/>
          </w:tcPr>
          <w:p w14:paraId="73B85D9D" w14:textId="77777777" w:rsidR="00422B69" w:rsidRPr="00302082" w:rsidRDefault="00422B69" w:rsidP="00302082">
            <w:pPr>
              <w:spacing w:after="120"/>
              <w:ind w:right="-330"/>
              <w:rPr>
                <w:rFonts w:ascii="Arial" w:hAnsi="Arial" w:cs="Arial"/>
              </w:rPr>
            </w:pPr>
          </w:p>
        </w:tc>
        <w:tc>
          <w:tcPr>
            <w:tcW w:w="1701" w:type="dxa"/>
          </w:tcPr>
          <w:p w14:paraId="02EC57A9" w14:textId="77777777" w:rsidR="00422B69" w:rsidRPr="00302082" w:rsidRDefault="00422B69" w:rsidP="00302082">
            <w:pPr>
              <w:spacing w:after="120"/>
              <w:ind w:right="-330"/>
              <w:rPr>
                <w:rFonts w:ascii="Arial" w:hAnsi="Arial" w:cs="Arial"/>
              </w:rPr>
            </w:pPr>
          </w:p>
        </w:tc>
        <w:tc>
          <w:tcPr>
            <w:tcW w:w="2410" w:type="dxa"/>
          </w:tcPr>
          <w:p w14:paraId="3FEB992E" w14:textId="77777777" w:rsidR="00422B69" w:rsidRPr="00302082" w:rsidRDefault="00422B69" w:rsidP="00302082">
            <w:pPr>
              <w:spacing w:after="120"/>
              <w:ind w:right="-330"/>
              <w:rPr>
                <w:rFonts w:ascii="Arial" w:hAnsi="Arial" w:cs="Arial"/>
              </w:rPr>
            </w:pPr>
          </w:p>
        </w:tc>
        <w:tc>
          <w:tcPr>
            <w:tcW w:w="2448" w:type="dxa"/>
          </w:tcPr>
          <w:p w14:paraId="4C6048B0" w14:textId="77777777" w:rsidR="00422B69" w:rsidRPr="00302082" w:rsidRDefault="00422B69" w:rsidP="00302082">
            <w:pPr>
              <w:spacing w:after="120"/>
              <w:ind w:right="-330"/>
              <w:rPr>
                <w:rFonts w:ascii="Arial" w:hAnsi="Arial" w:cs="Arial"/>
              </w:rPr>
            </w:pPr>
          </w:p>
        </w:tc>
        <w:tc>
          <w:tcPr>
            <w:tcW w:w="2400" w:type="dxa"/>
          </w:tcPr>
          <w:p w14:paraId="24D163A7" w14:textId="77777777" w:rsidR="00422B69" w:rsidRPr="00302082" w:rsidRDefault="00422B69" w:rsidP="00302082">
            <w:pPr>
              <w:spacing w:after="120"/>
              <w:ind w:right="-330"/>
              <w:rPr>
                <w:rFonts w:ascii="Arial" w:hAnsi="Arial" w:cs="Arial"/>
              </w:rPr>
            </w:pPr>
          </w:p>
        </w:tc>
      </w:tr>
    </w:tbl>
    <w:p w14:paraId="6EC39462" w14:textId="77777777" w:rsidR="00D83563" w:rsidRPr="00302082" w:rsidRDefault="00D83563" w:rsidP="00302082">
      <w:pPr>
        <w:spacing w:after="120" w:line="240" w:lineRule="auto"/>
        <w:ind w:right="-330"/>
        <w:rPr>
          <w:rFonts w:ascii="Arial" w:hAnsi="Arial" w:cs="Arial"/>
        </w:rPr>
      </w:pPr>
    </w:p>
    <w:sectPr w:rsidR="00D83563" w:rsidRPr="00302082" w:rsidSect="00CF161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B586C" w14:textId="77777777" w:rsidR="00540227" w:rsidRDefault="00540227" w:rsidP="009A2D37">
      <w:pPr>
        <w:spacing w:after="0" w:line="240" w:lineRule="auto"/>
      </w:pPr>
      <w:r>
        <w:separator/>
      </w:r>
    </w:p>
  </w:endnote>
  <w:endnote w:type="continuationSeparator" w:id="0">
    <w:p w14:paraId="32C607C3" w14:textId="77777777" w:rsidR="00540227" w:rsidRDefault="00540227" w:rsidP="009A2D37">
      <w:pPr>
        <w:spacing w:after="0" w:line="240" w:lineRule="auto"/>
      </w:pPr>
      <w:r>
        <w:continuationSeparator/>
      </w:r>
    </w:p>
  </w:endnote>
  <w:endnote w:type="continuationNotice" w:id="1">
    <w:p w14:paraId="7E2FD701" w14:textId="77777777" w:rsidR="00540227" w:rsidRDefault="00540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6032DE4" w14:textId="77777777" w:rsidR="008B2543" w:rsidRDefault="0019787E" w:rsidP="009A2D37">
        <w:pPr>
          <w:pStyle w:val="Footer"/>
          <w:jc w:val="center"/>
        </w:pPr>
        <w:r>
          <w:fldChar w:fldCharType="begin"/>
        </w:r>
        <w:r>
          <w:instrText xml:space="preserve"> PAGE   \* MERGEFORMAT </w:instrText>
        </w:r>
        <w:r>
          <w:fldChar w:fldCharType="separate"/>
        </w:r>
        <w:r w:rsidR="00CF161A">
          <w:rPr>
            <w:noProof/>
          </w:rPr>
          <w:t>4</w:t>
        </w:r>
        <w:r>
          <w:rPr>
            <w:noProof/>
          </w:rPr>
          <w:fldChar w:fldCharType="end"/>
        </w:r>
      </w:p>
    </w:sdtContent>
  </w:sdt>
  <w:p w14:paraId="230476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763BC" w14:textId="77777777" w:rsidR="00540227" w:rsidRDefault="00540227" w:rsidP="009A2D37">
      <w:pPr>
        <w:spacing w:after="0" w:line="240" w:lineRule="auto"/>
      </w:pPr>
      <w:r>
        <w:separator/>
      </w:r>
    </w:p>
  </w:footnote>
  <w:footnote w:type="continuationSeparator" w:id="0">
    <w:p w14:paraId="6D17318D" w14:textId="77777777" w:rsidR="00540227" w:rsidRDefault="00540227" w:rsidP="009A2D37">
      <w:pPr>
        <w:spacing w:after="0" w:line="240" w:lineRule="auto"/>
      </w:pPr>
      <w:r>
        <w:continuationSeparator/>
      </w:r>
    </w:p>
  </w:footnote>
  <w:footnote w:type="continuationNotice" w:id="1">
    <w:p w14:paraId="5B2DAFF7" w14:textId="77777777" w:rsidR="00540227" w:rsidRDefault="005402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8DE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BC1B0F" wp14:editId="5266DC2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193E6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6D2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188581" wp14:editId="7AC68EA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374BAC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7A4203"/>
    <w:multiLevelType w:val="hybridMultilevel"/>
    <w:tmpl w:val="47BC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23D97"/>
    <w:multiLevelType w:val="hybridMultilevel"/>
    <w:tmpl w:val="166207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895583"/>
    <w:multiLevelType w:val="hybridMultilevel"/>
    <w:tmpl w:val="A508C0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2D2BD7"/>
    <w:multiLevelType w:val="hybridMultilevel"/>
    <w:tmpl w:val="1D3021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99D75AF"/>
    <w:multiLevelType w:val="hybridMultilevel"/>
    <w:tmpl w:val="C59EDA30"/>
    <w:lvl w:ilvl="0" w:tplc="2596627C">
      <w:start w:val="124"/>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B66D5"/>
    <w:multiLevelType w:val="hybridMultilevel"/>
    <w:tmpl w:val="91BA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D176E4"/>
    <w:multiLevelType w:val="hybridMultilevel"/>
    <w:tmpl w:val="356E4E2C"/>
    <w:lvl w:ilvl="0" w:tplc="2AF8FA9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5543FD"/>
    <w:multiLevelType w:val="hybridMultilevel"/>
    <w:tmpl w:val="0B565C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F16CD8"/>
    <w:multiLevelType w:val="hybridMultilevel"/>
    <w:tmpl w:val="F6886F04"/>
    <w:lvl w:ilvl="0" w:tplc="896EA276">
      <w:start w:val="1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4"/>
  </w:num>
  <w:num w:numId="6">
    <w:abstractNumId w:val="10"/>
  </w:num>
  <w:num w:numId="7">
    <w:abstractNumId w:val="16"/>
  </w:num>
  <w:num w:numId="8">
    <w:abstractNumId w:val="11"/>
  </w:num>
  <w:num w:numId="9">
    <w:abstractNumId w:val="3"/>
  </w:num>
  <w:num w:numId="10">
    <w:abstractNumId w:val="7"/>
  </w:num>
  <w:num w:numId="11">
    <w:abstractNumId w:val="5"/>
  </w:num>
  <w:num w:numId="12">
    <w:abstractNumId w:val="13"/>
  </w:num>
  <w:num w:numId="13">
    <w:abstractNumId w:val="12"/>
  </w:num>
  <w:num w:numId="14">
    <w:abstractNumId w:val="15"/>
  </w:num>
  <w:num w:numId="15">
    <w:abstractNumId w:val="8"/>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95A"/>
    <w:rsid w:val="00227582"/>
    <w:rsid w:val="002308BE"/>
    <w:rsid w:val="002407C0"/>
    <w:rsid w:val="00241B7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096D"/>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242"/>
    <w:rsid w:val="004443DA"/>
    <w:rsid w:val="00446A75"/>
    <w:rsid w:val="004474A2"/>
    <w:rsid w:val="00460925"/>
    <w:rsid w:val="0046528B"/>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022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28A"/>
    <w:rsid w:val="005A14B5"/>
    <w:rsid w:val="005B0899"/>
    <w:rsid w:val="005B5A98"/>
    <w:rsid w:val="005C1A4F"/>
    <w:rsid w:val="005C27D7"/>
    <w:rsid w:val="005D7CD0"/>
    <w:rsid w:val="005E1A3A"/>
    <w:rsid w:val="005E4AA1"/>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3AB"/>
    <w:rsid w:val="00684851"/>
    <w:rsid w:val="00694309"/>
    <w:rsid w:val="00695285"/>
    <w:rsid w:val="006A6BB4"/>
    <w:rsid w:val="006A7FB0"/>
    <w:rsid w:val="006C2A9A"/>
    <w:rsid w:val="006C423D"/>
    <w:rsid w:val="006C46EF"/>
    <w:rsid w:val="006C4C67"/>
    <w:rsid w:val="006D13C0"/>
    <w:rsid w:val="006D41AB"/>
    <w:rsid w:val="006D444F"/>
    <w:rsid w:val="006E089D"/>
    <w:rsid w:val="006E5B77"/>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F2977"/>
    <w:rsid w:val="00903DF6"/>
    <w:rsid w:val="00921CF6"/>
    <w:rsid w:val="00924EF0"/>
    <w:rsid w:val="00934D7B"/>
    <w:rsid w:val="00947180"/>
    <w:rsid w:val="009567BE"/>
    <w:rsid w:val="0096139C"/>
    <w:rsid w:val="00966061"/>
    <w:rsid w:val="009676FA"/>
    <w:rsid w:val="009679E0"/>
    <w:rsid w:val="00977632"/>
    <w:rsid w:val="00981D1C"/>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6C12"/>
    <w:rsid w:val="00A776DE"/>
    <w:rsid w:val="00A80640"/>
    <w:rsid w:val="00A87FFD"/>
    <w:rsid w:val="00A97038"/>
    <w:rsid w:val="00AA3C15"/>
    <w:rsid w:val="00AA6330"/>
    <w:rsid w:val="00AC08AE"/>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67B"/>
    <w:rsid w:val="00C2492F"/>
    <w:rsid w:val="00C3744A"/>
    <w:rsid w:val="00C4002A"/>
    <w:rsid w:val="00C46912"/>
    <w:rsid w:val="00C612A8"/>
    <w:rsid w:val="00C67631"/>
    <w:rsid w:val="00C712A8"/>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161A"/>
    <w:rsid w:val="00CF2E1E"/>
    <w:rsid w:val="00D02E99"/>
    <w:rsid w:val="00D13357"/>
    <w:rsid w:val="00D13A13"/>
    <w:rsid w:val="00D2689A"/>
    <w:rsid w:val="00D279B0"/>
    <w:rsid w:val="00D311FB"/>
    <w:rsid w:val="00D50113"/>
    <w:rsid w:val="00D54F04"/>
    <w:rsid w:val="00D65506"/>
    <w:rsid w:val="00D74402"/>
    <w:rsid w:val="00D773CF"/>
    <w:rsid w:val="00D83563"/>
    <w:rsid w:val="00D8448F"/>
    <w:rsid w:val="00DA33D8"/>
    <w:rsid w:val="00DA64B6"/>
    <w:rsid w:val="00DB5C9D"/>
    <w:rsid w:val="00DB774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96B1C"/>
    <w:rsid w:val="00EB1C2D"/>
    <w:rsid w:val="00EC1810"/>
    <w:rsid w:val="00EC3FCC"/>
    <w:rsid w:val="00ED32FF"/>
    <w:rsid w:val="00ED4BD5"/>
    <w:rsid w:val="00EF039B"/>
    <w:rsid w:val="00EF4933"/>
    <w:rsid w:val="00EF5044"/>
    <w:rsid w:val="00F01956"/>
    <w:rsid w:val="00F116CE"/>
    <w:rsid w:val="00F176DE"/>
    <w:rsid w:val="00F2190F"/>
    <w:rsid w:val="00F21C47"/>
    <w:rsid w:val="00F244E2"/>
    <w:rsid w:val="00F340DE"/>
    <w:rsid w:val="00F43542"/>
    <w:rsid w:val="00F527CB"/>
    <w:rsid w:val="00F562AA"/>
    <w:rsid w:val="00F7105A"/>
    <w:rsid w:val="00F77676"/>
    <w:rsid w:val="00F8197C"/>
    <w:rsid w:val="00F82B4E"/>
    <w:rsid w:val="00F87559"/>
    <w:rsid w:val="00F968B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56F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ighlight1">
    <w:name w:val="highlight1"/>
    <w:basedOn w:val="DefaultParagraphFont"/>
    <w:rsid w:val="00241B7C"/>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6031-6D48-4DCB-9DA8-9D824886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2018-02-16T10:04:00Z</cp:lastPrinted>
  <dcterms:created xsi:type="dcterms:W3CDTF">2018-02-21T12:09:00Z</dcterms:created>
  <dcterms:modified xsi:type="dcterms:W3CDTF">2018-02-21T12:10:00Z</dcterms:modified>
</cp:coreProperties>
</file>