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4F" w:rsidRDefault="0022354F" w:rsidP="0022354F">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22354F" w:rsidRDefault="0022354F" w:rsidP="0022354F">
      <w:pPr>
        <w:spacing w:before="60" w:after="60" w:line="240" w:lineRule="auto"/>
        <w:ind w:right="-330"/>
        <w:rPr>
          <w:rFonts w:ascii="Arial" w:hAnsi="Arial" w:cs="Arial"/>
        </w:rPr>
      </w:pPr>
    </w:p>
    <w:p w:rsidR="0022354F" w:rsidRDefault="0022354F" w:rsidP="0022354F">
      <w:pPr>
        <w:spacing w:before="60" w:after="60" w:line="240" w:lineRule="auto"/>
        <w:ind w:right="-330"/>
        <w:rPr>
          <w:rFonts w:ascii="Arial" w:hAnsi="Arial" w:cs="Arial"/>
        </w:rPr>
      </w:pPr>
      <w:r>
        <w:rPr>
          <w:rFonts w:ascii="Arial" w:hAnsi="Arial" w:cs="Arial"/>
        </w:rPr>
        <w:t>………</w:t>
      </w:r>
      <w:r w:rsidR="002E3D0A">
        <w:rPr>
          <w:rFonts w:ascii="Arial" w:hAnsi="Arial" w:cs="Arial"/>
        </w:rPr>
        <w:t>11</w:t>
      </w:r>
      <w:r w:rsidR="002E3D0A">
        <w:rPr>
          <w:rFonts w:ascii="Arial" w:hAnsi="Arial" w:cs="Arial"/>
          <w:vertAlign w:val="superscript"/>
        </w:rPr>
        <w:t>th</w:t>
      </w:r>
      <w:r w:rsidR="002E3D0A">
        <w:rPr>
          <w:rFonts w:ascii="Arial" w:hAnsi="Arial" w:cs="Arial"/>
        </w:rPr>
        <w:t xml:space="preserve"> March 2015………………………………………….</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Default="006801A0" w:rsidP="005E6D38">
      <w:pPr>
        <w:spacing w:before="60" w:after="60" w:line="240" w:lineRule="auto"/>
        <w:ind w:left="426" w:right="-330"/>
        <w:jc w:val="both"/>
        <w:rPr>
          <w:rFonts w:ascii="Arial" w:hAnsi="Arial" w:cs="Arial"/>
          <w:i/>
          <w:sz w:val="20"/>
          <w:szCs w:val="20"/>
        </w:rPr>
      </w:pPr>
      <w:r>
        <w:rPr>
          <w:rFonts w:ascii="Arial" w:hAnsi="Arial" w:cs="Arial"/>
          <w:i/>
          <w:sz w:val="20"/>
          <w:szCs w:val="20"/>
        </w:rPr>
        <w:t>PH604 Relativity Optics and Maxwell’s Equation</w:t>
      </w:r>
      <w:r w:rsidR="000214EB">
        <w:rPr>
          <w:rFonts w:ascii="Arial" w:hAnsi="Arial" w:cs="Arial"/>
          <w:i/>
          <w:sz w:val="20"/>
          <w:szCs w:val="20"/>
        </w:rPr>
        <w:t>s</w:t>
      </w:r>
    </w:p>
    <w:p w:rsidR="006801A0" w:rsidRPr="00C04C95" w:rsidRDefault="006801A0"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22354F"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Default="006801A0" w:rsidP="005E6D38">
      <w:pPr>
        <w:spacing w:before="60" w:after="60" w:line="240" w:lineRule="auto"/>
        <w:ind w:left="426" w:right="-330"/>
        <w:rPr>
          <w:rFonts w:ascii="Arial" w:hAnsi="Arial" w:cs="Arial"/>
          <w:i/>
          <w:iCs/>
          <w:sz w:val="20"/>
          <w:szCs w:val="20"/>
        </w:rPr>
      </w:pPr>
      <w:r>
        <w:rPr>
          <w:rFonts w:ascii="Arial" w:hAnsi="Arial" w:cs="Arial"/>
          <w:i/>
          <w:iCs/>
          <w:sz w:val="20"/>
          <w:szCs w:val="20"/>
        </w:rPr>
        <w:t>Existing module</w:t>
      </w:r>
      <w:r w:rsidR="00932C8E">
        <w:rPr>
          <w:rFonts w:ascii="Arial" w:hAnsi="Arial" w:cs="Arial"/>
          <w:i/>
          <w:iCs/>
          <w:sz w:val="20"/>
          <w:szCs w:val="20"/>
        </w:rPr>
        <w:t>, n</w:t>
      </w:r>
      <w:r>
        <w:rPr>
          <w:rFonts w:ascii="Arial" w:hAnsi="Arial" w:cs="Arial"/>
          <w:i/>
          <w:iCs/>
          <w:sz w:val="20"/>
          <w:szCs w:val="20"/>
        </w:rPr>
        <w:t xml:space="preserve">ext running in </w:t>
      </w:r>
      <w:r w:rsidR="00932C8E">
        <w:rPr>
          <w:rFonts w:ascii="Arial" w:hAnsi="Arial" w:cs="Arial"/>
          <w:i/>
          <w:iCs/>
          <w:sz w:val="20"/>
          <w:szCs w:val="20"/>
        </w:rPr>
        <w:t>2015-16</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567EC9" w:rsidRDefault="00C5278D" w:rsidP="005E6D38">
      <w:pPr>
        <w:spacing w:before="60" w:after="60" w:line="240" w:lineRule="auto"/>
        <w:ind w:left="426" w:right="-330"/>
        <w:rPr>
          <w:rFonts w:ascii="Arial" w:hAnsi="Arial" w:cs="Arial"/>
          <w:i/>
          <w:iCs/>
          <w:sz w:val="20"/>
          <w:szCs w:val="20"/>
        </w:rPr>
      </w:pPr>
      <w:r>
        <w:rPr>
          <w:rFonts w:ascii="Arial" w:hAnsi="Arial" w:cs="Arial"/>
          <w:i/>
          <w:iCs/>
          <w:sz w:val="20"/>
          <w:szCs w:val="20"/>
        </w:rPr>
        <w:t>100</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567EC9" w:rsidRDefault="006801A0"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None.</w:t>
      </w:r>
      <w:proofErr w:type="gramEnd"/>
      <w:r>
        <w:rPr>
          <w:rFonts w:ascii="Arial" w:hAnsi="Arial" w:cs="Arial"/>
          <w:i/>
          <w:iCs/>
          <w:sz w:val="20"/>
          <w:szCs w:val="20"/>
        </w:rPr>
        <w:t xml:space="preserve"> </w:t>
      </w:r>
    </w:p>
    <w:p w:rsidR="00C5278D" w:rsidRDefault="00C5278D"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Default="006801A0" w:rsidP="005E6D38">
      <w:pPr>
        <w:spacing w:before="60" w:after="60" w:line="240" w:lineRule="auto"/>
        <w:ind w:left="426" w:right="-330"/>
        <w:rPr>
          <w:rFonts w:ascii="Arial" w:hAnsi="Arial" w:cs="Arial"/>
          <w:i/>
          <w:iCs/>
          <w:sz w:val="20"/>
          <w:szCs w:val="20"/>
        </w:rPr>
      </w:pPr>
      <w:r>
        <w:rPr>
          <w:rFonts w:ascii="Arial" w:hAnsi="Arial" w:cs="Arial"/>
          <w:i/>
          <w:iCs/>
          <w:sz w:val="20"/>
          <w:szCs w:val="20"/>
        </w:rPr>
        <w:t>H</w:t>
      </w:r>
    </w:p>
    <w:p w:rsidR="00C5278D" w:rsidRPr="00C04C95" w:rsidRDefault="00C5278D"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6801A0" w:rsidP="005E6D38">
      <w:pPr>
        <w:pStyle w:val="NormalWeb"/>
        <w:spacing w:before="60" w:beforeAutospacing="0" w:after="60" w:afterAutospacing="0"/>
        <w:ind w:left="426" w:right="-330"/>
        <w:rPr>
          <w:rFonts w:ascii="Arial" w:hAnsi="Arial" w:cs="Arial"/>
          <w:i/>
          <w:sz w:val="20"/>
          <w:szCs w:val="20"/>
        </w:rPr>
      </w:pPr>
      <w:r>
        <w:rPr>
          <w:rFonts w:ascii="Arial" w:hAnsi="Arial" w:cs="Arial"/>
          <w:i/>
          <w:sz w:val="20"/>
          <w:szCs w:val="20"/>
        </w:rPr>
        <w:t>15 (7.5 ECTS)</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Default="006801A0" w:rsidP="005E6D38">
      <w:pPr>
        <w:spacing w:before="60" w:after="60" w:line="240" w:lineRule="auto"/>
        <w:ind w:left="426" w:right="-330"/>
        <w:rPr>
          <w:rFonts w:ascii="Arial" w:hAnsi="Arial" w:cs="Arial"/>
          <w:i/>
          <w:iCs/>
          <w:sz w:val="20"/>
          <w:szCs w:val="20"/>
        </w:rPr>
      </w:pPr>
      <w:r>
        <w:rPr>
          <w:rFonts w:ascii="Arial" w:hAnsi="Arial" w:cs="Arial"/>
          <w:i/>
          <w:iCs/>
          <w:sz w:val="20"/>
          <w:szCs w:val="20"/>
        </w:rPr>
        <w:t>Term 1</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5759F4" w:rsidRDefault="00932C8E" w:rsidP="00EF4A7F">
      <w:pPr>
        <w:spacing w:before="60" w:after="60" w:line="240" w:lineRule="auto"/>
        <w:ind w:left="426" w:right="-330"/>
        <w:jc w:val="both"/>
        <w:rPr>
          <w:rFonts w:ascii="Arial" w:hAnsi="Arial" w:cs="Arial"/>
          <w:i/>
          <w:iCs/>
          <w:sz w:val="20"/>
          <w:szCs w:val="20"/>
        </w:rPr>
      </w:pPr>
      <w:r>
        <w:rPr>
          <w:rFonts w:ascii="Arial" w:hAnsi="Arial" w:cs="Arial"/>
          <w:i/>
          <w:iCs/>
          <w:sz w:val="20"/>
          <w:szCs w:val="20"/>
        </w:rPr>
        <w:t>Prerequisite and co-requisites:</w:t>
      </w:r>
      <w:r w:rsidR="00EF4A7F">
        <w:rPr>
          <w:rFonts w:ascii="Arial" w:hAnsi="Arial" w:cs="Arial"/>
          <w:i/>
          <w:iCs/>
          <w:sz w:val="20"/>
          <w:szCs w:val="20"/>
        </w:rPr>
        <w:t xml:space="preserve"> PH301 </w:t>
      </w:r>
      <w:r w:rsidR="00164D96">
        <w:rPr>
          <w:rFonts w:ascii="Arial" w:hAnsi="Arial" w:cs="Arial"/>
          <w:i/>
          <w:iCs/>
          <w:sz w:val="20"/>
          <w:szCs w:val="20"/>
        </w:rPr>
        <w:t xml:space="preserve">(or replacement modules PH321, PH322, PH323) </w:t>
      </w:r>
      <w:r w:rsidR="00EF4A7F">
        <w:rPr>
          <w:rFonts w:ascii="Arial" w:hAnsi="Arial" w:cs="Arial"/>
          <w:i/>
          <w:iCs/>
          <w:sz w:val="20"/>
          <w:szCs w:val="20"/>
        </w:rPr>
        <w:t>and</w:t>
      </w:r>
      <w:r w:rsidR="006801A0">
        <w:rPr>
          <w:rFonts w:ascii="Arial" w:hAnsi="Arial" w:cs="Arial"/>
          <w:i/>
          <w:iCs/>
          <w:sz w:val="20"/>
          <w:szCs w:val="20"/>
        </w:rPr>
        <w:t xml:space="preserve"> PH504</w:t>
      </w:r>
      <w:r w:rsidR="00EF4A7F">
        <w:rPr>
          <w:rFonts w:ascii="Arial" w:hAnsi="Arial" w:cs="Arial"/>
          <w:i/>
          <w:iCs/>
          <w:sz w:val="20"/>
          <w:szCs w:val="20"/>
        </w:rPr>
        <w:t>.</w:t>
      </w:r>
    </w:p>
    <w:p w:rsidR="006801A0" w:rsidRPr="00C04C95" w:rsidRDefault="006801A0"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A56B58" w:rsidRDefault="00A56B58"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Physics </w:t>
      </w:r>
      <w:r w:rsidRPr="009450C2">
        <w:rPr>
          <w:rFonts w:ascii="Arial" w:hAnsi="Arial" w:cs="Arial"/>
          <w:i/>
          <w:iCs/>
          <w:sz w:val="20"/>
          <w:szCs w:val="20"/>
        </w:rPr>
        <w:t xml:space="preserve">(BSc, BSc with Foundation Year, </w:t>
      </w:r>
      <w:proofErr w:type="spellStart"/>
      <w:r>
        <w:rPr>
          <w:rFonts w:ascii="Arial" w:hAnsi="Arial" w:cs="Arial"/>
          <w:i/>
          <w:iCs/>
          <w:sz w:val="20"/>
          <w:szCs w:val="20"/>
        </w:rPr>
        <w:t>MPhys</w:t>
      </w:r>
      <w:proofErr w:type="spellEnd"/>
      <w:r w:rsidRPr="009450C2">
        <w:rPr>
          <w:rFonts w:ascii="Arial" w:hAnsi="Arial" w:cs="Arial"/>
          <w:i/>
          <w:iCs/>
          <w:sz w:val="20"/>
          <w:szCs w:val="20"/>
        </w:rPr>
        <w:t>)</w:t>
      </w:r>
    </w:p>
    <w:p w:rsidR="00A56B58" w:rsidRDefault="00A56B58"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Physics with Astrophysics </w:t>
      </w:r>
      <w:r w:rsidRPr="009450C2">
        <w:rPr>
          <w:rFonts w:ascii="Arial" w:hAnsi="Arial" w:cs="Arial"/>
          <w:i/>
          <w:iCs/>
          <w:sz w:val="20"/>
          <w:szCs w:val="20"/>
        </w:rPr>
        <w:t xml:space="preserve">(BSc, </w:t>
      </w:r>
      <w:proofErr w:type="spellStart"/>
      <w:r>
        <w:rPr>
          <w:rFonts w:ascii="Arial" w:hAnsi="Arial" w:cs="Arial"/>
          <w:i/>
          <w:iCs/>
          <w:sz w:val="20"/>
          <w:szCs w:val="20"/>
        </w:rPr>
        <w:t>MPhys</w:t>
      </w:r>
      <w:proofErr w:type="spellEnd"/>
      <w:r w:rsidRPr="009450C2">
        <w:rPr>
          <w:rFonts w:ascii="Arial" w:hAnsi="Arial" w:cs="Arial"/>
          <w:i/>
          <w:iCs/>
          <w:sz w:val="20"/>
          <w:szCs w:val="20"/>
        </w:rPr>
        <w:t>)</w:t>
      </w:r>
    </w:p>
    <w:p w:rsidR="00BD0EF8" w:rsidRDefault="006801A0" w:rsidP="005E6D38">
      <w:pPr>
        <w:spacing w:before="60" w:after="60" w:line="240" w:lineRule="auto"/>
        <w:ind w:left="426" w:right="-330"/>
        <w:rPr>
          <w:rFonts w:ascii="Arial" w:hAnsi="Arial" w:cs="Arial"/>
          <w:i/>
          <w:iCs/>
          <w:sz w:val="20"/>
          <w:szCs w:val="20"/>
        </w:rPr>
      </w:pPr>
      <w:r w:rsidRPr="009450C2">
        <w:rPr>
          <w:rFonts w:ascii="Arial" w:hAnsi="Arial" w:cs="Arial"/>
          <w:i/>
          <w:iCs/>
          <w:sz w:val="20"/>
          <w:szCs w:val="20"/>
        </w:rPr>
        <w:t xml:space="preserve"> Astronomy Space Science and Astrophysics (BSc, </w:t>
      </w:r>
      <w:proofErr w:type="spellStart"/>
      <w:r w:rsidR="00EF4A7F">
        <w:rPr>
          <w:rFonts w:ascii="Arial" w:hAnsi="Arial" w:cs="Arial"/>
          <w:i/>
          <w:iCs/>
          <w:sz w:val="20"/>
          <w:szCs w:val="20"/>
        </w:rPr>
        <w:t>MPhys</w:t>
      </w:r>
      <w:proofErr w:type="spellEnd"/>
      <w:r w:rsidRPr="009450C2">
        <w:rPr>
          <w:rFonts w:ascii="Arial" w:hAnsi="Arial" w:cs="Arial"/>
          <w:i/>
          <w:iCs/>
          <w:sz w:val="20"/>
          <w:szCs w:val="20"/>
        </w:rPr>
        <w:t>)</w:t>
      </w:r>
    </w:p>
    <w:p w:rsidR="00932C8E" w:rsidRDefault="00932C8E" w:rsidP="005E6D38">
      <w:pPr>
        <w:spacing w:before="60" w:after="60" w:line="240" w:lineRule="auto"/>
        <w:ind w:left="426" w:right="-330"/>
        <w:rPr>
          <w:rFonts w:ascii="Arial" w:hAnsi="Arial" w:cs="Arial"/>
          <w:i/>
          <w:iCs/>
          <w:sz w:val="20"/>
          <w:szCs w:val="20"/>
        </w:rPr>
      </w:pPr>
      <w:r>
        <w:rPr>
          <w:rFonts w:ascii="Arial" w:hAnsi="Arial" w:cs="Arial"/>
          <w:i/>
          <w:iCs/>
          <w:sz w:val="20"/>
          <w:szCs w:val="20"/>
        </w:rPr>
        <w:t>This is not available as a wild module</w:t>
      </w:r>
    </w:p>
    <w:p w:rsidR="006801A0" w:rsidRPr="00C04C95" w:rsidRDefault="006801A0"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AA3C15" w:rsidRPr="00932C8E" w:rsidRDefault="005F4D8F" w:rsidP="005F4D8F">
      <w:pPr>
        <w:pStyle w:val="ListParagraph"/>
        <w:numPr>
          <w:ilvl w:val="1"/>
          <w:numId w:val="3"/>
        </w:numPr>
        <w:spacing w:before="60" w:after="60" w:line="240" w:lineRule="auto"/>
        <w:ind w:right="-330"/>
        <w:rPr>
          <w:rFonts w:ascii="Arial" w:hAnsi="Arial" w:cs="Arial"/>
          <w:i/>
          <w:sz w:val="20"/>
          <w:szCs w:val="20"/>
        </w:rPr>
      </w:pPr>
      <w:r w:rsidRPr="00932C8E">
        <w:rPr>
          <w:rFonts w:ascii="Arial" w:hAnsi="Arial" w:cs="Arial"/>
          <w:i/>
          <w:iCs/>
          <w:sz w:val="20"/>
          <w:szCs w:val="20"/>
        </w:rPr>
        <w:t xml:space="preserve">Knowledge and understanding of </w:t>
      </w:r>
      <w:r w:rsidR="000B6DD7" w:rsidRPr="00932C8E">
        <w:rPr>
          <w:rFonts w:ascii="Arial" w:hAnsi="Arial" w:cs="Arial"/>
          <w:i/>
          <w:sz w:val="20"/>
          <w:szCs w:val="20"/>
        </w:rPr>
        <w:t>electromagnetic and relativistic</w:t>
      </w:r>
      <w:r w:rsidRPr="00932C8E">
        <w:rPr>
          <w:rFonts w:ascii="Arial" w:hAnsi="Arial" w:cs="Arial"/>
          <w:i/>
          <w:sz w:val="20"/>
          <w:szCs w:val="20"/>
        </w:rPr>
        <w:t xml:space="preserve"> laws and principles, and their application to diverse areas of physics. (A1)</w:t>
      </w:r>
    </w:p>
    <w:p w:rsidR="005F4D8F" w:rsidRPr="00932C8E" w:rsidRDefault="005F4D8F" w:rsidP="005F4D8F">
      <w:pPr>
        <w:pStyle w:val="ListParagraph"/>
        <w:numPr>
          <w:ilvl w:val="1"/>
          <w:numId w:val="3"/>
        </w:numPr>
        <w:spacing w:before="60" w:after="60" w:line="240" w:lineRule="auto"/>
        <w:ind w:right="-330"/>
        <w:rPr>
          <w:rFonts w:ascii="Arial" w:hAnsi="Arial" w:cs="Arial"/>
          <w:i/>
          <w:iCs/>
          <w:sz w:val="20"/>
          <w:szCs w:val="20"/>
        </w:rPr>
      </w:pPr>
      <w:r w:rsidRPr="00932C8E">
        <w:rPr>
          <w:rFonts w:ascii="Arial" w:hAnsi="Arial" w:cs="Arial"/>
          <w:i/>
          <w:sz w:val="20"/>
          <w:szCs w:val="20"/>
        </w:rPr>
        <w:t>An ability to identify relevant principles and laws when dealing with problems</w:t>
      </w:r>
      <w:r w:rsidR="008717D3" w:rsidRPr="00932C8E">
        <w:rPr>
          <w:rFonts w:ascii="Arial" w:hAnsi="Arial" w:cs="Arial"/>
          <w:i/>
          <w:sz w:val="20"/>
          <w:szCs w:val="20"/>
        </w:rPr>
        <w:t xml:space="preserve"> in electromagnetism and relativity</w:t>
      </w:r>
      <w:r w:rsidRPr="00932C8E">
        <w:rPr>
          <w:rFonts w:ascii="Arial" w:hAnsi="Arial" w:cs="Arial"/>
          <w:i/>
          <w:sz w:val="20"/>
          <w:szCs w:val="20"/>
        </w:rPr>
        <w:t>, and to make approximations necessary to obtain solutions. (B1)</w:t>
      </w:r>
    </w:p>
    <w:p w:rsidR="005F4D8F" w:rsidRPr="00932C8E" w:rsidRDefault="005F4D8F" w:rsidP="005F4D8F">
      <w:pPr>
        <w:pStyle w:val="ListParagraph"/>
        <w:numPr>
          <w:ilvl w:val="1"/>
          <w:numId w:val="3"/>
        </w:numPr>
        <w:spacing w:before="60" w:after="60" w:line="240" w:lineRule="auto"/>
        <w:ind w:right="-330"/>
        <w:rPr>
          <w:rFonts w:ascii="Arial" w:hAnsi="Arial" w:cs="Arial"/>
          <w:i/>
          <w:iCs/>
          <w:sz w:val="20"/>
          <w:szCs w:val="20"/>
        </w:rPr>
      </w:pPr>
      <w:r w:rsidRPr="00932C8E">
        <w:rPr>
          <w:rFonts w:ascii="Arial" w:hAnsi="Arial" w:cs="Arial"/>
          <w:i/>
          <w:sz w:val="20"/>
          <w:szCs w:val="20"/>
        </w:rPr>
        <w:t xml:space="preserve">An ability to solve problems in </w:t>
      </w:r>
      <w:r w:rsidR="008717D3" w:rsidRPr="00932C8E">
        <w:rPr>
          <w:rFonts w:ascii="Arial" w:hAnsi="Arial" w:cs="Arial"/>
          <w:i/>
          <w:sz w:val="20"/>
          <w:szCs w:val="20"/>
        </w:rPr>
        <w:t>electromagnetism and relativity</w:t>
      </w:r>
      <w:r w:rsidRPr="00932C8E">
        <w:rPr>
          <w:rFonts w:ascii="Arial" w:hAnsi="Arial" w:cs="Arial"/>
          <w:i/>
          <w:sz w:val="20"/>
          <w:szCs w:val="20"/>
        </w:rPr>
        <w:t xml:space="preserve"> using appropriate mathematical tools. (B2)</w:t>
      </w:r>
    </w:p>
    <w:p w:rsidR="005F4D8F" w:rsidRPr="00932C8E" w:rsidRDefault="005F4D8F" w:rsidP="005F4D8F">
      <w:pPr>
        <w:pStyle w:val="ListParagraph"/>
        <w:numPr>
          <w:ilvl w:val="1"/>
          <w:numId w:val="3"/>
        </w:numPr>
        <w:spacing w:before="60" w:after="60" w:line="240" w:lineRule="auto"/>
        <w:ind w:right="-330"/>
        <w:rPr>
          <w:rFonts w:ascii="Arial" w:hAnsi="Arial" w:cs="Arial"/>
          <w:i/>
          <w:iCs/>
          <w:sz w:val="20"/>
          <w:szCs w:val="20"/>
        </w:rPr>
      </w:pPr>
      <w:r w:rsidRPr="00932C8E">
        <w:rPr>
          <w:rFonts w:ascii="Arial" w:hAnsi="Arial" w:cs="Arial"/>
          <w:i/>
          <w:sz w:val="20"/>
          <w:szCs w:val="20"/>
        </w:rPr>
        <w:lastRenderedPageBreak/>
        <w:t>An ability to use mathematical techniques and analysis to model physical behaviour</w:t>
      </w:r>
      <w:r w:rsidR="008717D3" w:rsidRPr="00932C8E">
        <w:rPr>
          <w:rFonts w:ascii="Arial" w:hAnsi="Arial" w:cs="Arial"/>
          <w:i/>
          <w:sz w:val="20"/>
          <w:szCs w:val="20"/>
        </w:rPr>
        <w:t xml:space="preserve"> in electromagnetism and relativity</w:t>
      </w:r>
      <w:r w:rsidRPr="00932C8E">
        <w:rPr>
          <w:rFonts w:ascii="Arial" w:hAnsi="Arial" w:cs="Arial"/>
          <w:i/>
          <w:sz w:val="20"/>
          <w:szCs w:val="20"/>
        </w:rPr>
        <w:t>. (B4)</w:t>
      </w:r>
    </w:p>
    <w:p w:rsidR="005F4D8F" w:rsidRPr="00932C8E" w:rsidRDefault="005F4D8F" w:rsidP="005F4D8F">
      <w:pPr>
        <w:pStyle w:val="ListParagraph"/>
        <w:numPr>
          <w:ilvl w:val="1"/>
          <w:numId w:val="3"/>
        </w:numPr>
        <w:spacing w:before="60" w:after="60" w:line="240" w:lineRule="auto"/>
        <w:ind w:right="-330"/>
        <w:rPr>
          <w:rFonts w:ascii="Arial" w:hAnsi="Arial" w:cs="Arial"/>
          <w:i/>
          <w:iCs/>
          <w:sz w:val="20"/>
          <w:szCs w:val="20"/>
        </w:rPr>
      </w:pPr>
      <w:r w:rsidRPr="00932C8E">
        <w:rPr>
          <w:rFonts w:ascii="Arial" w:hAnsi="Arial" w:cs="Arial"/>
          <w:i/>
          <w:sz w:val="20"/>
          <w:szCs w:val="20"/>
        </w:rPr>
        <w:t>An ability to present and interpret information graphically. (C2)</w:t>
      </w:r>
    </w:p>
    <w:p w:rsidR="005F4D8F" w:rsidRPr="00932C8E" w:rsidRDefault="005F4D8F" w:rsidP="005F4D8F">
      <w:pPr>
        <w:pStyle w:val="ListParagraph"/>
        <w:numPr>
          <w:ilvl w:val="1"/>
          <w:numId w:val="3"/>
        </w:numPr>
        <w:spacing w:before="60" w:after="60" w:line="240" w:lineRule="auto"/>
        <w:ind w:right="-330"/>
        <w:rPr>
          <w:rFonts w:ascii="Arial" w:hAnsi="Arial" w:cs="Arial"/>
          <w:i/>
          <w:iCs/>
          <w:sz w:val="20"/>
          <w:szCs w:val="20"/>
        </w:rPr>
      </w:pPr>
      <w:r w:rsidRPr="00932C8E">
        <w:rPr>
          <w:rFonts w:ascii="Arial" w:hAnsi="Arial" w:cs="Arial"/>
          <w:i/>
          <w:sz w:val="20"/>
          <w:szCs w:val="20"/>
        </w:rPr>
        <w:t>An ability to make use of appropriate texts, research-based materials or other learning resources as part of managing their own learning. (C6)</w:t>
      </w:r>
    </w:p>
    <w:p w:rsidR="005F4D8F" w:rsidRPr="00C04C95" w:rsidRDefault="005F4D8F" w:rsidP="005E6D38">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903DF6" w:rsidRPr="00932C8E" w:rsidRDefault="005F4D8F" w:rsidP="005F4D8F">
      <w:pPr>
        <w:pStyle w:val="Default"/>
        <w:numPr>
          <w:ilvl w:val="1"/>
          <w:numId w:val="3"/>
        </w:numPr>
        <w:spacing w:before="60" w:after="60"/>
        <w:ind w:right="-330"/>
        <w:rPr>
          <w:i/>
          <w:sz w:val="20"/>
          <w:szCs w:val="20"/>
        </w:rPr>
      </w:pPr>
      <w:r w:rsidRPr="00932C8E">
        <w:rPr>
          <w:i/>
          <w:sz w:val="20"/>
          <w:szCs w:val="20"/>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(D1)</w:t>
      </w:r>
    </w:p>
    <w:p w:rsidR="005F4D8F" w:rsidRPr="00932C8E" w:rsidRDefault="005F4D8F" w:rsidP="005F4D8F">
      <w:pPr>
        <w:pStyle w:val="Default"/>
        <w:numPr>
          <w:ilvl w:val="1"/>
          <w:numId w:val="3"/>
        </w:numPr>
        <w:spacing w:before="60" w:after="60"/>
        <w:ind w:right="-330"/>
        <w:rPr>
          <w:i/>
          <w:color w:val="auto"/>
          <w:sz w:val="20"/>
          <w:szCs w:val="20"/>
        </w:rPr>
      </w:pPr>
      <w:r w:rsidRPr="00932C8E">
        <w:rPr>
          <w:i/>
          <w:sz w:val="20"/>
          <w:szCs w:val="20"/>
        </w:rPr>
        <w:t>Analytical skills – associated with the need to pay attention to detail and to develop an ability to manipulate precise and intricate ideas, to construct logical arguments and to use technical language correctly. (D4)</w:t>
      </w:r>
    </w:p>
    <w:p w:rsidR="005F4D8F" w:rsidRDefault="005F4D8F" w:rsidP="005E6D38">
      <w:pPr>
        <w:pStyle w:val="Default"/>
        <w:spacing w:before="60" w:after="60"/>
        <w:ind w:left="720" w:right="-330"/>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BD416E" w:rsidRDefault="00BD416E" w:rsidP="00B618A0">
      <w:pPr>
        <w:pStyle w:val="ListParagraph"/>
        <w:ind w:left="360"/>
        <w:rPr>
          <w:rFonts w:ascii="Arial" w:eastAsia="Times New Roman" w:hAnsi="Arial" w:cs="Arial"/>
          <w:sz w:val="20"/>
          <w:szCs w:val="20"/>
        </w:rPr>
      </w:pPr>
    </w:p>
    <w:p w:rsidR="00B618A0" w:rsidRPr="00B618A0" w:rsidRDefault="00B618A0" w:rsidP="00B618A0">
      <w:pPr>
        <w:pStyle w:val="ListParagraph"/>
        <w:ind w:left="360"/>
        <w:rPr>
          <w:rFonts w:ascii="Arial" w:eastAsia="Times New Roman" w:hAnsi="Arial" w:cs="Arial"/>
          <w:sz w:val="20"/>
          <w:szCs w:val="20"/>
        </w:rPr>
      </w:pPr>
      <w:r w:rsidRPr="00B618A0">
        <w:rPr>
          <w:rFonts w:ascii="Arial" w:eastAsia="Times New Roman" w:hAnsi="Arial" w:cs="Arial"/>
          <w:b/>
          <w:bCs/>
          <w:sz w:val="20"/>
          <w:szCs w:val="20"/>
        </w:rPr>
        <w:t>Special Relativity:</w:t>
      </w:r>
      <w:r w:rsidRPr="00B618A0">
        <w:rPr>
          <w:rFonts w:ascii="Arial" w:eastAsia="Times New Roman" w:hAnsi="Arial" w:cs="Arial"/>
          <w:sz w:val="20"/>
          <w:szCs w:val="20"/>
        </w:rPr>
        <w:t xml:space="preserve"> Limits of Newtonian Mechanics, Inertial frames of reference, the Galilean and Lorentz transformations, time dilation and length contraction, invariant quantities under Lorentz transformation, energy momentum 4-vector</w:t>
      </w:r>
    </w:p>
    <w:p w:rsidR="00B618A0" w:rsidRPr="00B618A0" w:rsidRDefault="00B618A0" w:rsidP="00B618A0">
      <w:pPr>
        <w:pStyle w:val="ListParagraph"/>
        <w:ind w:left="360"/>
        <w:rPr>
          <w:rFonts w:ascii="Arial" w:eastAsia="Times New Roman" w:hAnsi="Arial" w:cs="Arial"/>
          <w:sz w:val="20"/>
          <w:szCs w:val="20"/>
        </w:rPr>
      </w:pPr>
      <w:r w:rsidRPr="00B618A0">
        <w:rPr>
          <w:rFonts w:ascii="Arial" w:eastAsia="Times New Roman" w:hAnsi="Arial" w:cs="Arial"/>
          <w:b/>
          <w:bCs/>
          <w:sz w:val="20"/>
          <w:szCs w:val="20"/>
        </w:rPr>
        <w:t>Maxwell's equations:</w:t>
      </w:r>
      <w:r w:rsidRPr="00B618A0">
        <w:rPr>
          <w:rFonts w:ascii="Arial" w:eastAsia="Times New Roman" w:hAnsi="Arial" w:cs="Arial"/>
          <w:sz w:val="20"/>
          <w:szCs w:val="20"/>
        </w:rPr>
        <w:t xml:space="preserve"> operators of vector calculus, Gauss law of electrostatics and </w:t>
      </w:r>
      <w:proofErr w:type="spellStart"/>
      <w:r w:rsidRPr="00B618A0">
        <w:rPr>
          <w:rFonts w:ascii="Arial" w:eastAsia="Times New Roman" w:hAnsi="Arial" w:cs="Arial"/>
          <w:sz w:val="20"/>
          <w:szCs w:val="20"/>
        </w:rPr>
        <w:t>magnetostatics</w:t>
      </w:r>
      <w:proofErr w:type="spellEnd"/>
      <w:r w:rsidRPr="00B618A0">
        <w:rPr>
          <w:rFonts w:ascii="Arial" w:eastAsia="Times New Roman" w:hAnsi="Arial" w:cs="Arial"/>
          <w:sz w:val="20"/>
          <w:szCs w:val="20"/>
        </w:rPr>
        <w:t xml:space="preserve">, Faraday's law and Ampere's law, physical meanings and integral and differential forms, dielectrics, the wave equation and solutions, </w:t>
      </w:r>
      <w:proofErr w:type="spellStart"/>
      <w:r w:rsidRPr="00B618A0">
        <w:rPr>
          <w:rFonts w:ascii="Arial" w:eastAsia="Times New Roman" w:hAnsi="Arial" w:cs="Arial"/>
          <w:sz w:val="20"/>
          <w:szCs w:val="20"/>
        </w:rPr>
        <w:t>Poynting</w:t>
      </w:r>
      <w:proofErr w:type="spellEnd"/>
      <w:r w:rsidRPr="00B618A0">
        <w:rPr>
          <w:rFonts w:ascii="Arial" w:eastAsia="Times New Roman" w:hAnsi="Arial" w:cs="Arial"/>
          <w:sz w:val="20"/>
          <w:szCs w:val="20"/>
        </w:rPr>
        <w:t xml:space="preserve"> vector, the Fresnel relations, transmission and reflection at dielectric boundaries.</w:t>
      </w:r>
    </w:p>
    <w:p w:rsidR="00B618A0" w:rsidRPr="00B618A0" w:rsidRDefault="00B618A0" w:rsidP="00B618A0">
      <w:pPr>
        <w:pStyle w:val="ListParagraph"/>
        <w:ind w:left="360"/>
        <w:rPr>
          <w:rFonts w:ascii="Arial" w:eastAsia="Times New Roman" w:hAnsi="Arial" w:cs="Arial"/>
          <w:sz w:val="20"/>
          <w:szCs w:val="20"/>
        </w:rPr>
      </w:pPr>
      <w:r w:rsidRPr="00B618A0">
        <w:rPr>
          <w:rFonts w:ascii="Arial" w:eastAsia="Times New Roman" w:hAnsi="Arial" w:cs="Arial"/>
          <w:b/>
          <w:bCs/>
          <w:sz w:val="20"/>
          <w:szCs w:val="20"/>
        </w:rPr>
        <w:t xml:space="preserve">Modern Optics: </w:t>
      </w:r>
      <w:r w:rsidRPr="00B618A0">
        <w:rPr>
          <w:rFonts w:ascii="Arial" w:eastAsia="Times New Roman" w:hAnsi="Arial" w:cs="Arial"/>
          <w:sz w:val="20"/>
          <w:szCs w:val="20"/>
        </w:rPr>
        <w:t>Resonant cavities and the laser, optical modes, Polarisation and Jones vector formulation</w:t>
      </w:r>
    </w:p>
    <w:p w:rsidR="00B618A0" w:rsidRPr="00C04C95" w:rsidRDefault="00B618A0"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6801A0" w:rsidRPr="006801A0" w:rsidRDefault="006801A0" w:rsidP="006801A0">
      <w:pPr>
        <w:spacing w:after="0" w:line="240" w:lineRule="auto"/>
        <w:ind w:left="357"/>
        <w:rPr>
          <w:rFonts w:ascii="Arial" w:eastAsia="Times New Roman" w:hAnsi="Arial" w:cs="Arial"/>
          <w:i/>
          <w:sz w:val="20"/>
          <w:szCs w:val="20"/>
        </w:rPr>
      </w:pPr>
      <w:r w:rsidRPr="006801A0">
        <w:rPr>
          <w:rFonts w:ascii="Arial" w:eastAsia="Times New Roman" w:hAnsi="Arial" w:cs="Arial"/>
          <w:i/>
          <w:sz w:val="20"/>
          <w:szCs w:val="20"/>
        </w:rPr>
        <w:t>I</w:t>
      </w:r>
      <w:r w:rsidR="00EF4A7F">
        <w:rPr>
          <w:rFonts w:ascii="Arial" w:eastAsia="Times New Roman" w:hAnsi="Arial" w:cs="Arial"/>
          <w:i/>
          <w:sz w:val="20"/>
          <w:szCs w:val="20"/>
        </w:rPr>
        <w:t>ntroduction to Electrodynamics; Griffiths, D. (1999)</w:t>
      </w:r>
    </w:p>
    <w:p w:rsidR="006801A0" w:rsidRPr="006801A0" w:rsidRDefault="00EF4A7F" w:rsidP="006801A0">
      <w:pPr>
        <w:spacing w:after="0" w:line="240" w:lineRule="auto"/>
        <w:ind w:left="357"/>
        <w:rPr>
          <w:rFonts w:ascii="Arial" w:eastAsia="Times New Roman" w:hAnsi="Arial" w:cs="Arial"/>
          <w:i/>
          <w:sz w:val="20"/>
          <w:szCs w:val="20"/>
        </w:rPr>
      </w:pPr>
      <w:r>
        <w:rPr>
          <w:rFonts w:ascii="Arial" w:eastAsia="Times New Roman" w:hAnsi="Arial" w:cs="Arial"/>
          <w:i/>
          <w:sz w:val="20"/>
          <w:szCs w:val="20"/>
        </w:rPr>
        <w:t>Optics; Hecht, E. (2002)</w:t>
      </w:r>
    </w:p>
    <w:p w:rsidR="006801A0" w:rsidRPr="006801A0" w:rsidRDefault="006801A0" w:rsidP="006801A0">
      <w:pPr>
        <w:spacing w:after="0" w:line="240" w:lineRule="auto"/>
        <w:ind w:left="357"/>
        <w:rPr>
          <w:rFonts w:ascii="Arial" w:eastAsia="Times New Roman" w:hAnsi="Arial" w:cs="Arial"/>
          <w:i/>
          <w:sz w:val="20"/>
          <w:szCs w:val="20"/>
        </w:rPr>
      </w:pPr>
      <w:r w:rsidRPr="006801A0">
        <w:rPr>
          <w:rFonts w:ascii="Arial" w:eastAsia="Times New Roman" w:hAnsi="Arial" w:cs="Arial"/>
          <w:i/>
          <w:sz w:val="20"/>
          <w:szCs w:val="20"/>
        </w:rPr>
        <w:t>Optoelectronics: An Introduction</w:t>
      </w:r>
      <w:r w:rsidR="00EF4A7F">
        <w:rPr>
          <w:rFonts w:ascii="Arial" w:eastAsia="Times New Roman" w:hAnsi="Arial" w:cs="Arial"/>
          <w:i/>
          <w:sz w:val="20"/>
          <w:szCs w:val="20"/>
        </w:rPr>
        <w:t>; Wilson, J. &amp; Hawkes, J.F.B.</w:t>
      </w:r>
      <w:r w:rsidR="00C6280F">
        <w:rPr>
          <w:rFonts w:ascii="Arial" w:eastAsia="Times New Roman" w:hAnsi="Arial" w:cs="Arial"/>
          <w:i/>
          <w:sz w:val="20"/>
          <w:szCs w:val="20"/>
        </w:rPr>
        <w:t xml:space="preserve"> </w:t>
      </w:r>
      <w:r w:rsidR="00EF4A7F">
        <w:rPr>
          <w:rFonts w:ascii="Arial" w:eastAsia="Times New Roman" w:hAnsi="Arial" w:cs="Arial"/>
          <w:i/>
          <w:sz w:val="20"/>
          <w:szCs w:val="20"/>
        </w:rPr>
        <w:t>(</w:t>
      </w:r>
      <w:r w:rsidR="00C6280F">
        <w:rPr>
          <w:rFonts w:ascii="Arial" w:eastAsia="Times New Roman" w:hAnsi="Arial" w:cs="Arial"/>
          <w:i/>
          <w:sz w:val="20"/>
          <w:szCs w:val="20"/>
        </w:rPr>
        <w:t>1998</w:t>
      </w:r>
      <w:r w:rsidR="00EF4A7F">
        <w:rPr>
          <w:rFonts w:ascii="Arial" w:eastAsia="Times New Roman" w:hAnsi="Arial" w:cs="Arial"/>
          <w:i/>
          <w:sz w:val="20"/>
          <w:szCs w:val="20"/>
        </w:rPr>
        <w:t>)</w:t>
      </w:r>
    </w:p>
    <w:p w:rsidR="006801A0" w:rsidRPr="006801A0" w:rsidRDefault="006801A0" w:rsidP="006801A0">
      <w:pPr>
        <w:spacing w:after="0" w:line="240" w:lineRule="auto"/>
        <w:ind w:left="357"/>
        <w:rPr>
          <w:rFonts w:ascii="Arial" w:eastAsia="Times New Roman" w:hAnsi="Arial" w:cs="Arial"/>
          <w:i/>
          <w:sz w:val="20"/>
          <w:szCs w:val="20"/>
        </w:rPr>
      </w:pPr>
      <w:r w:rsidRPr="006801A0">
        <w:rPr>
          <w:rFonts w:ascii="Arial" w:eastAsia="Times New Roman" w:hAnsi="Arial" w:cs="Arial"/>
          <w:i/>
          <w:sz w:val="20"/>
          <w:szCs w:val="20"/>
        </w:rPr>
        <w:t xml:space="preserve">Optical </w:t>
      </w:r>
      <w:r w:rsidR="00EF4A7F">
        <w:rPr>
          <w:rFonts w:ascii="Arial" w:eastAsia="Times New Roman" w:hAnsi="Arial" w:cs="Arial"/>
          <w:i/>
          <w:sz w:val="20"/>
          <w:szCs w:val="20"/>
        </w:rPr>
        <w:t>E</w:t>
      </w:r>
      <w:r w:rsidRPr="006801A0">
        <w:rPr>
          <w:rFonts w:ascii="Arial" w:eastAsia="Times New Roman" w:hAnsi="Arial" w:cs="Arial"/>
          <w:i/>
          <w:sz w:val="20"/>
          <w:szCs w:val="20"/>
        </w:rPr>
        <w:t>lectronics</w:t>
      </w:r>
      <w:r w:rsidR="00EF4A7F">
        <w:rPr>
          <w:rFonts w:ascii="Arial" w:eastAsia="Times New Roman" w:hAnsi="Arial" w:cs="Arial"/>
          <w:i/>
          <w:sz w:val="20"/>
          <w:szCs w:val="20"/>
        </w:rPr>
        <w:t xml:space="preserve">; </w:t>
      </w:r>
      <w:proofErr w:type="spellStart"/>
      <w:r w:rsidR="00EF4A7F">
        <w:rPr>
          <w:rFonts w:ascii="Arial" w:eastAsia="Times New Roman" w:hAnsi="Arial" w:cs="Arial"/>
          <w:i/>
          <w:sz w:val="20"/>
          <w:szCs w:val="20"/>
        </w:rPr>
        <w:t>Yariv</w:t>
      </w:r>
      <w:proofErr w:type="spellEnd"/>
      <w:r w:rsidR="00EF4A7F">
        <w:rPr>
          <w:rFonts w:ascii="Arial" w:eastAsia="Times New Roman" w:hAnsi="Arial" w:cs="Arial"/>
          <w:i/>
          <w:sz w:val="20"/>
          <w:szCs w:val="20"/>
        </w:rPr>
        <w:t>, A. (</w:t>
      </w:r>
      <w:r w:rsidR="00C6280F">
        <w:rPr>
          <w:rFonts w:ascii="Arial" w:eastAsia="Times New Roman" w:hAnsi="Arial" w:cs="Arial"/>
          <w:i/>
          <w:sz w:val="20"/>
          <w:szCs w:val="20"/>
        </w:rPr>
        <w:t>1991</w:t>
      </w:r>
      <w:r w:rsidR="00EF4A7F">
        <w:rPr>
          <w:rFonts w:ascii="Arial" w:eastAsia="Times New Roman" w:hAnsi="Arial" w:cs="Arial"/>
          <w:i/>
          <w:sz w:val="20"/>
          <w:szCs w:val="20"/>
        </w:rPr>
        <w:t>)</w:t>
      </w:r>
    </w:p>
    <w:p w:rsidR="006801A0" w:rsidRPr="006801A0" w:rsidRDefault="006801A0" w:rsidP="006801A0">
      <w:pPr>
        <w:spacing w:after="0" w:line="240" w:lineRule="auto"/>
        <w:ind w:left="357"/>
        <w:rPr>
          <w:rFonts w:ascii="Arial" w:eastAsia="Times New Roman" w:hAnsi="Arial" w:cs="Arial"/>
          <w:i/>
          <w:sz w:val="20"/>
          <w:szCs w:val="20"/>
        </w:rPr>
      </w:pPr>
      <w:r w:rsidRPr="006801A0">
        <w:rPr>
          <w:rFonts w:ascii="Arial" w:eastAsia="Times New Roman" w:hAnsi="Arial" w:cs="Arial"/>
          <w:i/>
          <w:sz w:val="20"/>
          <w:szCs w:val="20"/>
        </w:rPr>
        <w:t>Introduct</w:t>
      </w:r>
      <w:r w:rsidR="00EF4A7F">
        <w:rPr>
          <w:rFonts w:ascii="Arial" w:eastAsia="Times New Roman" w:hAnsi="Arial" w:cs="Arial"/>
          <w:i/>
          <w:sz w:val="20"/>
          <w:szCs w:val="20"/>
        </w:rPr>
        <w:t>ion to the Relativity Principle; Barton, G. (1999)</w:t>
      </w:r>
    </w:p>
    <w:p w:rsidR="00E51404" w:rsidRPr="00C04C95" w:rsidRDefault="00E51404" w:rsidP="005E6D38">
      <w:pPr>
        <w:spacing w:before="60" w:after="60" w:line="240" w:lineRule="auto"/>
        <w:ind w:left="360"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452EF9" w:rsidRDefault="00452EF9" w:rsidP="005E6D38">
      <w:pPr>
        <w:spacing w:before="60" w:after="60" w:line="240" w:lineRule="auto"/>
        <w:ind w:left="426" w:right="-330"/>
        <w:rPr>
          <w:rFonts w:ascii="Arial" w:hAnsi="Arial" w:cs="Arial"/>
          <w:i/>
          <w:sz w:val="20"/>
          <w:szCs w:val="20"/>
        </w:rPr>
      </w:pPr>
      <w:r>
        <w:rPr>
          <w:rFonts w:ascii="Arial" w:hAnsi="Arial" w:cs="Arial"/>
          <w:i/>
          <w:sz w:val="20"/>
          <w:szCs w:val="20"/>
        </w:rPr>
        <w:t xml:space="preserve">Contact hours: </w:t>
      </w:r>
      <w:r w:rsidR="00C6280F" w:rsidRPr="00C6280F">
        <w:rPr>
          <w:rFonts w:ascii="Arial" w:hAnsi="Arial" w:cs="Arial"/>
          <w:i/>
          <w:sz w:val="20"/>
          <w:szCs w:val="20"/>
        </w:rPr>
        <w:t>lectures</w:t>
      </w:r>
      <w:r>
        <w:rPr>
          <w:rFonts w:ascii="Arial" w:hAnsi="Arial" w:cs="Arial"/>
          <w:i/>
          <w:sz w:val="20"/>
          <w:szCs w:val="20"/>
        </w:rPr>
        <w:t xml:space="preserve"> (30 hours)</w:t>
      </w:r>
      <w:r w:rsidR="00C6280F" w:rsidRPr="00C6280F">
        <w:rPr>
          <w:rFonts w:ascii="Arial" w:hAnsi="Arial" w:cs="Arial"/>
          <w:i/>
          <w:sz w:val="20"/>
          <w:szCs w:val="20"/>
        </w:rPr>
        <w:t xml:space="preserve"> including class tests</w:t>
      </w:r>
      <w:r w:rsidR="000B6DD7">
        <w:rPr>
          <w:rFonts w:ascii="Arial" w:hAnsi="Arial" w:cs="Arial"/>
          <w:i/>
          <w:sz w:val="20"/>
          <w:szCs w:val="20"/>
        </w:rPr>
        <w:t>.</w:t>
      </w:r>
    </w:p>
    <w:p w:rsidR="00C6280F" w:rsidRDefault="000B6DD7" w:rsidP="005E6D38">
      <w:pPr>
        <w:spacing w:before="60" w:after="60" w:line="240" w:lineRule="auto"/>
        <w:ind w:left="426" w:right="-330"/>
        <w:rPr>
          <w:rFonts w:ascii="Arial" w:hAnsi="Arial" w:cs="Arial"/>
          <w:i/>
          <w:sz w:val="20"/>
          <w:szCs w:val="20"/>
        </w:rPr>
      </w:pPr>
      <w:r>
        <w:rPr>
          <w:rFonts w:ascii="Arial" w:hAnsi="Arial" w:cs="Arial"/>
          <w:i/>
          <w:sz w:val="20"/>
          <w:szCs w:val="20"/>
        </w:rPr>
        <w:t>In addition, 120 hours of directed reading, problem solving and self-study are required.</w:t>
      </w:r>
    </w:p>
    <w:p w:rsidR="00452EF9" w:rsidRPr="00C6280F" w:rsidRDefault="00452EF9" w:rsidP="005E6D38">
      <w:pPr>
        <w:spacing w:before="60" w:after="60" w:line="240" w:lineRule="auto"/>
        <w:ind w:left="426" w:right="-330"/>
        <w:rPr>
          <w:rFonts w:ascii="Arial" w:hAnsi="Arial" w:cs="Arial"/>
          <w:i/>
          <w:iCs/>
          <w:sz w:val="20"/>
          <w:szCs w:val="20"/>
        </w:rPr>
      </w:pPr>
      <w:r>
        <w:rPr>
          <w:rFonts w:ascii="Arial" w:hAnsi="Arial" w:cs="Arial"/>
          <w:i/>
          <w:sz w:val="20"/>
          <w:szCs w:val="20"/>
        </w:rPr>
        <w:t>Total number of study hours 150 hrs</w:t>
      </w:r>
    </w:p>
    <w:p w:rsidR="00C6280F" w:rsidRPr="00C6280F" w:rsidRDefault="00C6280F" w:rsidP="005E6D38">
      <w:pPr>
        <w:spacing w:before="60" w:after="60" w:line="240" w:lineRule="auto"/>
        <w:ind w:left="426" w:right="-330"/>
        <w:rPr>
          <w:rFonts w:ascii="Arial" w:hAnsi="Arial" w:cs="Arial"/>
          <w:i/>
          <w:iCs/>
          <w:sz w:val="20"/>
          <w:szCs w:val="20"/>
        </w:rPr>
      </w:pPr>
    </w:p>
    <w:p w:rsidR="000B6DD7" w:rsidRPr="00472023" w:rsidRDefault="000B6DD7" w:rsidP="000B6DD7">
      <w:pPr>
        <w:pStyle w:val="ListParagraph"/>
        <w:spacing w:before="60" w:after="60" w:line="240" w:lineRule="auto"/>
        <w:ind w:left="709" w:right="-330"/>
        <w:rPr>
          <w:rFonts w:ascii="Arial" w:hAnsi="Arial" w:cs="Arial"/>
          <w:i/>
          <w:iCs/>
          <w:sz w:val="20"/>
          <w:szCs w:val="20"/>
        </w:rPr>
      </w:pPr>
      <w:r>
        <w:rPr>
          <w:rFonts w:ascii="Arial" w:hAnsi="Arial" w:cs="Arial"/>
          <w:i/>
          <w:iCs/>
          <w:sz w:val="20"/>
          <w:szCs w:val="20"/>
        </w:rPr>
        <w:t xml:space="preserve">The </w:t>
      </w:r>
      <w:r w:rsidR="00452EF9">
        <w:rPr>
          <w:rFonts w:ascii="Arial" w:hAnsi="Arial" w:cs="Arial"/>
          <w:i/>
          <w:iCs/>
          <w:sz w:val="20"/>
          <w:szCs w:val="20"/>
        </w:rPr>
        <w:t>lectures</w:t>
      </w:r>
      <w:r>
        <w:rPr>
          <w:rFonts w:ascii="Arial" w:hAnsi="Arial" w:cs="Arial"/>
          <w:i/>
          <w:iCs/>
          <w:sz w:val="20"/>
          <w:szCs w:val="20"/>
        </w:rPr>
        <w:t xml:space="preserve"> address learning outcomes 11.1-11.</w:t>
      </w:r>
      <w:r w:rsidR="00021062">
        <w:rPr>
          <w:rFonts w:ascii="Arial" w:hAnsi="Arial" w:cs="Arial"/>
          <w:i/>
          <w:iCs/>
          <w:sz w:val="20"/>
          <w:szCs w:val="20"/>
        </w:rPr>
        <w:t xml:space="preserve">5 </w:t>
      </w:r>
      <w:r>
        <w:rPr>
          <w:rFonts w:ascii="Arial" w:hAnsi="Arial" w:cs="Arial"/>
          <w:i/>
          <w:iCs/>
          <w:sz w:val="20"/>
          <w:szCs w:val="20"/>
        </w:rPr>
        <w:t>and 12.1-12.2. Directed reading addresses 11.1,</w:t>
      </w:r>
      <w:r w:rsidR="00021062">
        <w:rPr>
          <w:rFonts w:ascii="Arial" w:hAnsi="Arial" w:cs="Arial"/>
          <w:i/>
          <w:iCs/>
          <w:sz w:val="20"/>
          <w:szCs w:val="20"/>
        </w:rPr>
        <w:t xml:space="preserve"> 11.</w:t>
      </w:r>
      <w:r>
        <w:rPr>
          <w:rFonts w:ascii="Arial" w:hAnsi="Arial" w:cs="Arial"/>
          <w:i/>
          <w:iCs/>
          <w:sz w:val="20"/>
          <w:szCs w:val="20"/>
        </w:rPr>
        <w:t xml:space="preserve">2 and </w:t>
      </w:r>
      <w:r w:rsidR="00021062">
        <w:rPr>
          <w:rFonts w:ascii="Arial" w:hAnsi="Arial" w:cs="Arial"/>
          <w:i/>
          <w:iCs/>
          <w:sz w:val="20"/>
          <w:szCs w:val="20"/>
        </w:rPr>
        <w:t>11.</w:t>
      </w:r>
      <w:r>
        <w:rPr>
          <w:rFonts w:ascii="Arial" w:hAnsi="Arial" w:cs="Arial"/>
          <w:i/>
          <w:iCs/>
          <w:sz w:val="20"/>
          <w:szCs w:val="20"/>
        </w:rPr>
        <w:t>6</w:t>
      </w:r>
      <w:r w:rsidR="007A5F17">
        <w:rPr>
          <w:rFonts w:ascii="Arial" w:hAnsi="Arial" w:cs="Arial"/>
          <w:i/>
          <w:iCs/>
          <w:sz w:val="20"/>
          <w:szCs w:val="20"/>
        </w:rPr>
        <w:t xml:space="preserve"> and 12.1-</w:t>
      </w:r>
      <w:r w:rsidR="00021062">
        <w:rPr>
          <w:rFonts w:ascii="Arial" w:hAnsi="Arial" w:cs="Arial"/>
          <w:i/>
          <w:iCs/>
          <w:sz w:val="20"/>
          <w:szCs w:val="20"/>
        </w:rPr>
        <w:t>12.</w:t>
      </w:r>
      <w:r w:rsidR="007A5F17">
        <w:rPr>
          <w:rFonts w:ascii="Arial" w:hAnsi="Arial" w:cs="Arial"/>
          <w:i/>
          <w:iCs/>
          <w:sz w:val="20"/>
          <w:szCs w:val="20"/>
        </w:rPr>
        <w:t>2</w:t>
      </w:r>
      <w:r>
        <w:rPr>
          <w:rFonts w:ascii="Arial" w:hAnsi="Arial" w:cs="Arial"/>
          <w:i/>
          <w:iCs/>
          <w:sz w:val="20"/>
          <w:szCs w:val="20"/>
        </w:rPr>
        <w:t>. Directed problem solving addresses</w:t>
      </w:r>
      <w:r w:rsidR="007A5F17">
        <w:rPr>
          <w:rFonts w:ascii="Arial" w:hAnsi="Arial" w:cs="Arial"/>
          <w:i/>
          <w:iCs/>
          <w:sz w:val="20"/>
          <w:szCs w:val="20"/>
        </w:rPr>
        <w:t xml:space="preserve"> </w:t>
      </w:r>
      <w:r>
        <w:rPr>
          <w:rFonts w:ascii="Arial" w:hAnsi="Arial" w:cs="Arial"/>
          <w:i/>
          <w:iCs/>
          <w:sz w:val="20"/>
          <w:szCs w:val="20"/>
        </w:rPr>
        <w:t>11.3,</w:t>
      </w:r>
      <w:r w:rsidR="00021062">
        <w:rPr>
          <w:rFonts w:ascii="Arial" w:hAnsi="Arial" w:cs="Arial"/>
          <w:i/>
          <w:iCs/>
          <w:sz w:val="20"/>
          <w:szCs w:val="20"/>
        </w:rPr>
        <w:t xml:space="preserve"> 11.</w:t>
      </w:r>
      <w:r>
        <w:rPr>
          <w:rFonts w:ascii="Arial" w:hAnsi="Arial" w:cs="Arial"/>
          <w:i/>
          <w:iCs/>
          <w:sz w:val="20"/>
          <w:szCs w:val="20"/>
        </w:rPr>
        <w:t xml:space="preserve">4 and </w:t>
      </w:r>
      <w:r w:rsidR="00021062">
        <w:rPr>
          <w:rFonts w:ascii="Arial" w:hAnsi="Arial" w:cs="Arial"/>
          <w:i/>
          <w:iCs/>
          <w:sz w:val="20"/>
          <w:szCs w:val="20"/>
        </w:rPr>
        <w:t>11.</w:t>
      </w:r>
      <w:r>
        <w:rPr>
          <w:rFonts w:ascii="Arial" w:hAnsi="Arial" w:cs="Arial"/>
          <w:i/>
          <w:iCs/>
          <w:sz w:val="20"/>
          <w:szCs w:val="20"/>
        </w:rPr>
        <w:t>5</w:t>
      </w:r>
    </w:p>
    <w:p w:rsidR="00472023" w:rsidRPr="00C04C95" w:rsidRDefault="00472023" w:rsidP="005E6D38">
      <w:pPr>
        <w:spacing w:before="60" w:after="60" w:line="240" w:lineRule="auto"/>
        <w:ind w:left="426"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BD416E" w:rsidRPr="00C04C95" w:rsidRDefault="00BD416E" w:rsidP="00BD416E">
      <w:pPr>
        <w:spacing w:before="60" w:after="60" w:line="240" w:lineRule="auto"/>
        <w:ind w:left="426" w:right="-330"/>
        <w:jc w:val="both"/>
        <w:rPr>
          <w:rFonts w:ascii="Arial" w:hAnsi="Arial" w:cs="Arial"/>
          <w:sz w:val="20"/>
          <w:szCs w:val="20"/>
        </w:rPr>
      </w:pPr>
    </w:p>
    <w:p w:rsidR="003D16CC" w:rsidRDefault="003D16CC" w:rsidP="005E6D38">
      <w:pPr>
        <w:keepNext/>
        <w:keepLines/>
        <w:spacing w:before="60" w:after="60" w:line="240" w:lineRule="auto"/>
        <w:ind w:left="426" w:right="-330"/>
        <w:rPr>
          <w:rFonts w:ascii="Arial" w:hAnsi="Arial" w:cs="Arial"/>
          <w:i/>
          <w:sz w:val="20"/>
          <w:szCs w:val="20"/>
        </w:rPr>
      </w:pPr>
      <w:r>
        <w:rPr>
          <w:rFonts w:ascii="Arial" w:hAnsi="Arial" w:cs="Arial"/>
          <w:i/>
          <w:sz w:val="20"/>
          <w:szCs w:val="20"/>
        </w:rPr>
        <w:lastRenderedPageBreak/>
        <w:t xml:space="preserve">Coursework 30% including class tests </w:t>
      </w:r>
    </w:p>
    <w:p w:rsidR="00472023" w:rsidRDefault="003D16CC" w:rsidP="005E6D38">
      <w:pPr>
        <w:keepNext/>
        <w:keepLines/>
        <w:spacing w:before="60" w:after="60" w:line="240" w:lineRule="auto"/>
        <w:ind w:left="426" w:right="-330"/>
        <w:rPr>
          <w:rFonts w:ascii="Arial" w:hAnsi="Arial" w:cs="Arial"/>
          <w:i/>
          <w:sz w:val="20"/>
          <w:szCs w:val="20"/>
        </w:rPr>
      </w:pPr>
      <w:r>
        <w:rPr>
          <w:rFonts w:ascii="Arial" w:hAnsi="Arial" w:cs="Arial"/>
          <w:i/>
          <w:sz w:val="20"/>
          <w:szCs w:val="20"/>
        </w:rPr>
        <w:t>Final (written, unseen, length 2 hours) e</w:t>
      </w:r>
      <w:r w:rsidRPr="00C6280F">
        <w:rPr>
          <w:rFonts w:ascii="Arial" w:hAnsi="Arial" w:cs="Arial"/>
          <w:i/>
          <w:sz w:val="20"/>
          <w:szCs w:val="20"/>
        </w:rPr>
        <w:t xml:space="preserve">xam </w:t>
      </w:r>
      <w:r w:rsidR="00C6280F" w:rsidRPr="00C6280F">
        <w:rPr>
          <w:rFonts w:ascii="Arial" w:hAnsi="Arial" w:cs="Arial"/>
          <w:i/>
          <w:sz w:val="20"/>
          <w:szCs w:val="20"/>
        </w:rPr>
        <w:t>70%</w:t>
      </w:r>
    </w:p>
    <w:p w:rsidR="00B40C0E" w:rsidRDefault="00B40C0E" w:rsidP="005E6D38">
      <w:pPr>
        <w:keepNext/>
        <w:keepLines/>
        <w:spacing w:before="60" w:after="60" w:line="240" w:lineRule="auto"/>
        <w:ind w:left="426" w:right="-330"/>
        <w:rPr>
          <w:rFonts w:ascii="Arial" w:hAnsi="Arial" w:cs="Arial"/>
          <w:i/>
          <w:sz w:val="20"/>
          <w:szCs w:val="20"/>
        </w:rPr>
      </w:pPr>
    </w:p>
    <w:p w:rsidR="00B40C0E" w:rsidRDefault="00B40C0E" w:rsidP="005E6D38">
      <w:pPr>
        <w:keepNext/>
        <w:keepLines/>
        <w:spacing w:before="60" w:after="60" w:line="240" w:lineRule="auto"/>
        <w:ind w:left="426" w:right="-330"/>
        <w:rPr>
          <w:rFonts w:ascii="Arial" w:hAnsi="Arial" w:cs="Arial"/>
          <w:i/>
          <w:sz w:val="20"/>
          <w:szCs w:val="20"/>
        </w:rPr>
      </w:pPr>
      <w:r>
        <w:rPr>
          <w:rFonts w:ascii="Arial" w:hAnsi="Arial" w:cs="Arial"/>
          <w:i/>
          <w:iCs/>
          <w:sz w:val="20"/>
          <w:szCs w:val="20"/>
        </w:rPr>
        <w:t xml:space="preserve">The class tests and examinations test students’ knowledge and understanding of laws and principles (11.1, 11.2, </w:t>
      </w:r>
      <w:proofErr w:type="gramStart"/>
      <w:r>
        <w:rPr>
          <w:rFonts w:ascii="Arial" w:hAnsi="Arial" w:cs="Arial"/>
          <w:i/>
          <w:iCs/>
          <w:sz w:val="20"/>
          <w:szCs w:val="20"/>
        </w:rPr>
        <w:t>12.2</w:t>
      </w:r>
      <w:proofErr w:type="gramEnd"/>
      <w:r>
        <w:rPr>
          <w:rFonts w:ascii="Arial" w:hAnsi="Arial" w:cs="Arial"/>
          <w:i/>
          <w:iCs/>
          <w:sz w:val="20"/>
          <w:szCs w:val="20"/>
        </w:rPr>
        <w:t>) and application of techniques to model behaviour and solve problems (11.3-11.5, 12.1). In preparing for the assessments, students will need to manage their own revision using reference materials (11.6, 12.2)</w:t>
      </w:r>
    </w:p>
    <w:p w:rsidR="00C6280F" w:rsidRPr="00C6280F" w:rsidRDefault="00C6280F" w:rsidP="005E6D38">
      <w:pPr>
        <w:keepNext/>
        <w:keepLines/>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567EC9" w:rsidRDefault="00C6280F" w:rsidP="005E6D38">
      <w:pPr>
        <w:spacing w:before="60" w:after="60" w:line="240" w:lineRule="auto"/>
        <w:ind w:right="-330" w:firstLine="360"/>
        <w:rPr>
          <w:rFonts w:ascii="Arial" w:hAnsi="Arial" w:cs="Arial"/>
          <w:i/>
          <w:iCs/>
          <w:sz w:val="20"/>
          <w:szCs w:val="20"/>
        </w:rPr>
      </w:pPr>
      <w:proofErr w:type="gramStart"/>
      <w:r>
        <w:rPr>
          <w:rFonts w:ascii="Arial" w:hAnsi="Arial" w:cs="Arial"/>
          <w:i/>
          <w:iCs/>
          <w:sz w:val="20"/>
          <w:szCs w:val="20"/>
        </w:rPr>
        <w:t>None.</w:t>
      </w:r>
      <w:proofErr w:type="gramEnd"/>
      <w:r>
        <w:rPr>
          <w:rFonts w:ascii="Arial" w:hAnsi="Arial" w:cs="Arial"/>
          <w:i/>
          <w:iCs/>
          <w:sz w:val="20"/>
          <w:szCs w:val="20"/>
        </w:rPr>
        <w:t xml:space="preserve"> </w:t>
      </w:r>
      <w:r w:rsidR="00F21865">
        <w:rPr>
          <w:rFonts w:ascii="Arial" w:hAnsi="Arial" w:cs="Arial"/>
          <w:i/>
          <w:iCs/>
          <w:sz w:val="20"/>
          <w:szCs w:val="20"/>
        </w:rPr>
        <w:t xml:space="preserve"> </w:t>
      </w:r>
    </w:p>
    <w:p w:rsidR="00472023" w:rsidRPr="00C04C95" w:rsidRDefault="00472023" w:rsidP="005E6D38">
      <w:pPr>
        <w:spacing w:before="60" w:after="60" w:line="240" w:lineRule="auto"/>
        <w:ind w:right="-330" w:firstLine="36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 where module will be delivered:</w:t>
      </w:r>
    </w:p>
    <w:p w:rsidR="00472023" w:rsidRDefault="00C6280F" w:rsidP="005E6D38">
      <w:pPr>
        <w:spacing w:before="60" w:after="60" w:line="240" w:lineRule="auto"/>
        <w:ind w:left="426" w:right="-330"/>
        <w:rPr>
          <w:rFonts w:ascii="Arial" w:hAnsi="Arial" w:cs="Arial"/>
          <w:i/>
          <w:iCs/>
          <w:sz w:val="20"/>
          <w:szCs w:val="20"/>
        </w:rPr>
      </w:pPr>
      <w:r>
        <w:rPr>
          <w:rFonts w:ascii="Arial" w:hAnsi="Arial" w:cs="Arial"/>
          <w:i/>
          <w:iCs/>
          <w:sz w:val="20"/>
          <w:szCs w:val="20"/>
        </w:rPr>
        <w:t>Canterbury</w:t>
      </w:r>
    </w:p>
    <w:p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B4" w:rsidRDefault="00932EB4" w:rsidP="00567EC9">
      <w:pPr>
        <w:spacing w:after="0" w:line="240" w:lineRule="auto"/>
      </w:pPr>
      <w:r>
        <w:separator/>
      </w:r>
    </w:p>
  </w:endnote>
  <w:endnote w:type="continuationSeparator" w:id="0">
    <w:p w:rsidR="00932EB4" w:rsidRDefault="00932EB4"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A177A8">
        <w:pPr>
          <w:pStyle w:val="Footer"/>
          <w:jc w:val="center"/>
        </w:pPr>
        <w:r>
          <w:fldChar w:fldCharType="begin"/>
        </w:r>
        <w:r w:rsidR="006A7FB0">
          <w:instrText xml:space="preserve"> PAGE   \* MERGEFORMAT </w:instrText>
        </w:r>
        <w:r>
          <w:fldChar w:fldCharType="separate"/>
        </w:r>
        <w:r w:rsidR="00B66291">
          <w:rPr>
            <w:noProof/>
          </w:rPr>
          <w:t>1</w:t>
        </w:r>
        <w:r>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B4" w:rsidRDefault="00932EB4" w:rsidP="00567EC9">
      <w:pPr>
        <w:spacing w:after="0" w:line="240" w:lineRule="auto"/>
      </w:pPr>
      <w:r>
        <w:separator/>
      </w:r>
    </w:p>
  </w:footnote>
  <w:footnote w:type="continuationSeparator" w:id="0">
    <w:p w:rsidR="00932EB4" w:rsidRDefault="00932EB4"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multilevel"/>
    <w:tmpl w:val="38326124"/>
    <w:lvl w:ilvl="0">
      <w:start w:val="1"/>
      <w:numFmt w:val="decimal"/>
      <w:lvlText w:val="%1."/>
      <w:lvlJc w:val="left"/>
      <w:pPr>
        <w:ind w:left="360" w:hanging="360"/>
      </w:pPr>
      <w:rPr>
        <w:b w:val="0"/>
      </w:rPr>
    </w:lvl>
    <w:lvl w:ilvl="1">
      <w:start w:val="1"/>
      <w:numFmt w:val="decimal"/>
      <w:isLgl/>
      <w:lvlText w:val="%1.%2"/>
      <w:lvlJc w:val="left"/>
      <w:pPr>
        <w:ind w:left="861" w:hanging="435"/>
      </w:pPr>
      <w:rPr>
        <w:rFonts w:ascii="Arial" w:hAnsi="Arial" w:hint="default"/>
        <w:color w:val="auto"/>
        <w:sz w:val="20"/>
      </w:rPr>
    </w:lvl>
    <w:lvl w:ilvl="2">
      <w:start w:val="1"/>
      <w:numFmt w:val="decimal"/>
      <w:isLgl/>
      <w:lvlText w:val="%1.%2.%3"/>
      <w:lvlJc w:val="left"/>
      <w:pPr>
        <w:ind w:left="1572" w:hanging="720"/>
      </w:pPr>
      <w:rPr>
        <w:rFonts w:ascii="Arial" w:hAnsi="Arial" w:hint="default"/>
        <w:color w:val="auto"/>
        <w:sz w:val="20"/>
      </w:rPr>
    </w:lvl>
    <w:lvl w:ilvl="3">
      <w:start w:val="1"/>
      <w:numFmt w:val="decimal"/>
      <w:isLgl/>
      <w:lvlText w:val="%1.%2.%3.%4"/>
      <w:lvlJc w:val="left"/>
      <w:pPr>
        <w:ind w:left="1998" w:hanging="720"/>
      </w:pPr>
      <w:rPr>
        <w:rFonts w:ascii="Arial" w:hAnsi="Arial" w:hint="default"/>
        <w:color w:val="auto"/>
        <w:sz w:val="20"/>
      </w:rPr>
    </w:lvl>
    <w:lvl w:ilvl="4">
      <w:start w:val="1"/>
      <w:numFmt w:val="decimal"/>
      <w:isLgl/>
      <w:lvlText w:val="%1.%2.%3.%4.%5"/>
      <w:lvlJc w:val="left"/>
      <w:pPr>
        <w:ind w:left="2784" w:hanging="1080"/>
      </w:pPr>
      <w:rPr>
        <w:rFonts w:ascii="Arial" w:hAnsi="Arial" w:hint="default"/>
        <w:color w:val="auto"/>
        <w:sz w:val="20"/>
      </w:rPr>
    </w:lvl>
    <w:lvl w:ilvl="5">
      <w:start w:val="1"/>
      <w:numFmt w:val="decimal"/>
      <w:isLgl/>
      <w:lvlText w:val="%1.%2.%3.%4.%5.%6"/>
      <w:lvlJc w:val="left"/>
      <w:pPr>
        <w:ind w:left="3210" w:hanging="1080"/>
      </w:pPr>
      <w:rPr>
        <w:rFonts w:ascii="Arial" w:hAnsi="Arial" w:hint="default"/>
        <w:color w:val="auto"/>
        <w:sz w:val="20"/>
      </w:rPr>
    </w:lvl>
    <w:lvl w:ilvl="6">
      <w:start w:val="1"/>
      <w:numFmt w:val="decimal"/>
      <w:isLgl/>
      <w:lvlText w:val="%1.%2.%3.%4.%5.%6.%7"/>
      <w:lvlJc w:val="left"/>
      <w:pPr>
        <w:ind w:left="3996" w:hanging="1440"/>
      </w:pPr>
      <w:rPr>
        <w:rFonts w:ascii="Arial" w:hAnsi="Arial" w:hint="default"/>
        <w:color w:val="auto"/>
        <w:sz w:val="20"/>
      </w:rPr>
    </w:lvl>
    <w:lvl w:ilvl="7">
      <w:start w:val="1"/>
      <w:numFmt w:val="decimal"/>
      <w:isLgl/>
      <w:lvlText w:val="%1.%2.%3.%4.%5.%6.%7.%8"/>
      <w:lvlJc w:val="left"/>
      <w:pPr>
        <w:ind w:left="4422" w:hanging="1440"/>
      </w:pPr>
      <w:rPr>
        <w:rFonts w:ascii="Arial" w:hAnsi="Arial" w:hint="default"/>
        <w:color w:val="auto"/>
        <w:sz w:val="20"/>
      </w:rPr>
    </w:lvl>
    <w:lvl w:ilvl="8">
      <w:start w:val="1"/>
      <w:numFmt w:val="decimal"/>
      <w:isLgl/>
      <w:lvlText w:val="%1.%2.%3.%4.%5.%6.%7.%8.%9"/>
      <w:lvlJc w:val="left"/>
      <w:pPr>
        <w:ind w:left="5208" w:hanging="1800"/>
      </w:pPr>
      <w:rPr>
        <w:rFonts w:ascii="Arial" w:hAnsi="Arial" w:hint="default"/>
        <w:color w:val="auto"/>
        <w:sz w:val="20"/>
      </w:r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2485977"/>
    <w:multiLevelType w:val="multilevel"/>
    <w:tmpl w:val="F568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21062"/>
    <w:rsid w:val="000214EB"/>
    <w:rsid w:val="00030C9E"/>
    <w:rsid w:val="000678D3"/>
    <w:rsid w:val="000B6DD7"/>
    <w:rsid w:val="000D2A8A"/>
    <w:rsid w:val="000E3B73"/>
    <w:rsid w:val="000F6C56"/>
    <w:rsid w:val="00111906"/>
    <w:rsid w:val="00117577"/>
    <w:rsid w:val="00117793"/>
    <w:rsid w:val="001214D3"/>
    <w:rsid w:val="001540CE"/>
    <w:rsid w:val="0015717B"/>
    <w:rsid w:val="00163A56"/>
    <w:rsid w:val="00164D96"/>
    <w:rsid w:val="00172793"/>
    <w:rsid w:val="00196C6A"/>
    <w:rsid w:val="00197BFA"/>
    <w:rsid w:val="001D1F2D"/>
    <w:rsid w:val="001E1F45"/>
    <w:rsid w:val="001F7B4D"/>
    <w:rsid w:val="0022354F"/>
    <w:rsid w:val="002465A1"/>
    <w:rsid w:val="00294B73"/>
    <w:rsid w:val="002B436B"/>
    <w:rsid w:val="002E3D0A"/>
    <w:rsid w:val="002F0CE4"/>
    <w:rsid w:val="002F2626"/>
    <w:rsid w:val="003262B9"/>
    <w:rsid w:val="003759B0"/>
    <w:rsid w:val="003D16CC"/>
    <w:rsid w:val="003D7AA0"/>
    <w:rsid w:val="003F67CD"/>
    <w:rsid w:val="00452EF9"/>
    <w:rsid w:val="00472023"/>
    <w:rsid w:val="00486993"/>
    <w:rsid w:val="00492DA4"/>
    <w:rsid w:val="004A39D7"/>
    <w:rsid w:val="004A55FA"/>
    <w:rsid w:val="004D035C"/>
    <w:rsid w:val="005005E4"/>
    <w:rsid w:val="00521097"/>
    <w:rsid w:val="00533663"/>
    <w:rsid w:val="005526FB"/>
    <w:rsid w:val="0055280A"/>
    <w:rsid w:val="00567EC9"/>
    <w:rsid w:val="00571630"/>
    <w:rsid w:val="005759F4"/>
    <w:rsid w:val="005C1A4F"/>
    <w:rsid w:val="005E6D38"/>
    <w:rsid w:val="005F4D8F"/>
    <w:rsid w:val="006253AA"/>
    <w:rsid w:val="00633150"/>
    <w:rsid w:val="00674ED0"/>
    <w:rsid w:val="006801A0"/>
    <w:rsid w:val="006A7FB0"/>
    <w:rsid w:val="006C46EF"/>
    <w:rsid w:val="006D444F"/>
    <w:rsid w:val="00700488"/>
    <w:rsid w:val="00703F92"/>
    <w:rsid w:val="00704637"/>
    <w:rsid w:val="00794B72"/>
    <w:rsid w:val="007972A7"/>
    <w:rsid w:val="007A5F17"/>
    <w:rsid w:val="007A63CB"/>
    <w:rsid w:val="007B11DD"/>
    <w:rsid w:val="007C74B4"/>
    <w:rsid w:val="007E3412"/>
    <w:rsid w:val="008029AF"/>
    <w:rsid w:val="008102E5"/>
    <w:rsid w:val="008133F0"/>
    <w:rsid w:val="00815880"/>
    <w:rsid w:val="008717D3"/>
    <w:rsid w:val="00873E9F"/>
    <w:rsid w:val="00903DF6"/>
    <w:rsid w:val="00921CF6"/>
    <w:rsid w:val="00932C8E"/>
    <w:rsid w:val="00932EB4"/>
    <w:rsid w:val="00987DB4"/>
    <w:rsid w:val="00996730"/>
    <w:rsid w:val="009D068C"/>
    <w:rsid w:val="00A021FE"/>
    <w:rsid w:val="00A1270E"/>
    <w:rsid w:val="00A177A8"/>
    <w:rsid w:val="00A52DB4"/>
    <w:rsid w:val="00A56B58"/>
    <w:rsid w:val="00A629B9"/>
    <w:rsid w:val="00A74292"/>
    <w:rsid w:val="00AA3C15"/>
    <w:rsid w:val="00AE53FB"/>
    <w:rsid w:val="00B17CD2"/>
    <w:rsid w:val="00B248BA"/>
    <w:rsid w:val="00B37F1A"/>
    <w:rsid w:val="00B40C0E"/>
    <w:rsid w:val="00B57219"/>
    <w:rsid w:val="00B618A0"/>
    <w:rsid w:val="00B66291"/>
    <w:rsid w:val="00BC19F7"/>
    <w:rsid w:val="00BD0EF8"/>
    <w:rsid w:val="00BD416E"/>
    <w:rsid w:val="00BE2126"/>
    <w:rsid w:val="00BE3B17"/>
    <w:rsid w:val="00C04C95"/>
    <w:rsid w:val="00C12613"/>
    <w:rsid w:val="00C3744A"/>
    <w:rsid w:val="00C5278D"/>
    <w:rsid w:val="00C6280F"/>
    <w:rsid w:val="00C83354"/>
    <w:rsid w:val="00CB11CE"/>
    <w:rsid w:val="00D10DDA"/>
    <w:rsid w:val="00D20B02"/>
    <w:rsid w:val="00D211AF"/>
    <w:rsid w:val="00D2689A"/>
    <w:rsid w:val="00DA64B6"/>
    <w:rsid w:val="00DD02E6"/>
    <w:rsid w:val="00E22F03"/>
    <w:rsid w:val="00E51404"/>
    <w:rsid w:val="00E574C9"/>
    <w:rsid w:val="00E610DE"/>
    <w:rsid w:val="00EF4A7F"/>
    <w:rsid w:val="00F01956"/>
    <w:rsid w:val="00F21865"/>
    <w:rsid w:val="00F21C47"/>
    <w:rsid w:val="00F340DE"/>
    <w:rsid w:val="00F77676"/>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6801A0"/>
    <w:rPr>
      <w:sz w:val="16"/>
      <w:szCs w:val="16"/>
    </w:rPr>
  </w:style>
  <w:style w:type="paragraph" w:styleId="CommentText">
    <w:name w:val="annotation text"/>
    <w:basedOn w:val="Normal"/>
    <w:link w:val="CommentTextChar"/>
    <w:uiPriority w:val="99"/>
    <w:semiHidden/>
    <w:unhideWhenUsed/>
    <w:rsid w:val="006801A0"/>
    <w:pPr>
      <w:spacing w:line="240" w:lineRule="auto"/>
    </w:pPr>
    <w:rPr>
      <w:sz w:val="20"/>
      <w:szCs w:val="20"/>
    </w:rPr>
  </w:style>
  <w:style w:type="character" w:customStyle="1" w:styleId="CommentTextChar">
    <w:name w:val="Comment Text Char"/>
    <w:basedOn w:val="DefaultParagraphFont"/>
    <w:link w:val="CommentText"/>
    <w:uiPriority w:val="99"/>
    <w:semiHidden/>
    <w:rsid w:val="006801A0"/>
    <w:rPr>
      <w:sz w:val="20"/>
      <w:szCs w:val="20"/>
    </w:rPr>
  </w:style>
  <w:style w:type="paragraph" w:styleId="CommentSubject">
    <w:name w:val="annotation subject"/>
    <w:basedOn w:val="CommentText"/>
    <w:next w:val="CommentText"/>
    <w:link w:val="CommentSubjectChar"/>
    <w:uiPriority w:val="99"/>
    <w:semiHidden/>
    <w:unhideWhenUsed/>
    <w:rsid w:val="006801A0"/>
    <w:rPr>
      <w:b/>
      <w:bCs/>
    </w:rPr>
  </w:style>
  <w:style w:type="character" w:customStyle="1" w:styleId="CommentSubjectChar">
    <w:name w:val="Comment Subject Char"/>
    <w:basedOn w:val="CommentTextChar"/>
    <w:link w:val="CommentSubject"/>
    <w:uiPriority w:val="99"/>
    <w:semiHidden/>
    <w:rsid w:val="006801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6801A0"/>
    <w:rPr>
      <w:sz w:val="16"/>
      <w:szCs w:val="16"/>
    </w:rPr>
  </w:style>
  <w:style w:type="paragraph" w:styleId="CommentText">
    <w:name w:val="annotation text"/>
    <w:basedOn w:val="Normal"/>
    <w:link w:val="CommentTextChar"/>
    <w:uiPriority w:val="99"/>
    <w:semiHidden/>
    <w:unhideWhenUsed/>
    <w:rsid w:val="006801A0"/>
    <w:pPr>
      <w:spacing w:line="240" w:lineRule="auto"/>
    </w:pPr>
    <w:rPr>
      <w:sz w:val="20"/>
      <w:szCs w:val="20"/>
    </w:rPr>
  </w:style>
  <w:style w:type="character" w:customStyle="1" w:styleId="CommentTextChar">
    <w:name w:val="Comment Text Char"/>
    <w:basedOn w:val="DefaultParagraphFont"/>
    <w:link w:val="CommentText"/>
    <w:uiPriority w:val="99"/>
    <w:semiHidden/>
    <w:rsid w:val="006801A0"/>
    <w:rPr>
      <w:sz w:val="20"/>
      <w:szCs w:val="20"/>
    </w:rPr>
  </w:style>
  <w:style w:type="paragraph" w:styleId="CommentSubject">
    <w:name w:val="annotation subject"/>
    <w:basedOn w:val="CommentText"/>
    <w:next w:val="CommentText"/>
    <w:link w:val="CommentSubjectChar"/>
    <w:uiPriority w:val="99"/>
    <w:semiHidden/>
    <w:unhideWhenUsed/>
    <w:rsid w:val="006801A0"/>
    <w:rPr>
      <w:b/>
      <w:bCs/>
    </w:rPr>
  </w:style>
  <w:style w:type="character" w:customStyle="1" w:styleId="CommentSubjectChar">
    <w:name w:val="Comment Subject Char"/>
    <w:basedOn w:val="CommentTextChar"/>
    <w:link w:val="CommentSubject"/>
    <w:uiPriority w:val="99"/>
    <w:semiHidden/>
    <w:rsid w:val="006801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3908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67533">
      <w:bodyDiv w:val="1"/>
      <w:marLeft w:val="0"/>
      <w:marRight w:val="0"/>
      <w:marTop w:val="0"/>
      <w:marBottom w:val="0"/>
      <w:divBdr>
        <w:top w:val="none" w:sz="0" w:space="0" w:color="auto"/>
        <w:left w:val="none" w:sz="0" w:space="0" w:color="auto"/>
        <w:bottom w:val="none" w:sz="0" w:space="0" w:color="auto"/>
        <w:right w:val="none" w:sz="0" w:space="0" w:color="auto"/>
      </w:divBdr>
    </w:div>
    <w:div w:id="1439445169">
      <w:bodyDiv w:val="1"/>
      <w:marLeft w:val="0"/>
      <w:marRight w:val="0"/>
      <w:marTop w:val="0"/>
      <w:marBottom w:val="0"/>
      <w:divBdr>
        <w:top w:val="none" w:sz="0" w:space="0" w:color="auto"/>
        <w:left w:val="none" w:sz="0" w:space="0" w:color="auto"/>
        <w:bottom w:val="none" w:sz="0" w:space="0" w:color="auto"/>
        <w:right w:val="none" w:sz="0" w:space="0" w:color="auto"/>
      </w:divBdr>
      <w:divsChild>
        <w:div w:id="1373534772">
          <w:marLeft w:val="0"/>
          <w:marRight w:val="0"/>
          <w:marTop w:val="0"/>
          <w:marBottom w:val="0"/>
          <w:divBdr>
            <w:top w:val="none" w:sz="0" w:space="0" w:color="auto"/>
            <w:left w:val="none" w:sz="0" w:space="0" w:color="auto"/>
            <w:bottom w:val="none" w:sz="0" w:space="0" w:color="auto"/>
            <w:right w:val="none" w:sz="0" w:space="0" w:color="auto"/>
          </w:divBdr>
          <w:divsChild>
            <w:div w:id="663358730">
              <w:marLeft w:val="0"/>
              <w:marRight w:val="0"/>
              <w:marTop w:val="0"/>
              <w:marBottom w:val="0"/>
              <w:divBdr>
                <w:top w:val="none" w:sz="0" w:space="0" w:color="auto"/>
                <w:left w:val="none" w:sz="0" w:space="0" w:color="auto"/>
                <w:bottom w:val="none" w:sz="0" w:space="0" w:color="auto"/>
                <w:right w:val="none" w:sz="0" w:space="0" w:color="auto"/>
              </w:divBdr>
              <w:divsChild>
                <w:div w:id="789713215">
                  <w:marLeft w:val="0"/>
                  <w:marRight w:val="0"/>
                  <w:marTop w:val="0"/>
                  <w:marBottom w:val="0"/>
                  <w:divBdr>
                    <w:top w:val="none" w:sz="0" w:space="0" w:color="auto"/>
                    <w:left w:val="none" w:sz="0" w:space="0" w:color="auto"/>
                    <w:bottom w:val="none" w:sz="0" w:space="0" w:color="auto"/>
                    <w:right w:val="none" w:sz="0" w:space="0" w:color="auto"/>
                  </w:divBdr>
                  <w:divsChild>
                    <w:div w:id="866061567">
                      <w:marLeft w:val="0"/>
                      <w:marRight w:val="0"/>
                      <w:marTop w:val="0"/>
                      <w:marBottom w:val="0"/>
                      <w:divBdr>
                        <w:top w:val="none" w:sz="0" w:space="0" w:color="auto"/>
                        <w:left w:val="none" w:sz="0" w:space="0" w:color="auto"/>
                        <w:bottom w:val="none" w:sz="0" w:space="0" w:color="auto"/>
                        <w:right w:val="none" w:sz="0" w:space="0" w:color="auto"/>
                      </w:divBdr>
                      <w:divsChild>
                        <w:div w:id="1715301538">
                          <w:marLeft w:val="0"/>
                          <w:marRight w:val="0"/>
                          <w:marTop w:val="0"/>
                          <w:marBottom w:val="0"/>
                          <w:divBdr>
                            <w:top w:val="none" w:sz="0" w:space="0" w:color="auto"/>
                            <w:left w:val="none" w:sz="0" w:space="0" w:color="auto"/>
                            <w:bottom w:val="none" w:sz="0" w:space="0" w:color="auto"/>
                            <w:right w:val="none" w:sz="0" w:space="0" w:color="auto"/>
                          </w:divBdr>
                          <w:divsChild>
                            <w:div w:id="1033963663">
                              <w:marLeft w:val="0"/>
                              <w:marRight w:val="0"/>
                              <w:marTop w:val="0"/>
                              <w:marBottom w:val="0"/>
                              <w:divBdr>
                                <w:top w:val="none" w:sz="0" w:space="0" w:color="auto"/>
                                <w:left w:val="none" w:sz="0" w:space="0" w:color="auto"/>
                                <w:bottom w:val="none" w:sz="0" w:space="0" w:color="auto"/>
                                <w:right w:val="none" w:sz="0" w:space="0" w:color="auto"/>
                              </w:divBdr>
                              <w:divsChild>
                                <w:div w:id="1178933691">
                                  <w:marLeft w:val="0"/>
                                  <w:marRight w:val="0"/>
                                  <w:marTop w:val="0"/>
                                  <w:marBottom w:val="0"/>
                                  <w:divBdr>
                                    <w:top w:val="none" w:sz="0" w:space="0" w:color="auto"/>
                                    <w:left w:val="none" w:sz="0" w:space="0" w:color="auto"/>
                                    <w:bottom w:val="none" w:sz="0" w:space="0" w:color="auto"/>
                                    <w:right w:val="none" w:sz="0" w:space="0" w:color="auto"/>
                                  </w:divBdr>
                                  <w:divsChild>
                                    <w:div w:id="5644099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4EB5-F0FC-4198-92D7-A84082B5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3</cp:revision>
  <cp:lastPrinted>2013-01-24T09:23:00Z</cp:lastPrinted>
  <dcterms:created xsi:type="dcterms:W3CDTF">2015-06-17T14:37:00Z</dcterms:created>
  <dcterms:modified xsi:type="dcterms:W3CDTF">2015-07-01T09:59:00Z</dcterms:modified>
</cp:coreProperties>
</file>