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001536" w:rsidRDefault="00567EC9" w:rsidP="005E6D38">
      <w:pPr>
        <w:pStyle w:val="Title"/>
        <w:spacing w:before="60" w:after="60"/>
        <w:ind w:right="-330"/>
        <w:rPr>
          <w:rFonts w:ascii="Arial" w:hAnsi="Arial" w:cs="Arial"/>
          <w:color w:val="000000" w:themeColor="text1"/>
          <w:sz w:val="22"/>
          <w:szCs w:val="22"/>
        </w:rPr>
      </w:pPr>
      <w:r w:rsidRPr="00001536">
        <w:rPr>
          <w:rFonts w:ascii="Arial" w:hAnsi="Arial" w:cs="Arial"/>
          <w:color w:val="000000" w:themeColor="text1"/>
          <w:sz w:val="22"/>
          <w:szCs w:val="22"/>
        </w:rPr>
        <w:t>MODULE SPECIFICATION TEMPLATE</w:t>
      </w:r>
    </w:p>
    <w:p w:rsidR="002465A1" w:rsidRPr="00001536" w:rsidRDefault="002465A1" w:rsidP="005E6D38">
      <w:pPr>
        <w:spacing w:before="60" w:after="60"/>
        <w:ind w:right="-330"/>
        <w:jc w:val="center"/>
        <w:rPr>
          <w:rFonts w:ascii="Arial" w:hAnsi="Arial" w:cs="Arial"/>
          <w:b/>
          <w:i/>
          <w:color w:val="000000" w:themeColor="text1"/>
        </w:rPr>
      </w:pPr>
    </w:p>
    <w:p w:rsidR="00567EC9" w:rsidRPr="00001536" w:rsidRDefault="00567EC9" w:rsidP="005E6D38">
      <w:pPr>
        <w:pBdr>
          <w:bottom w:val="single" w:sz="6" w:space="1" w:color="auto"/>
        </w:pBdr>
        <w:spacing w:before="60" w:after="60" w:line="240" w:lineRule="auto"/>
        <w:ind w:right="-330"/>
        <w:jc w:val="both"/>
        <w:rPr>
          <w:rFonts w:ascii="Arial" w:hAnsi="Arial" w:cs="Arial"/>
          <w:i/>
          <w:color w:val="000000" w:themeColor="text1"/>
          <w:sz w:val="20"/>
          <w:szCs w:val="20"/>
        </w:rPr>
      </w:pPr>
    </w:p>
    <w:p w:rsidR="00FF31CA" w:rsidRPr="00001536" w:rsidRDefault="00FF31CA" w:rsidP="005E6D38">
      <w:pPr>
        <w:spacing w:before="60" w:after="60" w:line="240" w:lineRule="auto"/>
        <w:ind w:right="-330"/>
        <w:jc w:val="both"/>
        <w:rPr>
          <w:rFonts w:ascii="Arial" w:hAnsi="Arial" w:cs="Arial"/>
          <w:color w:val="000000" w:themeColor="text1"/>
          <w:sz w:val="20"/>
          <w:szCs w:val="20"/>
        </w:rPr>
      </w:pPr>
    </w:p>
    <w:p w:rsidR="00567EC9" w:rsidRPr="00001536" w:rsidRDefault="00846DBE"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 xml:space="preserve">CH623 – </w:t>
      </w:r>
      <w:r w:rsidR="00A131DB" w:rsidRPr="00001536">
        <w:rPr>
          <w:rFonts w:ascii="Arial" w:hAnsi="Arial" w:cs="Arial"/>
          <w:color w:val="000000" w:themeColor="text1"/>
          <w:sz w:val="20"/>
          <w:szCs w:val="20"/>
        </w:rPr>
        <w:t>Main Group and Organometallic Chemistry</w:t>
      </w:r>
    </w:p>
    <w:p w:rsidR="00DA64B6" w:rsidRPr="00001536" w:rsidRDefault="00DA64B6" w:rsidP="005E6D38">
      <w:pPr>
        <w:spacing w:before="60" w:after="60" w:line="240" w:lineRule="auto"/>
        <w:ind w:left="426" w:right="-330"/>
        <w:jc w:val="both"/>
        <w:rPr>
          <w:rFonts w:ascii="Arial" w:hAnsi="Arial" w:cs="Arial"/>
          <w:color w:val="000000" w:themeColor="text1"/>
          <w:sz w:val="20"/>
          <w:szCs w:val="20"/>
        </w:rPr>
      </w:pPr>
    </w:p>
    <w:p w:rsidR="00567EC9" w:rsidRPr="00001536" w:rsidRDefault="00A131DB"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 xml:space="preserve">School responsible for module management: </w:t>
      </w:r>
      <w:r w:rsidR="00846DBE" w:rsidRPr="00001536">
        <w:rPr>
          <w:rFonts w:ascii="Arial" w:hAnsi="Arial" w:cs="Arial"/>
          <w:color w:val="000000" w:themeColor="text1"/>
          <w:sz w:val="20"/>
          <w:szCs w:val="20"/>
        </w:rPr>
        <w:t>School of Physical Sciences</w:t>
      </w:r>
    </w:p>
    <w:p w:rsidR="00C04C95" w:rsidRPr="00001536" w:rsidRDefault="00C04C95" w:rsidP="005E6D38">
      <w:pPr>
        <w:spacing w:before="60" w:after="60" w:line="240" w:lineRule="auto"/>
        <w:ind w:right="-330" w:firstLine="426"/>
        <w:rPr>
          <w:rFonts w:ascii="Arial" w:hAnsi="Arial" w:cs="Arial"/>
          <w:i/>
          <w:iCs/>
          <w:color w:val="000000" w:themeColor="text1"/>
          <w:sz w:val="20"/>
          <w:szCs w:val="20"/>
        </w:rPr>
      </w:pPr>
    </w:p>
    <w:p w:rsidR="00567EC9" w:rsidRPr="00001536" w:rsidRDefault="00A131DB"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Start Date of module: Academic Year 2015</w:t>
      </w:r>
      <w:r w:rsidR="00DD30B7" w:rsidRPr="00001536">
        <w:rPr>
          <w:rFonts w:ascii="Arial" w:hAnsi="Arial" w:cs="Arial"/>
          <w:color w:val="000000" w:themeColor="text1"/>
          <w:sz w:val="20"/>
          <w:szCs w:val="20"/>
        </w:rPr>
        <w:t>/2016</w:t>
      </w:r>
    </w:p>
    <w:p w:rsidR="00E610DE" w:rsidRPr="00001536" w:rsidRDefault="00E610DE" w:rsidP="005E6D38">
      <w:pPr>
        <w:spacing w:before="60" w:after="60" w:line="240" w:lineRule="auto"/>
        <w:ind w:left="426" w:right="-330"/>
        <w:rPr>
          <w:rFonts w:ascii="Arial" w:hAnsi="Arial" w:cs="Arial"/>
          <w:i/>
          <w:iCs/>
          <w:color w:val="000000" w:themeColor="text1"/>
          <w:sz w:val="20"/>
          <w:szCs w:val="20"/>
        </w:rPr>
      </w:pPr>
    </w:p>
    <w:p w:rsidR="00567EC9" w:rsidRPr="00001536" w:rsidRDefault="00846DBE"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 xml:space="preserve">20 students </w:t>
      </w:r>
      <w:r w:rsidR="00520841" w:rsidRPr="00001536">
        <w:rPr>
          <w:rFonts w:ascii="Arial" w:hAnsi="Arial" w:cs="Arial"/>
          <w:color w:val="000000" w:themeColor="text1"/>
          <w:sz w:val="20"/>
          <w:szCs w:val="20"/>
        </w:rPr>
        <w:t>AY2015/2016</w:t>
      </w:r>
      <w:r w:rsidRPr="00001536">
        <w:rPr>
          <w:rFonts w:ascii="Arial" w:hAnsi="Arial" w:cs="Arial"/>
          <w:color w:val="000000" w:themeColor="text1"/>
          <w:sz w:val="20"/>
          <w:szCs w:val="20"/>
        </w:rPr>
        <w:t xml:space="preserve">, 50 </w:t>
      </w:r>
      <w:r w:rsidR="00520841" w:rsidRPr="00001536">
        <w:rPr>
          <w:rFonts w:ascii="Arial" w:hAnsi="Arial" w:cs="Arial"/>
          <w:color w:val="000000" w:themeColor="text1"/>
          <w:sz w:val="20"/>
          <w:szCs w:val="20"/>
        </w:rPr>
        <w:t>students AY2016/2017, 70 students AY2017/2018</w:t>
      </w:r>
    </w:p>
    <w:p w:rsidR="00E610DE" w:rsidRPr="00001536" w:rsidRDefault="00E610DE" w:rsidP="005E6D38">
      <w:pPr>
        <w:spacing w:before="60" w:after="60" w:line="240" w:lineRule="auto"/>
        <w:ind w:left="426" w:right="-330"/>
        <w:rPr>
          <w:rFonts w:ascii="Arial" w:hAnsi="Arial" w:cs="Arial"/>
          <w:i/>
          <w:iCs/>
          <w:color w:val="000000" w:themeColor="text1"/>
          <w:sz w:val="20"/>
          <w:szCs w:val="20"/>
        </w:rPr>
      </w:pPr>
    </w:p>
    <w:p w:rsidR="00567EC9" w:rsidRPr="00001536" w:rsidRDefault="00567EC9"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Modules to be withdrawn on the introduction of this proposed module and consultation with other relevant Schools and Faculties regarding the withdrawal</w:t>
      </w:r>
      <w:r w:rsidR="00A131DB" w:rsidRPr="00001536">
        <w:rPr>
          <w:rFonts w:ascii="Arial" w:hAnsi="Arial" w:cs="Arial"/>
          <w:color w:val="000000" w:themeColor="text1"/>
          <w:sz w:val="20"/>
          <w:szCs w:val="20"/>
        </w:rPr>
        <w:t>: None</w:t>
      </w:r>
    </w:p>
    <w:p w:rsidR="00F01956" w:rsidRPr="00001536" w:rsidRDefault="00F01956" w:rsidP="005E6D38">
      <w:pPr>
        <w:spacing w:before="60" w:after="60" w:line="240" w:lineRule="auto"/>
        <w:ind w:left="426" w:right="-330"/>
        <w:rPr>
          <w:rFonts w:ascii="Arial" w:hAnsi="Arial" w:cs="Arial"/>
          <w:i/>
          <w:iCs/>
          <w:color w:val="000000" w:themeColor="text1"/>
          <w:sz w:val="20"/>
          <w:szCs w:val="20"/>
        </w:rPr>
      </w:pPr>
    </w:p>
    <w:p w:rsidR="00567EC9" w:rsidRPr="00001536" w:rsidRDefault="00567EC9"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The level of the module (</w:t>
      </w:r>
      <w:r w:rsidR="00486993" w:rsidRPr="00001536">
        <w:rPr>
          <w:rFonts w:ascii="Arial" w:hAnsi="Arial" w:cs="Arial"/>
          <w:color w:val="000000" w:themeColor="text1"/>
          <w:sz w:val="20"/>
          <w:szCs w:val="20"/>
        </w:rPr>
        <w:t>e.g.</w:t>
      </w:r>
      <w:r w:rsidRPr="00001536">
        <w:rPr>
          <w:rFonts w:ascii="Arial" w:hAnsi="Arial" w:cs="Arial"/>
          <w:color w:val="000000" w:themeColor="text1"/>
          <w:sz w:val="20"/>
          <w:szCs w:val="20"/>
        </w:rPr>
        <w:t xml:space="preserve"> Certificate [C], Intermediate [I], Honours [H] or Postgraduate [M])</w:t>
      </w:r>
    </w:p>
    <w:p w:rsidR="00CE4D9A" w:rsidRPr="00001536" w:rsidRDefault="00CE4D9A" w:rsidP="00E546E8">
      <w:pPr>
        <w:spacing w:before="60" w:after="60" w:line="240" w:lineRule="auto"/>
        <w:ind w:left="426" w:right="-330"/>
        <w:jc w:val="both"/>
        <w:rPr>
          <w:rFonts w:ascii="Arial" w:hAnsi="Arial" w:cs="Arial"/>
          <w:color w:val="000000" w:themeColor="text1"/>
          <w:sz w:val="20"/>
          <w:szCs w:val="20"/>
        </w:rPr>
      </w:pPr>
      <w:r w:rsidRPr="00001536">
        <w:rPr>
          <w:rFonts w:ascii="Arial" w:hAnsi="Arial" w:cs="Arial"/>
          <w:color w:val="000000" w:themeColor="text1"/>
          <w:sz w:val="20"/>
          <w:szCs w:val="20"/>
        </w:rPr>
        <w:t xml:space="preserve">Honours, [H] </w:t>
      </w:r>
    </w:p>
    <w:p w:rsidR="007C74B4" w:rsidRPr="00001536" w:rsidRDefault="007C74B4" w:rsidP="005E6D38">
      <w:pPr>
        <w:spacing w:before="60" w:after="60" w:line="240" w:lineRule="auto"/>
        <w:ind w:left="426" w:right="-330"/>
        <w:rPr>
          <w:rFonts w:ascii="Arial" w:hAnsi="Arial" w:cs="Arial"/>
          <w:i/>
          <w:iCs/>
          <w:color w:val="000000" w:themeColor="text1"/>
          <w:sz w:val="20"/>
          <w:szCs w:val="20"/>
        </w:rPr>
      </w:pPr>
    </w:p>
    <w:p w:rsidR="00567EC9" w:rsidRPr="00001536" w:rsidRDefault="00A131DB"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 xml:space="preserve">Number of credits represented by module: </w:t>
      </w:r>
      <w:r w:rsidR="001A79D0" w:rsidRPr="00001536">
        <w:rPr>
          <w:rFonts w:ascii="Arial" w:hAnsi="Arial" w:cs="Arial"/>
          <w:color w:val="000000" w:themeColor="text1"/>
          <w:sz w:val="20"/>
          <w:szCs w:val="20"/>
        </w:rPr>
        <w:t>15 Credits – (7.5 value for ECTS)</w:t>
      </w:r>
    </w:p>
    <w:p w:rsidR="007C74B4" w:rsidRPr="00001536" w:rsidRDefault="007C74B4" w:rsidP="005E6D38">
      <w:pPr>
        <w:spacing w:before="60" w:after="60" w:line="240" w:lineRule="auto"/>
        <w:ind w:left="426" w:right="-330"/>
        <w:rPr>
          <w:rFonts w:ascii="Arial" w:hAnsi="Arial" w:cs="Arial"/>
          <w:i/>
          <w:color w:val="000000" w:themeColor="text1"/>
          <w:sz w:val="20"/>
          <w:szCs w:val="20"/>
        </w:rPr>
      </w:pPr>
    </w:p>
    <w:p w:rsidR="00567EC9" w:rsidRPr="00001536" w:rsidRDefault="00567EC9" w:rsidP="002F7C4A">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Which term(s) the module is to be taught in (or other teaching pattern)</w:t>
      </w:r>
      <w:r w:rsidR="002F7C4A" w:rsidRPr="00001536">
        <w:rPr>
          <w:rFonts w:ascii="Arial" w:hAnsi="Arial" w:cs="Arial"/>
          <w:color w:val="000000" w:themeColor="text1"/>
          <w:sz w:val="20"/>
          <w:szCs w:val="20"/>
        </w:rPr>
        <w:t xml:space="preserve">: </w:t>
      </w:r>
      <w:r w:rsidR="009A2078" w:rsidRPr="00001536">
        <w:rPr>
          <w:rFonts w:ascii="Arial" w:hAnsi="Arial" w:cs="Arial"/>
          <w:color w:val="000000" w:themeColor="text1"/>
          <w:sz w:val="20"/>
          <w:szCs w:val="20"/>
        </w:rPr>
        <w:t>Not yet determined</w:t>
      </w:r>
    </w:p>
    <w:p w:rsidR="005759F4" w:rsidRPr="00001536" w:rsidRDefault="005759F4" w:rsidP="005E6D38">
      <w:pPr>
        <w:spacing w:before="60" w:after="60" w:line="240" w:lineRule="auto"/>
        <w:ind w:left="426" w:right="-330"/>
        <w:rPr>
          <w:rFonts w:ascii="Arial" w:hAnsi="Arial" w:cs="Arial"/>
          <w:i/>
          <w:iCs/>
          <w:color w:val="000000" w:themeColor="text1"/>
          <w:sz w:val="20"/>
          <w:szCs w:val="20"/>
        </w:rPr>
      </w:pPr>
    </w:p>
    <w:p w:rsidR="002F7C4A" w:rsidRPr="00001536" w:rsidRDefault="00567EC9"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Prerequisite and co-requisite modules</w:t>
      </w:r>
      <w:r w:rsidR="002F7C4A" w:rsidRPr="00001536">
        <w:rPr>
          <w:rFonts w:ascii="Arial" w:hAnsi="Arial" w:cs="Arial"/>
          <w:color w:val="000000" w:themeColor="text1"/>
          <w:sz w:val="20"/>
          <w:szCs w:val="20"/>
        </w:rPr>
        <w:t>:</w:t>
      </w:r>
      <w:r w:rsidR="002A0CD0" w:rsidRPr="00001536">
        <w:rPr>
          <w:rFonts w:ascii="Arial" w:hAnsi="Arial" w:cs="Arial"/>
          <w:color w:val="000000" w:themeColor="text1"/>
          <w:sz w:val="20"/>
          <w:szCs w:val="20"/>
        </w:rPr>
        <w:t xml:space="preserve"> </w:t>
      </w:r>
    </w:p>
    <w:p w:rsidR="00567EC9" w:rsidRPr="00001536" w:rsidRDefault="002F7C4A" w:rsidP="002F7C4A">
      <w:pPr>
        <w:spacing w:before="60" w:after="60" w:line="240" w:lineRule="auto"/>
        <w:ind w:left="426" w:right="-330"/>
        <w:jc w:val="both"/>
        <w:rPr>
          <w:rFonts w:ascii="Arial" w:hAnsi="Arial" w:cs="Arial"/>
          <w:color w:val="000000" w:themeColor="text1"/>
          <w:sz w:val="20"/>
          <w:szCs w:val="20"/>
        </w:rPr>
      </w:pPr>
      <w:r w:rsidRPr="00001536">
        <w:rPr>
          <w:rFonts w:ascii="Arial" w:hAnsi="Arial" w:cs="Arial"/>
          <w:color w:val="000000" w:themeColor="text1"/>
          <w:sz w:val="20"/>
          <w:szCs w:val="20"/>
        </w:rPr>
        <w:t>Completion of Stage 2 of the following programmes: Chemistry (BSc), Chemistry (MSc) and Chemistry with a Year in Industry</w:t>
      </w:r>
    </w:p>
    <w:p w:rsidR="005759F4" w:rsidRPr="00001536" w:rsidRDefault="005759F4" w:rsidP="005E6D38">
      <w:pPr>
        <w:spacing w:before="60" w:after="60" w:line="240" w:lineRule="auto"/>
        <w:ind w:left="426" w:right="-330"/>
        <w:rPr>
          <w:rFonts w:ascii="Arial" w:hAnsi="Arial" w:cs="Arial"/>
          <w:i/>
          <w:iCs/>
          <w:color w:val="000000" w:themeColor="text1"/>
          <w:sz w:val="20"/>
          <w:szCs w:val="20"/>
        </w:rPr>
      </w:pPr>
    </w:p>
    <w:p w:rsidR="00567EC9" w:rsidRPr="00001536" w:rsidRDefault="00567EC9"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The programmes of study to which the module contributes</w:t>
      </w:r>
      <w:r w:rsidR="00C66AB6" w:rsidRPr="00001536">
        <w:rPr>
          <w:rFonts w:ascii="Arial" w:hAnsi="Arial" w:cs="Arial"/>
          <w:color w:val="000000" w:themeColor="text1"/>
          <w:sz w:val="20"/>
          <w:szCs w:val="20"/>
        </w:rPr>
        <w:t xml:space="preserve"> Chemistry BSc, MSci a</w:t>
      </w:r>
      <w:r w:rsidR="009C6AF1" w:rsidRPr="00001536">
        <w:rPr>
          <w:rFonts w:ascii="Arial" w:hAnsi="Arial" w:cs="Arial"/>
          <w:color w:val="000000" w:themeColor="text1"/>
          <w:sz w:val="20"/>
          <w:szCs w:val="20"/>
        </w:rPr>
        <w:t>nd MSci with year in industry.</w:t>
      </w:r>
    </w:p>
    <w:p w:rsidR="00BD0EF8" w:rsidRPr="00001536" w:rsidRDefault="00BD0EF8" w:rsidP="002F7C4A">
      <w:pPr>
        <w:spacing w:before="60" w:after="60" w:line="240" w:lineRule="auto"/>
        <w:ind w:right="-330"/>
        <w:rPr>
          <w:rFonts w:ascii="Arial" w:hAnsi="Arial" w:cs="Arial"/>
          <w:i/>
          <w:iCs/>
          <w:color w:val="000000" w:themeColor="text1"/>
          <w:sz w:val="20"/>
          <w:szCs w:val="20"/>
        </w:rPr>
      </w:pPr>
    </w:p>
    <w:p w:rsidR="00567EC9" w:rsidRPr="00001536" w:rsidRDefault="00567EC9"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 xml:space="preserve">The intended subject specific learning outcomes </w:t>
      </w:r>
    </w:p>
    <w:p w:rsidR="007F28E3" w:rsidRPr="00001536" w:rsidRDefault="007F28E3" w:rsidP="007F28E3">
      <w:pPr>
        <w:spacing w:after="0" w:line="240" w:lineRule="auto"/>
        <w:ind w:right="-330"/>
        <w:rPr>
          <w:rFonts w:ascii="Arial" w:hAnsi="Arial" w:cs="Arial"/>
          <w:color w:val="000000" w:themeColor="text1"/>
          <w:sz w:val="20"/>
          <w:szCs w:val="20"/>
        </w:rPr>
      </w:pPr>
      <w:r w:rsidRPr="00001536">
        <w:rPr>
          <w:rFonts w:ascii="Arial" w:hAnsi="Arial" w:cs="Arial"/>
          <w:color w:val="000000" w:themeColor="text1"/>
          <w:sz w:val="20"/>
          <w:szCs w:val="20"/>
        </w:rPr>
        <w:t>Knowledge and understanding of:</w:t>
      </w:r>
    </w:p>
    <w:p w:rsidR="00073B93" w:rsidRPr="00001536" w:rsidRDefault="00073B93" w:rsidP="00073B93">
      <w:pPr>
        <w:spacing w:before="60" w:after="60" w:line="240" w:lineRule="auto"/>
        <w:ind w:left="1440" w:right="-330" w:hanging="1014"/>
        <w:jc w:val="both"/>
        <w:rPr>
          <w:rFonts w:ascii="Arial" w:hAnsi="Arial" w:cs="Arial"/>
          <w:color w:val="000000" w:themeColor="text1"/>
          <w:sz w:val="20"/>
          <w:szCs w:val="20"/>
        </w:rPr>
      </w:pPr>
      <w:r w:rsidRPr="00001536">
        <w:rPr>
          <w:rFonts w:ascii="Arial" w:hAnsi="Arial" w:cs="Arial"/>
          <w:color w:val="000000" w:themeColor="text1"/>
          <w:sz w:val="20"/>
          <w:szCs w:val="20"/>
        </w:rPr>
        <w:t xml:space="preserve">11.A1 </w:t>
      </w:r>
      <w:r w:rsidRPr="00001536">
        <w:rPr>
          <w:rFonts w:ascii="Arial" w:hAnsi="Arial" w:cs="Arial"/>
          <w:color w:val="000000" w:themeColor="text1"/>
          <w:sz w:val="20"/>
          <w:szCs w:val="20"/>
        </w:rPr>
        <w:tab/>
        <w:t>Core and foundation scientific chemical, physical and biological concepts, terminology, theory, units, conventions, and laboratory practice and methods in relation to the chemical sciences.</w:t>
      </w:r>
    </w:p>
    <w:p w:rsidR="00073B93" w:rsidRPr="00001536" w:rsidRDefault="00073B93" w:rsidP="00073B93">
      <w:pPr>
        <w:spacing w:before="60" w:after="60" w:line="240" w:lineRule="auto"/>
        <w:ind w:left="1440" w:right="-330" w:hanging="1014"/>
        <w:jc w:val="both"/>
        <w:rPr>
          <w:rFonts w:ascii="Arial" w:hAnsi="Arial" w:cs="Arial"/>
          <w:color w:val="000000" w:themeColor="text1"/>
          <w:sz w:val="20"/>
          <w:szCs w:val="20"/>
        </w:rPr>
      </w:pPr>
      <w:r w:rsidRPr="00001536">
        <w:rPr>
          <w:rFonts w:ascii="Arial" w:hAnsi="Arial" w:cs="Arial"/>
          <w:color w:val="000000" w:themeColor="text1"/>
          <w:sz w:val="20"/>
          <w:szCs w:val="20"/>
        </w:rPr>
        <w:t>11.</w:t>
      </w:r>
      <w:r w:rsidR="00353491" w:rsidRPr="00001536">
        <w:rPr>
          <w:rFonts w:ascii="Arial" w:hAnsi="Arial" w:cs="Arial"/>
          <w:color w:val="000000" w:themeColor="text1"/>
          <w:sz w:val="20"/>
          <w:szCs w:val="20"/>
        </w:rPr>
        <w:t>A</w:t>
      </w:r>
      <w:r w:rsidR="005E0013">
        <w:rPr>
          <w:rFonts w:ascii="Arial" w:hAnsi="Arial" w:cs="Arial"/>
          <w:color w:val="000000" w:themeColor="text1"/>
          <w:sz w:val="20"/>
          <w:szCs w:val="20"/>
        </w:rPr>
        <w:t>3</w:t>
      </w:r>
      <w:r w:rsidR="00353491" w:rsidRPr="00001536">
        <w:rPr>
          <w:rFonts w:ascii="Arial" w:hAnsi="Arial" w:cs="Arial"/>
          <w:color w:val="000000" w:themeColor="text1"/>
          <w:sz w:val="20"/>
          <w:szCs w:val="20"/>
        </w:rPr>
        <w:t xml:space="preserve"> </w:t>
      </w:r>
      <w:r w:rsidRPr="00001536">
        <w:rPr>
          <w:rFonts w:ascii="Arial" w:hAnsi="Arial" w:cs="Arial"/>
          <w:color w:val="000000" w:themeColor="text1"/>
          <w:sz w:val="20"/>
          <w:szCs w:val="20"/>
        </w:rPr>
        <w:tab/>
        <w:t>Areas of chemistry including properties of chemical elements, states of matter, organic functional groups, physiochemical principles, organic and inorganic materials, synthetic pathways, analytical chemistry, drug chemistry, biochemistry, fires and explosions.</w:t>
      </w:r>
    </w:p>
    <w:p w:rsidR="00073B93" w:rsidRPr="00001536" w:rsidRDefault="00073B93" w:rsidP="00073B93">
      <w:pPr>
        <w:spacing w:before="60" w:after="60" w:line="240" w:lineRule="auto"/>
        <w:ind w:left="426" w:right="-330"/>
        <w:jc w:val="both"/>
        <w:rPr>
          <w:rFonts w:ascii="Arial" w:hAnsi="Arial" w:cs="Arial"/>
          <w:color w:val="000000" w:themeColor="text1"/>
          <w:sz w:val="20"/>
          <w:szCs w:val="20"/>
        </w:rPr>
      </w:pPr>
      <w:r w:rsidRPr="00001536">
        <w:rPr>
          <w:rFonts w:ascii="Arial" w:hAnsi="Arial" w:cs="Arial"/>
          <w:color w:val="000000" w:themeColor="text1"/>
          <w:sz w:val="20"/>
          <w:szCs w:val="20"/>
        </w:rPr>
        <w:t>11.</w:t>
      </w:r>
      <w:r w:rsidR="00353491" w:rsidRPr="00001536">
        <w:rPr>
          <w:rFonts w:ascii="Arial" w:hAnsi="Arial" w:cs="Arial"/>
          <w:color w:val="000000" w:themeColor="text1"/>
          <w:sz w:val="20"/>
          <w:szCs w:val="20"/>
        </w:rPr>
        <w:t>A</w:t>
      </w:r>
      <w:r w:rsidR="005E0013">
        <w:rPr>
          <w:rFonts w:ascii="Arial" w:hAnsi="Arial" w:cs="Arial"/>
          <w:color w:val="000000" w:themeColor="text1"/>
          <w:sz w:val="20"/>
          <w:szCs w:val="20"/>
        </w:rPr>
        <w:t>4</w:t>
      </w:r>
      <w:r w:rsidR="00353491" w:rsidRPr="00001536">
        <w:rPr>
          <w:rFonts w:ascii="Arial" w:hAnsi="Arial" w:cs="Arial"/>
          <w:color w:val="000000" w:themeColor="text1"/>
          <w:sz w:val="20"/>
          <w:szCs w:val="20"/>
        </w:rPr>
        <w:t xml:space="preserve"> </w:t>
      </w:r>
      <w:r w:rsidRPr="00001536">
        <w:rPr>
          <w:rFonts w:ascii="Arial" w:hAnsi="Arial" w:cs="Arial"/>
          <w:color w:val="000000" w:themeColor="text1"/>
          <w:sz w:val="20"/>
          <w:szCs w:val="20"/>
        </w:rPr>
        <w:tab/>
        <w:t>Appreciate developments at the forefront of some areas of chemical sciences.</w:t>
      </w:r>
    </w:p>
    <w:p w:rsidR="00073B93" w:rsidRPr="00001536" w:rsidRDefault="00073B93" w:rsidP="00073B93">
      <w:pPr>
        <w:spacing w:before="60" w:after="60" w:line="240" w:lineRule="auto"/>
        <w:ind w:left="426" w:right="-330"/>
        <w:jc w:val="both"/>
        <w:rPr>
          <w:rFonts w:ascii="Arial" w:hAnsi="Arial" w:cs="Arial"/>
          <w:color w:val="000000" w:themeColor="text1"/>
          <w:sz w:val="20"/>
          <w:szCs w:val="20"/>
        </w:rPr>
      </w:pPr>
    </w:p>
    <w:p w:rsidR="00073B93" w:rsidRPr="00001536" w:rsidRDefault="00073B93" w:rsidP="00073B93">
      <w:pPr>
        <w:spacing w:before="60" w:after="60" w:line="240" w:lineRule="auto"/>
        <w:ind w:left="426" w:right="-330"/>
        <w:jc w:val="both"/>
        <w:rPr>
          <w:rFonts w:ascii="Arial" w:hAnsi="Arial" w:cs="Arial"/>
          <w:color w:val="000000" w:themeColor="text1"/>
          <w:sz w:val="20"/>
          <w:szCs w:val="20"/>
        </w:rPr>
      </w:pPr>
      <w:r w:rsidRPr="00001536">
        <w:rPr>
          <w:rFonts w:ascii="Arial" w:hAnsi="Arial" w:cs="Arial"/>
          <w:color w:val="000000" w:themeColor="text1"/>
          <w:sz w:val="20"/>
          <w:szCs w:val="20"/>
        </w:rPr>
        <w:t>Intellectual skills:</w:t>
      </w:r>
    </w:p>
    <w:p w:rsidR="00073B93" w:rsidRPr="00001536" w:rsidRDefault="00073B93" w:rsidP="00073B93">
      <w:pPr>
        <w:spacing w:before="60" w:after="60" w:line="240" w:lineRule="auto"/>
        <w:ind w:left="1440" w:right="-330" w:hanging="1014"/>
        <w:jc w:val="both"/>
        <w:rPr>
          <w:rFonts w:ascii="Arial" w:hAnsi="Arial" w:cs="Arial"/>
          <w:color w:val="000000" w:themeColor="text1"/>
          <w:sz w:val="20"/>
          <w:szCs w:val="20"/>
        </w:rPr>
      </w:pPr>
      <w:r w:rsidRPr="00001536">
        <w:rPr>
          <w:rFonts w:ascii="Arial" w:hAnsi="Arial" w:cs="Arial"/>
          <w:color w:val="000000" w:themeColor="text1"/>
          <w:sz w:val="20"/>
          <w:szCs w:val="20"/>
        </w:rPr>
        <w:t>11.B1</w:t>
      </w:r>
      <w:r w:rsidRPr="00001536">
        <w:rPr>
          <w:rFonts w:ascii="Arial" w:hAnsi="Arial" w:cs="Arial"/>
          <w:color w:val="000000" w:themeColor="text1"/>
          <w:sz w:val="20"/>
          <w:szCs w:val="20"/>
        </w:rPr>
        <w:tab/>
        <w:t>Ability to demonstrate knowledge and understanding of essential facts, concepts, principles and theories relating to the subject and to apply such knowledge and understanding to the solution of qualitative and quantitative problems.</w:t>
      </w:r>
    </w:p>
    <w:p w:rsidR="00073B93" w:rsidRPr="00001536" w:rsidRDefault="00073B93" w:rsidP="00073B93">
      <w:pPr>
        <w:spacing w:before="60" w:after="60" w:line="240" w:lineRule="auto"/>
        <w:ind w:left="1440" w:right="-330" w:hanging="1014"/>
        <w:jc w:val="both"/>
        <w:rPr>
          <w:rFonts w:ascii="Arial" w:hAnsi="Arial" w:cs="Arial"/>
          <w:color w:val="000000" w:themeColor="text1"/>
          <w:sz w:val="20"/>
          <w:szCs w:val="20"/>
        </w:rPr>
      </w:pPr>
      <w:r w:rsidRPr="00001536">
        <w:rPr>
          <w:rFonts w:ascii="Arial" w:hAnsi="Arial" w:cs="Arial"/>
          <w:color w:val="000000" w:themeColor="text1"/>
          <w:sz w:val="20"/>
          <w:szCs w:val="20"/>
        </w:rPr>
        <w:t>11.B2</w:t>
      </w:r>
      <w:r w:rsidRPr="00001536">
        <w:rPr>
          <w:rFonts w:ascii="Arial" w:hAnsi="Arial" w:cs="Arial"/>
          <w:color w:val="000000" w:themeColor="text1"/>
          <w:sz w:val="20"/>
          <w:szCs w:val="20"/>
        </w:rPr>
        <w:tab/>
        <w:t>Ability to recognise and analyse problems and plan strategies for their solution by the evaluation, interpretation and synthesis of scientific information and data.</w:t>
      </w:r>
    </w:p>
    <w:p w:rsidR="00073B93" w:rsidRPr="00001536" w:rsidRDefault="00073B93" w:rsidP="00073B93">
      <w:pPr>
        <w:spacing w:before="60" w:after="60" w:line="240" w:lineRule="auto"/>
        <w:ind w:left="426" w:right="-330"/>
        <w:jc w:val="both"/>
        <w:rPr>
          <w:rFonts w:ascii="Arial" w:hAnsi="Arial" w:cs="Arial"/>
          <w:color w:val="000000" w:themeColor="text1"/>
          <w:sz w:val="20"/>
          <w:szCs w:val="20"/>
        </w:rPr>
      </w:pPr>
    </w:p>
    <w:p w:rsidR="00073B93" w:rsidRPr="00001536" w:rsidRDefault="00073B93" w:rsidP="00073B93">
      <w:pPr>
        <w:spacing w:before="60" w:after="60" w:line="240" w:lineRule="auto"/>
        <w:ind w:left="426" w:right="-330"/>
        <w:jc w:val="both"/>
        <w:rPr>
          <w:rFonts w:ascii="Arial" w:hAnsi="Arial" w:cs="Arial"/>
          <w:color w:val="000000" w:themeColor="text1"/>
          <w:sz w:val="20"/>
          <w:szCs w:val="20"/>
        </w:rPr>
      </w:pPr>
      <w:r w:rsidRPr="00001536">
        <w:rPr>
          <w:rFonts w:ascii="Arial" w:hAnsi="Arial" w:cs="Arial"/>
          <w:color w:val="000000" w:themeColor="text1"/>
          <w:sz w:val="20"/>
          <w:szCs w:val="20"/>
        </w:rPr>
        <w:t>Subject-specific skills:</w:t>
      </w:r>
    </w:p>
    <w:p w:rsidR="00F56F96" w:rsidRPr="00BB1DFE" w:rsidRDefault="00073B93" w:rsidP="00BB1DFE">
      <w:pPr>
        <w:spacing w:after="0" w:line="240" w:lineRule="auto"/>
        <w:ind w:left="426" w:right="-330"/>
        <w:rPr>
          <w:rFonts w:ascii="Arial" w:hAnsi="Arial" w:cs="Arial"/>
          <w:color w:val="000000" w:themeColor="text1"/>
          <w:sz w:val="20"/>
          <w:szCs w:val="20"/>
        </w:rPr>
      </w:pPr>
      <w:r w:rsidRPr="00F56F96">
        <w:rPr>
          <w:rFonts w:ascii="Arial" w:hAnsi="Arial" w:cs="Arial"/>
          <w:color w:val="000000" w:themeColor="text1"/>
          <w:sz w:val="20"/>
          <w:szCs w:val="20"/>
        </w:rPr>
        <w:t>11.C1</w:t>
      </w:r>
      <w:r w:rsidRPr="00F56F96">
        <w:rPr>
          <w:rFonts w:ascii="Arial" w:hAnsi="Arial" w:cs="Arial"/>
          <w:color w:val="000000" w:themeColor="text1"/>
          <w:sz w:val="20"/>
          <w:szCs w:val="20"/>
        </w:rPr>
        <w:tab/>
        <w:t xml:space="preserve">Skills in the safe handling of chemical materials, taking into account their physical and </w:t>
      </w:r>
      <w:r w:rsidR="00F56F96">
        <w:rPr>
          <w:rFonts w:ascii="Arial" w:hAnsi="Arial" w:cs="Arial"/>
          <w:color w:val="000000" w:themeColor="text1"/>
          <w:sz w:val="20"/>
          <w:szCs w:val="20"/>
        </w:rPr>
        <w:tab/>
      </w:r>
      <w:r w:rsidR="00F56F96">
        <w:rPr>
          <w:rFonts w:ascii="Arial" w:hAnsi="Arial" w:cs="Arial"/>
          <w:color w:val="000000" w:themeColor="text1"/>
          <w:sz w:val="20"/>
          <w:szCs w:val="20"/>
        </w:rPr>
        <w:tab/>
      </w:r>
      <w:r w:rsidRPr="00F56F96">
        <w:rPr>
          <w:rFonts w:ascii="Arial" w:hAnsi="Arial" w:cs="Arial"/>
          <w:color w:val="000000" w:themeColor="text1"/>
          <w:sz w:val="20"/>
          <w:szCs w:val="20"/>
        </w:rPr>
        <w:t xml:space="preserve">chemical properties, including any specific hazards associated with their use and to risk </w:t>
      </w:r>
      <w:r w:rsidR="00F56F96">
        <w:rPr>
          <w:rFonts w:ascii="Arial" w:hAnsi="Arial" w:cs="Arial"/>
          <w:color w:val="000000" w:themeColor="text1"/>
          <w:sz w:val="20"/>
          <w:szCs w:val="20"/>
        </w:rPr>
        <w:tab/>
      </w:r>
      <w:r w:rsidR="00F56F96">
        <w:rPr>
          <w:rFonts w:ascii="Arial" w:hAnsi="Arial" w:cs="Arial"/>
          <w:color w:val="000000" w:themeColor="text1"/>
          <w:sz w:val="20"/>
          <w:szCs w:val="20"/>
        </w:rPr>
        <w:tab/>
      </w:r>
      <w:r w:rsidRPr="00F56F96">
        <w:rPr>
          <w:rFonts w:ascii="Arial" w:hAnsi="Arial" w:cs="Arial"/>
          <w:color w:val="000000" w:themeColor="text1"/>
          <w:sz w:val="20"/>
          <w:szCs w:val="20"/>
        </w:rPr>
        <w:t>assess such hazards.</w:t>
      </w:r>
      <w:r w:rsidR="00F56F96" w:rsidRPr="00BB1DFE">
        <w:rPr>
          <w:rFonts w:ascii="Arial" w:hAnsi="Arial" w:cs="Arial"/>
          <w:color w:val="000000" w:themeColor="text1"/>
          <w:sz w:val="20"/>
          <w:szCs w:val="20"/>
        </w:rPr>
        <w:t xml:space="preserve"> Concepts in NMR (paramagnetic NMR, quadrupolar NMR, </w:t>
      </w:r>
      <w:r w:rsidR="00F56F96">
        <w:rPr>
          <w:rFonts w:ascii="Arial" w:hAnsi="Arial" w:cs="Arial"/>
          <w:color w:val="000000" w:themeColor="text1"/>
          <w:sz w:val="20"/>
          <w:szCs w:val="20"/>
        </w:rPr>
        <w:tab/>
      </w:r>
      <w:r w:rsidR="00F56F96">
        <w:rPr>
          <w:rFonts w:ascii="Arial" w:hAnsi="Arial" w:cs="Arial"/>
          <w:color w:val="000000" w:themeColor="text1"/>
          <w:sz w:val="20"/>
          <w:szCs w:val="20"/>
        </w:rPr>
        <w:tab/>
      </w:r>
      <w:r w:rsidR="00F56F96">
        <w:rPr>
          <w:rFonts w:ascii="Arial" w:hAnsi="Arial" w:cs="Arial"/>
          <w:color w:val="000000" w:themeColor="text1"/>
          <w:sz w:val="20"/>
          <w:szCs w:val="20"/>
        </w:rPr>
        <w:tab/>
      </w:r>
      <w:r w:rsidR="00F56F96" w:rsidRPr="00BB1DFE">
        <w:rPr>
          <w:rFonts w:ascii="Arial" w:hAnsi="Arial" w:cs="Arial"/>
          <w:color w:val="000000" w:themeColor="text1"/>
          <w:sz w:val="20"/>
          <w:szCs w:val="20"/>
        </w:rPr>
        <w:t>Variable temperature NMR).</w:t>
      </w:r>
    </w:p>
    <w:p w:rsidR="00F56F96" w:rsidRPr="007B1E5C" w:rsidRDefault="00073B93" w:rsidP="00BB1DFE">
      <w:pPr>
        <w:spacing w:after="0" w:line="240" w:lineRule="auto"/>
        <w:ind w:left="426" w:right="-330"/>
        <w:rPr>
          <w:rFonts w:ascii="Arial" w:hAnsi="Arial" w:cs="Arial"/>
          <w:color w:val="000000" w:themeColor="text1"/>
          <w:sz w:val="20"/>
          <w:szCs w:val="20"/>
        </w:rPr>
      </w:pPr>
      <w:r w:rsidRPr="007B1E5C">
        <w:rPr>
          <w:rFonts w:ascii="Arial" w:hAnsi="Arial" w:cs="Arial"/>
          <w:color w:val="000000" w:themeColor="text1"/>
          <w:sz w:val="20"/>
          <w:szCs w:val="20"/>
        </w:rPr>
        <w:lastRenderedPageBreak/>
        <w:t>11.C2</w:t>
      </w:r>
      <w:r w:rsidRPr="007B1E5C">
        <w:rPr>
          <w:rFonts w:ascii="Arial" w:hAnsi="Arial" w:cs="Arial"/>
          <w:color w:val="000000" w:themeColor="text1"/>
          <w:sz w:val="20"/>
          <w:szCs w:val="20"/>
        </w:rPr>
        <w:tab/>
        <w:t xml:space="preserve">Skills required for carrying out documented standard laboratory procedures involved in </w:t>
      </w:r>
      <w:r w:rsidR="00F56F96">
        <w:rPr>
          <w:rFonts w:ascii="Arial" w:hAnsi="Arial" w:cs="Arial"/>
          <w:color w:val="000000" w:themeColor="text1"/>
          <w:sz w:val="20"/>
          <w:szCs w:val="20"/>
        </w:rPr>
        <w:tab/>
      </w:r>
      <w:r w:rsidR="00F56F96">
        <w:rPr>
          <w:rFonts w:ascii="Arial" w:hAnsi="Arial" w:cs="Arial"/>
          <w:color w:val="000000" w:themeColor="text1"/>
          <w:sz w:val="20"/>
          <w:szCs w:val="20"/>
        </w:rPr>
        <w:tab/>
      </w:r>
      <w:r w:rsidRPr="007B1E5C">
        <w:rPr>
          <w:rFonts w:ascii="Arial" w:hAnsi="Arial" w:cs="Arial"/>
          <w:color w:val="000000" w:themeColor="text1"/>
          <w:sz w:val="20"/>
          <w:szCs w:val="20"/>
        </w:rPr>
        <w:t xml:space="preserve">synthetic and analytical work in relation to organic and inorganic systems. Skills in </w:t>
      </w:r>
      <w:r w:rsidR="00F56F96">
        <w:rPr>
          <w:rFonts w:ascii="Arial" w:hAnsi="Arial" w:cs="Arial"/>
          <w:color w:val="000000" w:themeColor="text1"/>
          <w:sz w:val="20"/>
          <w:szCs w:val="20"/>
        </w:rPr>
        <w:tab/>
      </w:r>
      <w:r w:rsidR="00F56F96">
        <w:rPr>
          <w:rFonts w:ascii="Arial" w:hAnsi="Arial" w:cs="Arial"/>
          <w:color w:val="000000" w:themeColor="text1"/>
          <w:sz w:val="20"/>
          <w:szCs w:val="20"/>
        </w:rPr>
        <w:tab/>
      </w:r>
      <w:r w:rsidRPr="007B1E5C">
        <w:rPr>
          <w:rFonts w:ascii="Arial" w:hAnsi="Arial" w:cs="Arial"/>
          <w:color w:val="000000" w:themeColor="text1"/>
          <w:sz w:val="20"/>
          <w:szCs w:val="20"/>
        </w:rPr>
        <w:t xml:space="preserve">observational </w:t>
      </w:r>
      <w:r w:rsidR="00F56F96">
        <w:rPr>
          <w:rFonts w:ascii="Arial" w:hAnsi="Arial" w:cs="Arial"/>
          <w:color w:val="000000" w:themeColor="text1"/>
          <w:sz w:val="20"/>
          <w:szCs w:val="20"/>
        </w:rPr>
        <w:tab/>
      </w:r>
      <w:r w:rsidRPr="007B1E5C">
        <w:rPr>
          <w:rFonts w:ascii="Arial" w:hAnsi="Arial" w:cs="Arial"/>
          <w:color w:val="000000" w:themeColor="text1"/>
          <w:sz w:val="20"/>
          <w:szCs w:val="20"/>
        </w:rPr>
        <w:t xml:space="preserve">and instrumental monitoring of physiochemical events and changes. The </w:t>
      </w:r>
      <w:r w:rsidR="00F56F96">
        <w:rPr>
          <w:rFonts w:ascii="Arial" w:hAnsi="Arial" w:cs="Arial"/>
          <w:color w:val="000000" w:themeColor="text1"/>
          <w:sz w:val="20"/>
          <w:szCs w:val="20"/>
        </w:rPr>
        <w:tab/>
      </w:r>
      <w:r w:rsidR="00F56F96">
        <w:rPr>
          <w:rFonts w:ascii="Arial" w:hAnsi="Arial" w:cs="Arial"/>
          <w:color w:val="000000" w:themeColor="text1"/>
          <w:sz w:val="20"/>
          <w:szCs w:val="20"/>
        </w:rPr>
        <w:tab/>
      </w:r>
      <w:r w:rsidRPr="007B1E5C">
        <w:rPr>
          <w:rFonts w:ascii="Arial" w:hAnsi="Arial" w:cs="Arial"/>
          <w:color w:val="000000" w:themeColor="text1"/>
          <w:sz w:val="20"/>
          <w:szCs w:val="20"/>
        </w:rPr>
        <w:t>systematic and reliable</w:t>
      </w:r>
      <w:r w:rsidR="00353491">
        <w:rPr>
          <w:rFonts w:ascii="Arial" w:hAnsi="Arial" w:cs="Arial"/>
          <w:color w:val="000000" w:themeColor="text1"/>
          <w:sz w:val="20"/>
          <w:szCs w:val="20"/>
        </w:rPr>
        <w:t xml:space="preserve"> </w:t>
      </w:r>
      <w:r w:rsidRPr="007B1E5C">
        <w:rPr>
          <w:rFonts w:ascii="Arial" w:hAnsi="Arial" w:cs="Arial"/>
          <w:color w:val="000000" w:themeColor="text1"/>
          <w:sz w:val="20"/>
          <w:szCs w:val="20"/>
        </w:rPr>
        <w:t xml:space="preserve">documentation of the above. Operation of standard analytical </w:t>
      </w:r>
      <w:r w:rsidR="00F56F96">
        <w:rPr>
          <w:rFonts w:ascii="Arial" w:hAnsi="Arial" w:cs="Arial"/>
          <w:color w:val="000000" w:themeColor="text1"/>
          <w:sz w:val="20"/>
          <w:szCs w:val="20"/>
        </w:rPr>
        <w:tab/>
      </w:r>
      <w:r w:rsidR="00F56F96">
        <w:rPr>
          <w:rFonts w:ascii="Arial" w:hAnsi="Arial" w:cs="Arial"/>
          <w:color w:val="000000" w:themeColor="text1"/>
          <w:sz w:val="20"/>
          <w:szCs w:val="20"/>
        </w:rPr>
        <w:tab/>
      </w:r>
      <w:r w:rsidRPr="007B1E5C">
        <w:rPr>
          <w:rFonts w:ascii="Arial" w:hAnsi="Arial" w:cs="Arial"/>
          <w:color w:val="000000" w:themeColor="text1"/>
          <w:sz w:val="20"/>
          <w:szCs w:val="20"/>
        </w:rPr>
        <w:t>instruments employed in the chemical sciences.</w:t>
      </w:r>
      <w:r w:rsidR="00F56F96" w:rsidRPr="00BB1DFE">
        <w:rPr>
          <w:rFonts w:ascii="Arial" w:hAnsi="Arial" w:cs="Arial"/>
          <w:color w:val="000000" w:themeColor="text1"/>
          <w:sz w:val="20"/>
          <w:szCs w:val="20"/>
        </w:rPr>
        <w:t xml:space="preserve"> Synthetic techniques and reaction </w:t>
      </w:r>
      <w:r w:rsidR="00F56F96">
        <w:rPr>
          <w:rFonts w:ascii="Arial" w:hAnsi="Arial" w:cs="Arial"/>
          <w:color w:val="000000" w:themeColor="text1"/>
          <w:sz w:val="20"/>
          <w:szCs w:val="20"/>
        </w:rPr>
        <w:tab/>
      </w:r>
      <w:r w:rsidR="00F56F96">
        <w:rPr>
          <w:rFonts w:ascii="Arial" w:hAnsi="Arial" w:cs="Arial"/>
          <w:color w:val="000000" w:themeColor="text1"/>
          <w:sz w:val="20"/>
          <w:szCs w:val="20"/>
        </w:rPr>
        <w:tab/>
      </w:r>
      <w:r w:rsidR="00F56F96" w:rsidRPr="00BB1DFE">
        <w:rPr>
          <w:rFonts w:ascii="Arial" w:hAnsi="Arial" w:cs="Arial"/>
          <w:color w:val="000000" w:themeColor="text1"/>
          <w:sz w:val="20"/>
          <w:szCs w:val="20"/>
        </w:rPr>
        <w:t xml:space="preserve">conditions for common organometallic syntheses. Synthetic techniques and reaction </w:t>
      </w:r>
      <w:r w:rsidR="00F56F96">
        <w:rPr>
          <w:rFonts w:ascii="Arial" w:hAnsi="Arial" w:cs="Arial"/>
          <w:color w:val="000000" w:themeColor="text1"/>
          <w:sz w:val="20"/>
          <w:szCs w:val="20"/>
        </w:rPr>
        <w:tab/>
      </w:r>
      <w:r w:rsidR="00F56F96">
        <w:rPr>
          <w:rFonts w:ascii="Arial" w:hAnsi="Arial" w:cs="Arial"/>
          <w:color w:val="000000" w:themeColor="text1"/>
          <w:sz w:val="20"/>
          <w:szCs w:val="20"/>
        </w:rPr>
        <w:tab/>
      </w:r>
      <w:r w:rsidR="00F56F96" w:rsidRPr="00BB1DFE">
        <w:rPr>
          <w:rFonts w:ascii="Arial" w:hAnsi="Arial" w:cs="Arial"/>
          <w:color w:val="000000" w:themeColor="text1"/>
          <w:sz w:val="20"/>
          <w:szCs w:val="20"/>
        </w:rPr>
        <w:t xml:space="preserve">conditions for main group compounds. Identifying Lewis acidic and Lewis basic sites </w:t>
      </w:r>
      <w:r w:rsidR="00F56F96">
        <w:rPr>
          <w:rFonts w:ascii="Arial" w:hAnsi="Arial" w:cs="Arial"/>
          <w:color w:val="000000" w:themeColor="text1"/>
          <w:sz w:val="20"/>
          <w:szCs w:val="20"/>
        </w:rPr>
        <w:tab/>
      </w:r>
      <w:r w:rsidR="00F56F96">
        <w:rPr>
          <w:rFonts w:ascii="Arial" w:hAnsi="Arial" w:cs="Arial"/>
          <w:color w:val="000000" w:themeColor="text1"/>
          <w:sz w:val="20"/>
          <w:szCs w:val="20"/>
        </w:rPr>
        <w:tab/>
      </w:r>
      <w:r w:rsidR="00F56F96" w:rsidRPr="00BB1DFE">
        <w:rPr>
          <w:rFonts w:ascii="Arial" w:hAnsi="Arial" w:cs="Arial"/>
          <w:color w:val="000000" w:themeColor="text1"/>
          <w:sz w:val="20"/>
          <w:szCs w:val="20"/>
        </w:rPr>
        <w:t>within molecules.</w:t>
      </w:r>
    </w:p>
    <w:p w:rsidR="007F28E3" w:rsidRPr="007B1E5C" w:rsidRDefault="00073B93" w:rsidP="00BB1DFE">
      <w:pPr>
        <w:spacing w:before="60" w:after="60" w:line="240" w:lineRule="auto"/>
        <w:ind w:left="426" w:right="-330"/>
        <w:jc w:val="both"/>
        <w:rPr>
          <w:rFonts w:ascii="Arial" w:hAnsi="Arial" w:cs="Arial"/>
          <w:color w:val="000000" w:themeColor="text1"/>
          <w:sz w:val="20"/>
          <w:szCs w:val="20"/>
        </w:rPr>
      </w:pPr>
      <w:r w:rsidRPr="007B1E5C">
        <w:rPr>
          <w:rFonts w:ascii="Arial" w:hAnsi="Arial" w:cs="Arial"/>
          <w:color w:val="000000" w:themeColor="text1"/>
          <w:sz w:val="20"/>
          <w:szCs w:val="20"/>
        </w:rPr>
        <w:t>11.C3</w:t>
      </w:r>
      <w:r w:rsidRPr="007B1E5C">
        <w:rPr>
          <w:rFonts w:ascii="Arial" w:hAnsi="Arial" w:cs="Arial"/>
          <w:color w:val="000000" w:themeColor="text1"/>
          <w:sz w:val="20"/>
          <w:szCs w:val="20"/>
        </w:rPr>
        <w:tab/>
      </w:r>
      <w:r w:rsidRPr="005E0013">
        <w:rPr>
          <w:rFonts w:ascii="Arial" w:hAnsi="Arial" w:cs="Arial"/>
          <w:color w:val="000000" w:themeColor="text1"/>
          <w:sz w:val="20"/>
          <w:szCs w:val="20"/>
        </w:rPr>
        <w:t xml:space="preserve">The ability to collate, interpret and explain the significance and underlying theory of </w:t>
      </w:r>
      <w:r w:rsidR="00F56F96">
        <w:rPr>
          <w:rFonts w:ascii="Arial" w:hAnsi="Arial" w:cs="Arial"/>
          <w:color w:val="000000" w:themeColor="text1"/>
          <w:sz w:val="20"/>
          <w:szCs w:val="20"/>
        </w:rPr>
        <w:tab/>
      </w:r>
      <w:r w:rsidR="00F56F96">
        <w:rPr>
          <w:rFonts w:ascii="Arial" w:hAnsi="Arial" w:cs="Arial"/>
          <w:color w:val="000000" w:themeColor="text1"/>
          <w:sz w:val="20"/>
          <w:szCs w:val="20"/>
        </w:rPr>
        <w:tab/>
      </w:r>
      <w:r w:rsidRPr="007B1E5C">
        <w:rPr>
          <w:rFonts w:ascii="Arial" w:hAnsi="Arial" w:cs="Arial"/>
          <w:color w:val="000000" w:themeColor="text1"/>
          <w:sz w:val="20"/>
          <w:szCs w:val="20"/>
        </w:rPr>
        <w:t xml:space="preserve">experimental </w:t>
      </w:r>
      <w:r w:rsidR="00F56F96" w:rsidRPr="005E0013">
        <w:rPr>
          <w:rFonts w:ascii="Arial" w:hAnsi="Arial" w:cs="Arial"/>
          <w:color w:val="000000" w:themeColor="text1"/>
          <w:sz w:val="20"/>
          <w:szCs w:val="20"/>
        </w:rPr>
        <w:tab/>
      </w:r>
      <w:r w:rsidRPr="005E0013">
        <w:rPr>
          <w:rFonts w:ascii="Arial" w:hAnsi="Arial" w:cs="Arial"/>
          <w:color w:val="000000" w:themeColor="text1"/>
          <w:sz w:val="20"/>
          <w:szCs w:val="20"/>
        </w:rPr>
        <w:t>data, including an assessment of limits of accuracy.</w:t>
      </w:r>
      <w:r w:rsidR="00F56F96" w:rsidRPr="00BB1DFE">
        <w:rPr>
          <w:rFonts w:ascii="Arial" w:hAnsi="Arial" w:cs="Arial"/>
          <w:color w:val="000000" w:themeColor="text1"/>
          <w:sz w:val="20"/>
          <w:szCs w:val="20"/>
        </w:rPr>
        <w:t xml:space="preserve"> Ability to make use </w:t>
      </w:r>
      <w:r w:rsidR="00F56F96">
        <w:rPr>
          <w:rFonts w:ascii="Arial" w:hAnsi="Arial" w:cs="Arial"/>
          <w:color w:val="000000" w:themeColor="text1"/>
          <w:sz w:val="20"/>
          <w:szCs w:val="20"/>
        </w:rPr>
        <w:tab/>
      </w:r>
      <w:r w:rsidR="00F56F96">
        <w:rPr>
          <w:rFonts w:ascii="Arial" w:hAnsi="Arial" w:cs="Arial"/>
          <w:color w:val="000000" w:themeColor="text1"/>
          <w:sz w:val="20"/>
          <w:szCs w:val="20"/>
        </w:rPr>
        <w:tab/>
      </w:r>
      <w:r w:rsidR="00F56F96" w:rsidRPr="00BB1DFE">
        <w:rPr>
          <w:rFonts w:ascii="Arial" w:hAnsi="Arial" w:cs="Arial"/>
          <w:color w:val="000000" w:themeColor="text1"/>
          <w:sz w:val="20"/>
          <w:szCs w:val="20"/>
        </w:rPr>
        <w:t xml:space="preserve">of appropriate texts, or </w:t>
      </w:r>
      <w:r w:rsidR="00F56F96" w:rsidRPr="00BB1DFE">
        <w:rPr>
          <w:rFonts w:ascii="Arial" w:hAnsi="Arial" w:cs="Arial"/>
          <w:color w:val="000000" w:themeColor="text1"/>
          <w:sz w:val="20"/>
          <w:szCs w:val="20"/>
        </w:rPr>
        <w:tab/>
        <w:t>other learning resources as part of managing their own learning.</w:t>
      </w:r>
    </w:p>
    <w:p w:rsidR="00AA3C15" w:rsidRPr="00001536" w:rsidRDefault="00AA3C15" w:rsidP="005E6D38">
      <w:pPr>
        <w:spacing w:before="60" w:after="60" w:line="240" w:lineRule="auto"/>
        <w:ind w:left="360" w:right="-330"/>
        <w:rPr>
          <w:rFonts w:ascii="Arial" w:hAnsi="Arial" w:cs="Arial"/>
          <w:i/>
          <w:color w:val="000000" w:themeColor="text1"/>
          <w:sz w:val="20"/>
          <w:szCs w:val="20"/>
        </w:rPr>
      </w:pPr>
    </w:p>
    <w:p w:rsidR="007A0776" w:rsidRPr="00001536" w:rsidRDefault="00567EC9" w:rsidP="007A0776">
      <w:pPr>
        <w:numPr>
          <w:ilvl w:val="0"/>
          <w:numId w:val="3"/>
        </w:numPr>
        <w:spacing w:after="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 xml:space="preserve"> </w:t>
      </w:r>
      <w:r w:rsidR="007A0776" w:rsidRPr="00001536">
        <w:rPr>
          <w:rFonts w:ascii="Arial" w:hAnsi="Arial" w:cs="Arial"/>
          <w:color w:val="000000" w:themeColor="text1"/>
          <w:sz w:val="20"/>
          <w:szCs w:val="20"/>
        </w:rPr>
        <w:t>The intended generic learning outcomes:</w:t>
      </w:r>
    </w:p>
    <w:p w:rsidR="00073B93" w:rsidRPr="00001536" w:rsidRDefault="00073B93" w:rsidP="00073B93">
      <w:pPr>
        <w:pStyle w:val="Default"/>
        <w:ind w:left="720" w:right="-330" w:hanging="294"/>
        <w:rPr>
          <w:color w:val="000000" w:themeColor="text1"/>
          <w:sz w:val="20"/>
          <w:szCs w:val="20"/>
        </w:rPr>
      </w:pPr>
      <w:r w:rsidRPr="00001536">
        <w:rPr>
          <w:color w:val="000000" w:themeColor="text1"/>
          <w:sz w:val="20"/>
          <w:szCs w:val="20"/>
        </w:rPr>
        <w:t xml:space="preserve">12.D1 </w:t>
      </w:r>
      <w:r w:rsidRPr="00001536">
        <w:rPr>
          <w:color w:val="000000" w:themeColor="text1"/>
          <w:sz w:val="20"/>
          <w:szCs w:val="20"/>
        </w:rPr>
        <w:tab/>
        <w:t>Communication skills, covering both written and oral communication.</w:t>
      </w:r>
    </w:p>
    <w:p w:rsidR="00073B93" w:rsidRPr="00001536" w:rsidRDefault="00073B93" w:rsidP="00073B93">
      <w:pPr>
        <w:pStyle w:val="Default"/>
        <w:ind w:left="720" w:right="-330" w:hanging="294"/>
        <w:rPr>
          <w:color w:val="000000" w:themeColor="text1"/>
          <w:sz w:val="20"/>
          <w:szCs w:val="20"/>
        </w:rPr>
      </w:pPr>
      <w:r w:rsidRPr="00001536">
        <w:rPr>
          <w:color w:val="000000" w:themeColor="text1"/>
          <w:sz w:val="20"/>
          <w:szCs w:val="20"/>
        </w:rPr>
        <w:t>12.D2</w:t>
      </w:r>
      <w:r w:rsidRPr="00001536">
        <w:rPr>
          <w:color w:val="000000" w:themeColor="text1"/>
          <w:sz w:val="20"/>
          <w:szCs w:val="20"/>
        </w:rPr>
        <w:tab/>
        <w:t xml:space="preserve">Generic skills needed for students to undertake further training of a professional nature. </w:t>
      </w:r>
    </w:p>
    <w:p w:rsidR="00073B93" w:rsidRPr="00001536" w:rsidRDefault="00073B93" w:rsidP="00073B93">
      <w:pPr>
        <w:pStyle w:val="Default"/>
        <w:ind w:left="1440" w:right="-330" w:hanging="1014"/>
        <w:rPr>
          <w:color w:val="000000" w:themeColor="text1"/>
          <w:sz w:val="20"/>
          <w:szCs w:val="20"/>
        </w:rPr>
      </w:pPr>
      <w:r w:rsidRPr="00001536">
        <w:rPr>
          <w:color w:val="000000" w:themeColor="text1"/>
          <w:sz w:val="20"/>
          <w:szCs w:val="20"/>
        </w:rPr>
        <w:t>12.D3</w:t>
      </w:r>
      <w:r w:rsidRPr="00001536">
        <w:rPr>
          <w:color w:val="000000" w:themeColor="text1"/>
          <w:sz w:val="20"/>
          <w:szCs w:val="20"/>
        </w:rPr>
        <w:tab/>
        <w:t>Problem-solving skills, relating to qualitative and quantitative information, extending to situations where evaluations have to be made on the basis of limited information.</w:t>
      </w:r>
    </w:p>
    <w:p w:rsidR="00073B93" w:rsidRPr="00001536" w:rsidRDefault="00073B93" w:rsidP="00073B93">
      <w:pPr>
        <w:pStyle w:val="Default"/>
        <w:ind w:left="1440" w:right="-330" w:hanging="1014"/>
        <w:rPr>
          <w:color w:val="000000" w:themeColor="text1"/>
          <w:sz w:val="20"/>
          <w:szCs w:val="20"/>
        </w:rPr>
      </w:pPr>
      <w:r w:rsidRPr="00001536">
        <w:rPr>
          <w:color w:val="000000" w:themeColor="text1"/>
          <w:sz w:val="20"/>
          <w:szCs w:val="20"/>
        </w:rPr>
        <w:t>12.D4</w:t>
      </w:r>
      <w:r w:rsidRPr="00001536">
        <w:rPr>
          <w:color w:val="000000" w:themeColor="text1"/>
          <w:sz w:val="20"/>
          <w:szCs w:val="20"/>
        </w:rPr>
        <w:tab/>
        <w:t>Numeracy and computational skills, including such aspects as error analysis, order-of-magnitude estimations, correct use of units and modes of data presentation.</w:t>
      </w:r>
    </w:p>
    <w:p w:rsidR="00073B93" w:rsidRPr="00001536" w:rsidRDefault="00073B93" w:rsidP="00073B93">
      <w:pPr>
        <w:pStyle w:val="Default"/>
        <w:ind w:left="1440" w:right="-330" w:hanging="1014"/>
        <w:rPr>
          <w:color w:val="000000" w:themeColor="text1"/>
          <w:sz w:val="20"/>
          <w:szCs w:val="20"/>
        </w:rPr>
      </w:pPr>
      <w:r w:rsidRPr="00001536">
        <w:rPr>
          <w:color w:val="000000" w:themeColor="text1"/>
          <w:sz w:val="20"/>
          <w:szCs w:val="20"/>
        </w:rPr>
        <w:t>12.D7</w:t>
      </w:r>
      <w:r w:rsidRPr="00001536">
        <w:rPr>
          <w:color w:val="000000" w:themeColor="text1"/>
          <w:sz w:val="20"/>
          <w:szCs w:val="20"/>
        </w:rPr>
        <w:tab/>
        <w:t>Interpersonal skills, relating to the ability to interact with other people and to engage in team working within a professional environment.</w:t>
      </w:r>
    </w:p>
    <w:p w:rsidR="007A0776" w:rsidRPr="00001536" w:rsidRDefault="00073B93" w:rsidP="00073B93">
      <w:pPr>
        <w:pStyle w:val="Default"/>
        <w:ind w:left="1440" w:right="-330" w:hanging="1014"/>
        <w:rPr>
          <w:color w:val="000000" w:themeColor="text1"/>
          <w:sz w:val="20"/>
          <w:szCs w:val="20"/>
        </w:rPr>
      </w:pPr>
      <w:r w:rsidRPr="00001536">
        <w:rPr>
          <w:color w:val="000000" w:themeColor="text1"/>
          <w:sz w:val="20"/>
          <w:szCs w:val="20"/>
        </w:rPr>
        <w:t>12.D8</w:t>
      </w:r>
      <w:r w:rsidRPr="00001536">
        <w:rPr>
          <w:color w:val="000000" w:themeColor="text1"/>
          <w:sz w:val="20"/>
          <w:szCs w:val="20"/>
        </w:rPr>
        <w:tab/>
        <w:t>Time-management and organisational skills, as evidenced by the ability to plan and implement efficient and effective modes of working. Self-management and organisational skills with the capacity to support life-long learning.</w:t>
      </w:r>
    </w:p>
    <w:p w:rsidR="00903DF6" w:rsidRPr="00001536" w:rsidRDefault="00903DF6" w:rsidP="005E6D38">
      <w:pPr>
        <w:pStyle w:val="Default"/>
        <w:spacing w:before="60" w:after="60"/>
        <w:ind w:left="720" w:right="-330"/>
        <w:rPr>
          <w:color w:val="000000" w:themeColor="text1"/>
          <w:sz w:val="20"/>
          <w:szCs w:val="20"/>
        </w:rPr>
      </w:pPr>
    </w:p>
    <w:p w:rsidR="00001536" w:rsidRPr="00001536" w:rsidRDefault="00567EC9"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A synopsis of the curriculum</w:t>
      </w:r>
      <w:r w:rsidR="00001536" w:rsidRPr="00001536">
        <w:rPr>
          <w:rFonts w:ascii="Arial" w:hAnsi="Arial" w:cs="Arial"/>
          <w:color w:val="000000" w:themeColor="text1"/>
          <w:sz w:val="20"/>
          <w:szCs w:val="20"/>
        </w:rPr>
        <w:t>:</w:t>
      </w:r>
    </w:p>
    <w:p w:rsidR="008B4971" w:rsidRPr="00001536" w:rsidRDefault="00825E01" w:rsidP="00001536">
      <w:pPr>
        <w:spacing w:before="60" w:after="60" w:line="240" w:lineRule="auto"/>
        <w:ind w:left="426" w:right="-330"/>
        <w:jc w:val="both"/>
        <w:rPr>
          <w:rFonts w:ascii="Arial" w:hAnsi="Arial" w:cs="Arial"/>
          <w:color w:val="000000" w:themeColor="text1"/>
          <w:sz w:val="20"/>
          <w:szCs w:val="20"/>
        </w:rPr>
      </w:pPr>
      <w:r w:rsidRPr="00001536">
        <w:rPr>
          <w:rFonts w:ascii="Arial" w:hAnsi="Arial" w:cs="Arial"/>
          <w:color w:val="000000" w:themeColor="text1"/>
          <w:sz w:val="20"/>
          <w:szCs w:val="20"/>
        </w:rPr>
        <w:t xml:space="preserve">This module will adopt a molecular orbital theory based approach to deliver an understanding of the variation fundamental bonding modes across the periodic table as applied to hard and transition metal organometallic systems </w:t>
      </w:r>
      <w:r w:rsidRPr="00001536">
        <w:rPr>
          <w:rFonts w:ascii="Arial" w:hAnsi="Arial" w:cs="Arial"/>
          <w:i/>
          <w:color w:val="000000" w:themeColor="text1"/>
          <w:sz w:val="20"/>
          <w:szCs w:val="20"/>
        </w:rPr>
        <w:t>ie.</w:t>
      </w:r>
      <w:r w:rsidRPr="00001536">
        <w:rPr>
          <w:rFonts w:ascii="Arial" w:hAnsi="Arial" w:cs="Arial"/>
          <w:color w:val="000000" w:themeColor="text1"/>
          <w:sz w:val="20"/>
          <w:szCs w:val="20"/>
        </w:rPr>
        <w:t xml:space="preserve"> The common synthetic tools of modern chemists. Context for this will be formed by linking these concepts to synthetic transformations of academic and industrial importance, eg. Transmetallation and catalytic processes.</w:t>
      </w:r>
    </w:p>
    <w:p w:rsidR="008B4971" w:rsidRPr="00001536" w:rsidRDefault="008B4971" w:rsidP="008B4971">
      <w:pPr>
        <w:spacing w:before="60" w:after="60" w:line="240" w:lineRule="auto"/>
        <w:ind w:left="426" w:right="-330"/>
        <w:jc w:val="both"/>
        <w:rPr>
          <w:rFonts w:ascii="Arial" w:hAnsi="Arial" w:cs="Arial"/>
          <w:color w:val="000000" w:themeColor="text1"/>
          <w:sz w:val="20"/>
          <w:szCs w:val="20"/>
        </w:rPr>
      </w:pPr>
      <w:r w:rsidRPr="00001536">
        <w:rPr>
          <w:rFonts w:ascii="Arial" w:hAnsi="Arial" w:cs="Arial"/>
          <w:color w:val="000000" w:themeColor="text1"/>
          <w:sz w:val="20"/>
          <w:szCs w:val="20"/>
        </w:rPr>
        <w:t>Lectures (24 Total):</w:t>
      </w:r>
    </w:p>
    <w:p w:rsidR="008B4971" w:rsidRPr="00001536" w:rsidRDefault="008B4971" w:rsidP="008B4971">
      <w:pPr>
        <w:spacing w:before="60" w:after="60" w:line="240" w:lineRule="auto"/>
        <w:ind w:left="426" w:right="-330"/>
        <w:jc w:val="both"/>
        <w:rPr>
          <w:rFonts w:ascii="Arial" w:hAnsi="Arial" w:cs="Arial"/>
          <w:color w:val="000000" w:themeColor="text1"/>
          <w:sz w:val="20"/>
          <w:szCs w:val="20"/>
        </w:rPr>
      </w:pPr>
      <w:r w:rsidRPr="00001536">
        <w:rPr>
          <w:rFonts w:ascii="Arial" w:hAnsi="Arial" w:cs="Arial"/>
          <w:color w:val="000000" w:themeColor="text1"/>
          <w:sz w:val="20"/>
          <w:szCs w:val="20"/>
        </w:rPr>
        <w:t>I</w:t>
      </w:r>
      <w:r w:rsidRPr="00001536">
        <w:rPr>
          <w:rFonts w:ascii="Arial" w:hAnsi="Arial" w:cs="Arial"/>
          <w:color w:val="000000" w:themeColor="text1"/>
          <w:sz w:val="20"/>
          <w:szCs w:val="20"/>
        </w:rPr>
        <w:tab/>
        <w:t>Structur</w:t>
      </w:r>
      <w:r w:rsidR="00B70862">
        <w:rPr>
          <w:rFonts w:ascii="Arial" w:hAnsi="Arial" w:cs="Arial"/>
          <w:color w:val="000000" w:themeColor="text1"/>
          <w:sz w:val="20"/>
          <w:szCs w:val="20"/>
        </w:rPr>
        <w:t>e and Bonding in the Main Group</w:t>
      </w:r>
    </w:p>
    <w:p w:rsidR="008B4971" w:rsidRPr="00001536" w:rsidRDefault="008B4971" w:rsidP="008B4971">
      <w:pPr>
        <w:tabs>
          <w:tab w:val="left" w:pos="426"/>
        </w:tabs>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ab/>
        <w:t>II</w:t>
      </w:r>
      <w:r w:rsidRPr="00001536">
        <w:rPr>
          <w:rFonts w:ascii="Arial" w:hAnsi="Arial" w:cs="Arial"/>
          <w:color w:val="000000" w:themeColor="text1"/>
          <w:sz w:val="20"/>
          <w:szCs w:val="20"/>
        </w:rPr>
        <w:tab/>
        <w:t>Applicatio</w:t>
      </w:r>
      <w:r w:rsidR="00B70862">
        <w:rPr>
          <w:rFonts w:ascii="Arial" w:hAnsi="Arial" w:cs="Arial"/>
          <w:color w:val="000000" w:themeColor="text1"/>
          <w:sz w:val="20"/>
          <w:szCs w:val="20"/>
        </w:rPr>
        <w:t xml:space="preserve">ns of NMR to Inorganic Systems </w:t>
      </w:r>
    </w:p>
    <w:p w:rsidR="008B4971" w:rsidRPr="00001536" w:rsidRDefault="008B4971" w:rsidP="008B4971">
      <w:pPr>
        <w:tabs>
          <w:tab w:val="left" w:pos="426"/>
        </w:tabs>
        <w:spacing w:before="60" w:after="60" w:line="240" w:lineRule="auto"/>
        <w:ind w:right="-330"/>
        <w:jc w:val="both"/>
        <w:rPr>
          <w:rFonts w:ascii="Arial" w:hAnsi="Arial" w:cs="Arial"/>
          <w:color w:val="000000" w:themeColor="text1"/>
          <w:sz w:val="20"/>
          <w:szCs w:val="20"/>
        </w:rPr>
      </w:pPr>
      <w:r w:rsidRPr="00001536">
        <w:rPr>
          <w:rFonts w:ascii="Arial" w:hAnsi="Arial" w:cs="Arial"/>
          <w:color w:val="000000" w:themeColor="text1"/>
          <w:sz w:val="20"/>
          <w:szCs w:val="20"/>
        </w:rPr>
        <w:tab/>
        <w:t>III</w:t>
      </w:r>
      <w:r w:rsidRPr="00001536">
        <w:rPr>
          <w:rFonts w:ascii="Arial" w:hAnsi="Arial" w:cs="Arial"/>
          <w:color w:val="000000" w:themeColor="text1"/>
          <w:sz w:val="20"/>
          <w:szCs w:val="20"/>
        </w:rPr>
        <w:tab/>
        <w:t xml:space="preserve">Transition Metal Organometallic Chemistry and </w:t>
      </w:r>
      <w:r w:rsidR="00B70862">
        <w:rPr>
          <w:rFonts w:ascii="Arial" w:hAnsi="Arial" w:cs="Arial"/>
          <w:color w:val="000000" w:themeColor="text1"/>
          <w:sz w:val="20"/>
          <w:szCs w:val="20"/>
        </w:rPr>
        <w:t xml:space="preserve">Homogeneous </w:t>
      </w:r>
      <w:r w:rsidRPr="00001536">
        <w:rPr>
          <w:rFonts w:ascii="Arial" w:hAnsi="Arial" w:cs="Arial"/>
          <w:color w:val="000000" w:themeColor="text1"/>
          <w:sz w:val="20"/>
          <w:szCs w:val="20"/>
        </w:rPr>
        <w:t>Catalysis</w:t>
      </w:r>
      <w:r w:rsidR="00D678B8" w:rsidRPr="00001536">
        <w:rPr>
          <w:rFonts w:ascii="Arial" w:hAnsi="Arial" w:cs="Arial"/>
          <w:color w:val="000000" w:themeColor="text1"/>
          <w:sz w:val="20"/>
          <w:szCs w:val="20"/>
        </w:rPr>
        <w:t xml:space="preserve"> </w:t>
      </w:r>
    </w:p>
    <w:p w:rsidR="00B70862" w:rsidRDefault="00B70862" w:rsidP="008B4971">
      <w:pPr>
        <w:spacing w:before="60" w:after="60" w:line="240" w:lineRule="auto"/>
        <w:ind w:left="426" w:right="-330"/>
        <w:jc w:val="both"/>
        <w:rPr>
          <w:rFonts w:ascii="Arial" w:hAnsi="Arial" w:cs="Arial"/>
          <w:color w:val="000000" w:themeColor="text1"/>
          <w:sz w:val="20"/>
          <w:szCs w:val="20"/>
        </w:rPr>
      </w:pPr>
    </w:p>
    <w:p w:rsidR="00027C5B" w:rsidRPr="00001536" w:rsidRDefault="00027C5B" w:rsidP="008B4971">
      <w:pPr>
        <w:spacing w:before="60" w:after="60" w:line="240" w:lineRule="auto"/>
        <w:ind w:left="426" w:right="-330"/>
        <w:jc w:val="both"/>
        <w:rPr>
          <w:rFonts w:ascii="Arial" w:hAnsi="Arial" w:cs="Arial"/>
          <w:color w:val="000000" w:themeColor="text1"/>
          <w:sz w:val="20"/>
          <w:szCs w:val="20"/>
        </w:rPr>
      </w:pPr>
      <w:r w:rsidRPr="00001536">
        <w:rPr>
          <w:rFonts w:ascii="Arial" w:hAnsi="Arial" w:cs="Arial"/>
          <w:color w:val="000000" w:themeColor="text1"/>
          <w:sz w:val="20"/>
          <w:szCs w:val="20"/>
        </w:rPr>
        <w:t>Laboratory (Practical) Component:</w:t>
      </w:r>
    </w:p>
    <w:p w:rsidR="00E51404" w:rsidRPr="00001536" w:rsidRDefault="00027C5B" w:rsidP="009A1E9E">
      <w:pPr>
        <w:spacing w:before="60" w:after="60" w:line="240" w:lineRule="auto"/>
        <w:ind w:left="426" w:right="-330"/>
        <w:jc w:val="both"/>
        <w:rPr>
          <w:rFonts w:ascii="Arial" w:hAnsi="Arial" w:cs="Arial"/>
          <w:color w:val="000000" w:themeColor="text1"/>
          <w:sz w:val="20"/>
          <w:szCs w:val="20"/>
        </w:rPr>
      </w:pPr>
      <w:r w:rsidRPr="00001536">
        <w:rPr>
          <w:rFonts w:ascii="Arial" w:hAnsi="Arial" w:cs="Arial"/>
          <w:color w:val="000000" w:themeColor="text1"/>
          <w:sz w:val="20"/>
          <w:szCs w:val="20"/>
        </w:rPr>
        <w:t xml:space="preserve">The </w:t>
      </w:r>
      <w:r w:rsidR="00B70862">
        <w:rPr>
          <w:rFonts w:ascii="Arial" w:hAnsi="Arial" w:cs="Arial"/>
          <w:color w:val="000000" w:themeColor="text1"/>
          <w:sz w:val="20"/>
          <w:szCs w:val="20"/>
        </w:rPr>
        <w:t>laboratory component comprises three</w:t>
      </w:r>
      <w:r w:rsidRPr="00001536">
        <w:rPr>
          <w:rFonts w:ascii="Arial" w:hAnsi="Arial" w:cs="Arial"/>
          <w:color w:val="000000" w:themeColor="text1"/>
          <w:sz w:val="20"/>
          <w:szCs w:val="20"/>
        </w:rPr>
        <w:t xml:space="preserve"> synthetic </w:t>
      </w:r>
      <w:r w:rsidR="00B70862">
        <w:rPr>
          <w:rFonts w:ascii="Arial" w:hAnsi="Arial" w:cs="Arial"/>
          <w:color w:val="000000" w:themeColor="text1"/>
          <w:sz w:val="20"/>
          <w:szCs w:val="20"/>
        </w:rPr>
        <w:t>practical sessions with the aim of providing exposure to the techniques and materials discussed in lectures, including inorganic spectroscopic techniques.</w:t>
      </w:r>
    </w:p>
    <w:p w:rsidR="00F77676" w:rsidRPr="00001536" w:rsidRDefault="00F77676" w:rsidP="005E6D38">
      <w:pPr>
        <w:spacing w:before="60" w:after="60" w:line="240" w:lineRule="auto"/>
        <w:ind w:left="426" w:right="-330"/>
        <w:rPr>
          <w:rFonts w:ascii="Arial" w:hAnsi="Arial" w:cs="Arial"/>
          <w:i/>
          <w:iCs/>
          <w:color w:val="000000" w:themeColor="text1"/>
          <w:sz w:val="20"/>
          <w:szCs w:val="20"/>
        </w:rPr>
      </w:pPr>
      <w:bookmarkStart w:id="0" w:name="_GoBack"/>
      <w:bookmarkEnd w:id="0"/>
    </w:p>
    <w:p w:rsidR="00F77676" w:rsidRPr="00001536" w:rsidRDefault="00F77676" w:rsidP="005E6D38">
      <w:pPr>
        <w:spacing w:before="60" w:after="60" w:line="240" w:lineRule="auto"/>
        <w:ind w:left="426" w:right="-330"/>
        <w:rPr>
          <w:rFonts w:ascii="Arial" w:hAnsi="Arial" w:cs="Arial"/>
          <w:i/>
          <w:iCs/>
          <w:color w:val="000000" w:themeColor="text1"/>
          <w:sz w:val="20"/>
          <w:szCs w:val="20"/>
        </w:rPr>
      </w:pPr>
    </w:p>
    <w:p w:rsidR="007A24BC" w:rsidRPr="00001536" w:rsidRDefault="00567EC9"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 xml:space="preserve">Indicative Reading List </w:t>
      </w:r>
    </w:p>
    <w:p w:rsidR="0009563F" w:rsidRPr="00001536" w:rsidRDefault="0009563F" w:rsidP="007A24BC">
      <w:pPr>
        <w:spacing w:before="60" w:after="60" w:line="240" w:lineRule="auto"/>
        <w:ind w:left="426" w:right="-330"/>
        <w:jc w:val="both"/>
        <w:rPr>
          <w:rFonts w:ascii="Arial" w:hAnsi="Arial" w:cs="Arial"/>
          <w:color w:val="000000" w:themeColor="text1"/>
          <w:sz w:val="20"/>
          <w:szCs w:val="20"/>
        </w:rPr>
      </w:pPr>
      <w:r w:rsidRPr="00001536">
        <w:rPr>
          <w:rFonts w:ascii="Arial" w:hAnsi="Arial" w:cs="Arial"/>
          <w:color w:val="000000" w:themeColor="text1"/>
          <w:sz w:val="20"/>
          <w:szCs w:val="20"/>
        </w:rPr>
        <w:t>1 – Cotton and Wilkinson</w:t>
      </w:r>
      <w:r w:rsidR="007E0395" w:rsidRPr="00001536">
        <w:rPr>
          <w:rFonts w:ascii="Arial" w:hAnsi="Arial" w:cs="Arial"/>
          <w:color w:val="000000" w:themeColor="text1"/>
          <w:sz w:val="20"/>
          <w:szCs w:val="20"/>
        </w:rPr>
        <w:t>, Advanced Inorganic Chemistry, Wiley</w:t>
      </w:r>
    </w:p>
    <w:p w:rsidR="0009563F" w:rsidRPr="00001536" w:rsidRDefault="0009563F" w:rsidP="007A24BC">
      <w:pPr>
        <w:spacing w:before="60" w:after="60" w:line="240" w:lineRule="auto"/>
        <w:ind w:left="426" w:right="-330"/>
        <w:jc w:val="both"/>
        <w:rPr>
          <w:rFonts w:ascii="Arial" w:hAnsi="Arial" w:cs="Arial"/>
          <w:color w:val="000000" w:themeColor="text1"/>
          <w:sz w:val="20"/>
          <w:szCs w:val="20"/>
        </w:rPr>
      </w:pPr>
      <w:r w:rsidRPr="00001536">
        <w:rPr>
          <w:rFonts w:ascii="Arial" w:hAnsi="Arial" w:cs="Arial"/>
          <w:color w:val="000000" w:themeColor="text1"/>
          <w:sz w:val="20"/>
          <w:szCs w:val="20"/>
        </w:rPr>
        <w:t>2 – Shriver and Atkins</w:t>
      </w:r>
      <w:r w:rsidR="007E0395" w:rsidRPr="00001536">
        <w:rPr>
          <w:rFonts w:ascii="Arial" w:hAnsi="Arial" w:cs="Arial"/>
          <w:color w:val="000000" w:themeColor="text1"/>
          <w:sz w:val="20"/>
          <w:szCs w:val="20"/>
        </w:rPr>
        <w:t>, Inorganic Chemistry, Oxford University Press</w:t>
      </w:r>
    </w:p>
    <w:p w:rsidR="0009563F" w:rsidRPr="00001536" w:rsidRDefault="0009563F" w:rsidP="007A24BC">
      <w:pPr>
        <w:spacing w:before="60" w:after="60" w:line="240" w:lineRule="auto"/>
        <w:ind w:left="426" w:right="-330"/>
        <w:jc w:val="both"/>
        <w:rPr>
          <w:rFonts w:ascii="Arial" w:hAnsi="Arial" w:cs="Arial"/>
          <w:color w:val="000000" w:themeColor="text1"/>
          <w:sz w:val="20"/>
          <w:szCs w:val="20"/>
        </w:rPr>
      </w:pPr>
      <w:r w:rsidRPr="00001536">
        <w:rPr>
          <w:rFonts w:ascii="Arial" w:hAnsi="Arial" w:cs="Arial"/>
          <w:color w:val="000000" w:themeColor="text1"/>
          <w:sz w:val="20"/>
          <w:szCs w:val="20"/>
        </w:rPr>
        <w:t>3 – Greenwood and Earnshaw</w:t>
      </w:r>
      <w:r w:rsidR="00FF376F" w:rsidRPr="00001536">
        <w:rPr>
          <w:rFonts w:ascii="Arial" w:hAnsi="Arial" w:cs="Arial"/>
          <w:color w:val="000000" w:themeColor="text1"/>
          <w:sz w:val="20"/>
          <w:szCs w:val="20"/>
        </w:rPr>
        <w:t>, Chemistry of the Elements, Pergamon Press</w:t>
      </w:r>
    </w:p>
    <w:p w:rsidR="00567EC9" w:rsidRPr="00001536" w:rsidRDefault="0009563F" w:rsidP="007A24BC">
      <w:pPr>
        <w:spacing w:before="60" w:after="60" w:line="240" w:lineRule="auto"/>
        <w:ind w:left="426" w:right="-330"/>
        <w:jc w:val="both"/>
        <w:rPr>
          <w:rFonts w:ascii="Arial" w:hAnsi="Arial" w:cs="Arial"/>
          <w:color w:val="000000" w:themeColor="text1"/>
          <w:sz w:val="20"/>
          <w:szCs w:val="20"/>
        </w:rPr>
      </w:pPr>
      <w:r w:rsidRPr="00001536">
        <w:rPr>
          <w:rFonts w:ascii="Arial" w:hAnsi="Arial" w:cs="Arial"/>
          <w:color w:val="000000" w:themeColor="text1"/>
          <w:sz w:val="20"/>
          <w:szCs w:val="20"/>
        </w:rPr>
        <w:t xml:space="preserve">4 – </w:t>
      </w:r>
      <w:r w:rsidR="00FF376F" w:rsidRPr="00001536">
        <w:rPr>
          <w:rFonts w:ascii="Arial" w:hAnsi="Arial" w:cs="Arial"/>
          <w:color w:val="000000" w:themeColor="text1"/>
          <w:sz w:val="20"/>
          <w:szCs w:val="20"/>
        </w:rPr>
        <w:t>Mark J Winter, d-Block Chemistry, Oxford University Press</w:t>
      </w:r>
    </w:p>
    <w:p w:rsidR="00E51404" w:rsidRPr="00001536" w:rsidRDefault="00E51404" w:rsidP="005E6D38">
      <w:pPr>
        <w:spacing w:before="60" w:after="60" w:line="240" w:lineRule="auto"/>
        <w:ind w:left="360" w:right="-330"/>
        <w:rPr>
          <w:rFonts w:ascii="Arial" w:hAnsi="Arial" w:cs="Arial"/>
          <w:i/>
          <w:iCs/>
          <w:color w:val="000000" w:themeColor="text1"/>
          <w:sz w:val="20"/>
          <w:szCs w:val="20"/>
        </w:rPr>
      </w:pPr>
    </w:p>
    <w:p w:rsidR="00567EC9" w:rsidRPr="00001536" w:rsidRDefault="00567EC9"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 xml:space="preserve">Learning and Teaching Methods, including the nature and number of contact hours and the total study hours which will be expected of students, and how these relate to achievement of the intended </w:t>
      </w:r>
      <w:r w:rsidR="008102E5" w:rsidRPr="00001536">
        <w:rPr>
          <w:rFonts w:ascii="Arial" w:hAnsi="Arial" w:cs="Arial"/>
          <w:color w:val="000000" w:themeColor="text1"/>
          <w:sz w:val="20"/>
          <w:szCs w:val="20"/>
        </w:rPr>
        <w:t xml:space="preserve">module </w:t>
      </w:r>
      <w:r w:rsidRPr="00001536">
        <w:rPr>
          <w:rFonts w:ascii="Arial" w:hAnsi="Arial" w:cs="Arial"/>
          <w:color w:val="000000" w:themeColor="text1"/>
          <w:sz w:val="20"/>
          <w:szCs w:val="20"/>
        </w:rPr>
        <w:t>learning outcomes</w:t>
      </w:r>
    </w:p>
    <w:p w:rsidR="006C46EF" w:rsidRPr="00001536" w:rsidRDefault="006C46EF" w:rsidP="005E6D38">
      <w:pPr>
        <w:spacing w:before="60" w:after="60" w:line="240" w:lineRule="auto"/>
        <w:ind w:left="426" w:right="-330"/>
        <w:rPr>
          <w:rFonts w:ascii="Arial" w:hAnsi="Arial" w:cs="Arial"/>
          <w:iCs/>
          <w:color w:val="000000" w:themeColor="text1"/>
          <w:sz w:val="20"/>
          <w:szCs w:val="20"/>
        </w:rPr>
      </w:pPr>
      <w:r w:rsidRPr="00001536">
        <w:rPr>
          <w:rFonts w:ascii="Arial" w:hAnsi="Arial" w:cs="Arial"/>
          <w:iCs/>
          <w:color w:val="000000" w:themeColor="text1"/>
          <w:sz w:val="20"/>
          <w:szCs w:val="20"/>
        </w:rPr>
        <w:t>Learning and Teaching Methods:</w:t>
      </w:r>
    </w:p>
    <w:p w:rsidR="003759F2" w:rsidRPr="00001536" w:rsidRDefault="003759F2" w:rsidP="005E6D38">
      <w:pPr>
        <w:spacing w:before="60" w:after="60" w:line="240" w:lineRule="auto"/>
        <w:ind w:left="426" w:right="-330"/>
        <w:rPr>
          <w:rFonts w:ascii="Arial" w:hAnsi="Arial" w:cs="Arial"/>
          <w:iCs/>
          <w:color w:val="000000" w:themeColor="text1"/>
          <w:sz w:val="20"/>
          <w:szCs w:val="20"/>
        </w:rPr>
      </w:pPr>
      <w:r w:rsidRPr="00001536">
        <w:rPr>
          <w:rFonts w:ascii="Arial" w:hAnsi="Arial" w:cs="Arial"/>
          <w:iCs/>
          <w:color w:val="000000" w:themeColor="text1"/>
          <w:sz w:val="20"/>
          <w:szCs w:val="20"/>
        </w:rPr>
        <w:t>Contact Hours:</w:t>
      </w:r>
      <w:r w:rsidRPr="00001536">
        <w:rPr>
          <w:rFonts w:ascii="Arial" w:hAnsi="Arial" w:cs="Arial"/>
          <w:iCs/>
          <w:color w:val="000000" w:themeColor="text1"/>
          <w:sz w:val="20"/>
          <w:szCs w:val="20"/>
        </w:rPr>
        <w:tab/>
        <w:t>Lectures</w:t>
      </w:r>
      <w:r w:rsidRPr="00001536">
        <w:rPr>
          <w:rFonts w:ascii="Arial" w:hAnsi="Arial" w:cs="Arial"/>
          <w:iCs/>
          <w:color w:val="000000" w:themeColor="text1"/>
          <w:sz w:val="20"/>
          <w:szCs w:val="20"/>
        </w:rPr>
        <w:tab/>
      </w:r>
      <w:r w:rsidRPr="00001536">
        <w:rPr>
          <w:rFonts w:ascii="Arial" w:hAnsi="Arial" w:cs="Arial"/>
          <w:iCs/>
          <w:color w:val="000000" w:themeColor="text1"/>
          <w:sz w:val="20"/>
          <w:szCs w:val="20"/>
        </w:rPr>
        <w:tab/>
        <w:t>24 hours</w:t>
      </w:r>
    </w:p>
    <w:p w:rsidR="003759F2" w:rsidRPr="00001536" w:rsidRDefault="003759F2" w:rsidP="003759F2">
      <w:pPr>
        <w:spacing w:before="60" w:after="60" w:line="240" w:lineRule="auto"/>
        <w:ind w:left="1866" w:right="-330" w:firstLine="294"/>
        <w:rPr>
          <w:rFonts w:ascii="Arial" w:hAnsi="Arial" w:cs="Arial"/>
          <w:iCs/>
          <w:color w:val="000000" w:themeColor="text1"/>
          <w:sz w:val="20"/>
          <w:szCs w:val="20"/>
        </w:rPr>
      </w:pPr>
      <w:r w:rsidRPr="00001536">
        <w:rPr>
          <w:rFonts w:ascii="Arial" w:hAnsi="Arial" w:cs="Arial"/>
          <w:iCs/>
          <w:color w:val="000000" w:themeColor="text1"/>
          <w:sz w:val="20"/>
          <w:szCs w:val="20"/>
        </w:rPr>
        <w:t>Laboratory Practicals</w:t>
      </w:r>
      <w:r w:rsidRPr="00001536">
        <w:rPr>
          <w:rFonts w:ascii="Arial" w:hAnsi="Arial" w:cs="Arial"/>
          <w:iCs/>
          <w:color w:val="000000" w:themeColor="text1"/>
          <w:sz w:val="20"/>
          <w:szCs w:val="20"/>
        </w:rPr>
        <w:tab/>
        <w:t>18 hours</w:t>
      </w:r>
    </w:p>
    <w:p w:rsidR="003759F2" w:rsidRPr="00001536" w:rsidRDefault="003759F2" w:rsidP="003759F2">
      <w:pPr>
        <w:spacing w:before="60" w:after="60" w:line="240" w:lineRule="auto"/>
        <w:ind w:left="1866" w:right="-330" w:firstLine="294"/>
        <w:rPr>
          <w:rFonts w:ascii="Arial" w:hAnsi="Arial" w:cs="Arial"/>
          <w:iCs/>
          <w:color w:val="000000" w:themeColor="text1"/>
          <w:sz w:val="20"/>
          <w:szCs w:val="20"/>
        </w:rPr>
      </w:pPr>
      <w:r w:rsidRPr="00001536">
        <w:rPr>
          <w:rFonts w:ascii="Arial" w:hAnsi="Arial" w:cs="Arial"/>
          <w:iCs/>
          <w:color w:val="000000" w:themeColor="text1"/>
          <w:sz w:val="20"/>
          <w:szCs w:val="20"/>
        </w:rPr>
        <w:t>Examples classes</w:t>
      </w:r>
      <w:r w:rsidRPr="00001536">
        <w:rPr>
          <w:rFonts w:ascii="Arial" w:hAnsi="Arial" w:cs="Arial"/>
          <w:iCs/>
          <w:color w:val="000000" w:themeColor="text1"/>
          <w:sz w:val="20"/>
          <w:szCs w:val="20"/>
        </w:rPr>
        <w:tab/>
        <w:t>3 hours</w:t>
      </w:r>
    </w:p>
    <w:p w:rsidR="003759F2" w:rsidRPr="00001536" w:rsidRDefault="003759F2" w:rsidP="003759F2">
      <w:pPr>
        <w:spacing w:before="60" w:after="60" w:line="240" w:lineRule="auto"/>
        <w:ind w:right="-330" w:firstLine="426"/>
        <w:rPr>
          <w:rFonts w:ascii="Arial" w:hAnsi="Arial" w:cs="Arial"/>
          <w:iCs/>
          <w:color w:val="000000" w:themeColor="text1"/>
          <w:sz w:val="20"/>
          <w:szCs w:val="20"/>
        </w:rPr>
      </w:pPr>
      <w:r w:rsidRPr="00001536">
        <w:rPr>
          <w:rFonts w:ascii="Arial" w:hAnsi="Arial" w:cs="Arial"/>
          <w:iCs/>
          <w:color w:val="000000" w:themeColor="text1"/>
          <w:sz w:val="20"/>
          <w:szCs w:val="20"/>
        </w:rPr>
        <w:lastRenderedPageBreak/>
        <w:t>Private Study*</w:t>
      </w:r>
      <w:r w:rsidR="009638D5" w:rsidRPr="00001536">
        <w:rPr>
          <w:rFonts w:ascii="Arial" w:hAnsi="Arial" w:cs="Arial"/>
          <w:iCs/>
          <w:color w:val="000000" w:themeColor="text1"/>
          <w:sz w:val="20"/>
          <w:szCs w:val="20"/>
        </w:rPr>
        <w:t>:</w:t>
      </w:r>
      <w:r w:rsidRPr="00001536">
        <w:rPr>
          <w:rFonts w:ascii="Arial" w:hAnsi="Arial" w:cs="Arial"/>
          <w:iCs/>
          <w:color w:val="000000" w:themeColor="text1"/>
          <w:sz w:val="20"/>
          <w:szCs w:val="20"/>
        </w:rPr>
        <w:tab/>
      </w:r>
      <w:r w:rsidRPr="00001536">
        <w:rPr>
          <w:rFonts w:ascii="Arial" w:hAnsi="Arial" w:cs="Arial"/>
          <w:iCs/>
          <w:color w:val="000000" w:themeColor="text1"/>
          <w:sz w:val="20"/>
          <w:szCs w:val="20"/>
        </w:rPr>
        <w:tab/>
      </w:r>
      <w:r w:rsidRPr="00001536">
        <w:rPr>
          <w:rFonts w:ascii="Arial" w:hAnsi="Arial" w:cs="Arial"/>
          <w:iCs/>
          <w:color w:val="000000" w:themeColor="text1"/>
          <w:sz w:val="20"/>
          <w:szCs w:val="20"/>
        </w:rPr>
        <w:tab/>
      </w:r>
      <w:r w:rsidRPr="00001536">
        <w:rPr>
          <w:rFonts w:ascii="Arial" w:hAnsi="Arial" w:cs="Arial"/>
          <w:iCs/>
          <w:color w:val="000000" w:themeColor="text1"/>
          <w:sz w:val="20"/>
          <w:szCs w:val="20"/>
        </w:rPr>
        <w:tab/>
        <w:t>105 hours</w:t>
      </w:r>
    </w:p>
    <w:p w:rsidR="009638D5" w:rsidRPr="00001536" w:rsidRDefault="003759F2" w:rsidP="003759F2">
      <w:pPr>
        <w:spacing w:before="60" w:after="60" w:line="240" w:lineRule="auto"/>
        <w:ind w:right="-330" w:firstLine="709"/>
        <w:rPr>
          <w:rFonts w:ascii="Arial" w:hAnsi="Arial" w:cs="Arial"/>
          <w:iCs/>
          <w:color w:val="000000" w:themeColor="text1"/>
          <w:sz w:val="20"/>
          <w:szCs w:val="20"/>
        </w:rPr>
      </w:pPr>
      <w:r w:rsidRPr="00001536">
        <w:rPr>
          <w:rFonts w:ascii="Arial" w:hAnsi="Arial" w:cs="Arial"/>
          <w:iCs/>
          <w:color w:val="000000" w:themeColor="text1"/>
          <w:sz w:val="20"/>
          <w:szCs w:val="20"/>
        </w:rPr>
        <w:t>* Private study to include practical write-ups and preparatory work for examples classes.</w:t>
      </w:r>
    </w:p>
    <w:p w:rsidR="003759F2" w:rsidRPr="00001536" w:rsidRDefault="009638D5" w:rsidP="009638D5">
      <w:pPr>
        <w:spacing w:before="60" w:after="60" w:line="240" w:lineRule="auto"/>
        <w:ind w:right="-330" w:firstLine="426"/>
        <w:rPr>
          <w:rFonts w:ascii="Arial" w:hAnsi="Arial" w:cs="Arial"/>
          <w:iCs/>
          <w:color w:val="000000" w:themeColor="text1"/>
          <w:sz w:val="20"/>
          <w:szCs w:val="20"/>
        </w:rPr>
      </w:pPr>
      <w:r w:rsidRPr="00001536">
        <w:rPr>
          <w:rFonts w:ascii="Arial" w:hAnsi="Arial" w:cs="Arial"/>
          <w:iCs/>
          <w:color w:val="000000" w:themeColor="text1"/>
          <w:sz w:val="20"/>
          <w:szCs w:val="20"/>
        </w:rPr>
        <w:t>Total Study Hours:</w:t>
      </w:r>
      <w:r w:rsidRPr="00001536">
        <w:rPr>
          <w:rFonts w:ascii="Arial" w:hAnsi="Arial" w:cs="Arial"/>
          <w:iCs/>
          <w:color w:val="000000" w:themeColor="text1"/>
          <w:sz w:val="20"/>
          <w:szCs w:val="20"/>
        </w:rPr>
        <w:tab/>
      </w:r>
      <w:r w:rsidRPr="00001536">
        <w:rPr>
          <w:rFonts w:ascii="Arial" w:hAnsi="Arial" w:cs="Arial"/>
          <w:iCs/>
          <w:color w:val="000000" w:themeColor="text1"/>
          <w:sz w:val="20"/>
          <w:szCs w:val="20"/>
        </w:rPr>
        <w:tab/>
      </w:r>
      <w:r w:rsidRPr="00001536">
        <w:rPr>
          <w:rFonts w:ascii="Arial" w:hAnsi="Arial" w:cs="Arial"/>
          <w:iCs/>
          <w:color w:val="000000" w:themeColor="text1"/>
          <w:sz w:val="20"/>
          <w:szCs w:val="20"/>
        </w:rPr>
        <w:tab/>
      </w:r>
      <w:r w:rsidRPr="00001536">
        <w:rPr>
          <w:rFonts w:ascii="Arial" w:hAnsi="Arial" w:cs="Arial"/>
          <w:iCs/>
          <w:color w:val="000000" w:themeColor="text1"/>
          <w:sz w:val="20"/>
          <w:szCs w:val="20"/>
        </w:rPr>
        <w:tab/>
        <w:t>150 hours.</w:t>
      </w:r>
    </w:p>
    <w:p w:rsidR="009A1E9E" w:rsidRPr="00001536" w:rsidRDefault="009A1E9E" w:rsidP="00281688">
      <w:pPr>
        <w:spacing w:before="60" w:after="60" w:line="240" w:lineRule="auto"/>
        <w:ind w:left="426" w:right="-330"/>
        <w:rPr>
          <w:rFonts w:ascii="Arial" w:hAnsi="Arial" w:cs="Arial"/>
          <w:i/>
          <w:iCs/>
          <w:color w:val="000000" w:themeColor="text1"/>
          <w:sz w:val="20"/>
          <w:szCs w:val="20"/>
        </w:rPr>
      </w:pPr>
    </w:p>
    <w:p w:rsidR="00316EEA" w:rsidRPr="00001536" w:rsidRDefault="00281688" w:rsidP="00281688">
      <w:pPr>
        <w:spacing w:before="60" w:after="60" w:line="240" w:lineRule="auto"/>
        <w:ind w:left="426" w:right="-330"/>
        <w:rPr>
          <w:rFonts w:ascii="Arial" w:hAnsi="Arial" w:cs="Arial"/>
          <w:iCs/>
          <w:color w:val="000000" w:themeColor="text1"/>
          <w:sz w:val="20"/>
          <w:szCs w:val="20"/>
        </w:rPr>
      </w:pPr>
      <w:r w:rsidRPr="00001536">
        <w:rPr>
          <w:rFonts w:ascii="Arial" w:hAnsi="Arial" w:cs="Arial"/>
          <w:iCs/>
          <w:color w:val="000000" w:themeColor="text1"/>
          <w:sz w:val="20"/>
          <w:szCs w:val="20"/>
        </w:rPr>
        <w:t>Learning Outcomes:</w:t>
      </w:r>
    </w:p>
    <w:p w:rsidR="00316EEA" w:rsidRPr="00001536" w:rsidRDefault="00683547" w:rsidP="00281688">
      <w:pPr>
        <w:spacing w:before="60" w:after="60" w:line="240" w:lineRule="auto"/>
        <w:ind w:left="426" w:right="-330"/>
        <w:rPr>
          <w:rFonts w:ascii="Arial" w:hAnsi="Arial" w:cs="Arial"/>
          <w:iCs/>
          <w:color w:val="000000" w:themeColor="text1"/>
          <w:sz w:val="20"/>
          <w:szCs w:val="20"/>
        </w:rPr>
      </w:pPr>
      <w:r w:rsidRPr="00001536">
        <w:rPr>
          <w:rFonts w:ascii="Arial" w:hAnsi="Arial" w:cs="Arial"/>
          <w:iCs/>
          <w:color w:val="000000" w:themeColor="text1"/>
          <w:sz w:val="20"/>
          <w:szCs w:val="20"/>
        </w:rPr>
        <w:t>Lectures : 11.A1, 11.A3, 11.A4, 11.B1, 11.B2</w:t>
      </w:r>
    </w:p>
    <w:p w:rsidR="00316EEA" w:rsidRPr="00001536" w:rsidRDefault="00683547" w:rsidP="00316EEA">
      <w:pPr>
        <w:spacing w:before="60" w:after="60" w:line="240" w:lineRule="auto"/>
        <w:ind w:left="426" w:right="-330"/>
        <w:rPr>
          <w:rFonts w:ascii="Arial" w:hAnsi="Arial" w:cs="Arial"/>
          <w:iCs/>
          <w:color w:val="000000" w:themeColor="text1"/>
          <w:sz w:val="20"/>
          <w:szCs w:val="20"/>
        </w:rPr>
      </w:pPr>
      <w:r w:rsidRPr="00001536">
        <w:rPr>
          <w:rFonts w:ascii="Arial" w:hAnsi="Arial" w:cs="Arial"/>
          <w:iCs/>
          <w:color w:val="000000" w:themeColor="text1"/>
          <w:sz w:val="20"/>
          <w:szCs w:val="20"/>
        </w:rPr>
        <w:t>Laboratory Practicals: 11.C1, 11.C2</w:t>
      </w:r>
      <w:r w:rsidR="00316EEA" w:rsidRPr="00001536">
        <w:rPr>
          <w:rFonts w:ascii="Arial" w:hAnsi="Arial" w:cs="Arial"/>
          <w:iCs/>
          <w:color w:val="000000" w:themeColor="text1"/>
          <w:sz w:val="20"/>
          <w:szCs w:val="20"/>
        </w:rPr>
        <w:t>, 1</w:t>
      </w:r>
      <w:r w:rsidRPr="00001536">
        <w:rPr>
          <w:rFonts w:ascii="Arial" w:hAnsi="Arial" w:cs="Arial"/>
          <w:iCs/>
          <w:color w:val="000000" w:themeColor="text1"/>
          <w:sz w:val="20"/>
          <w:szCs w:val="20"/>
        </w:rPr>
        <w:t>1.C3, 12.D3, 12.D7, 12.D8</w:t>
      </w:r>
    </w:p>
    <w:p w:rsidR="00316EEA" w:rsidRPr="00001536" w:rsidRDefault="00683547" w:rsidP="00281688">
      <w:pPr>
        <w:spacing w:before="60" w:after="60" w:line="240" w:lineRule="auto"/>
        <w:ind w:left="426" w:right="-330"/>
        <w:rPr>
          <w:rFonts w:ascii="Arial" w:hAnsi="Arial" w:cs="Arial"/>
          <w:iCs/>
          <w:color w:val="000000" w:themeColor="text1"/>
          <w:sz w:val="20"/>
          <w:szCs w:val="20"/>
        </w:rPr>
      </w:pPr>
      <w:r w:rsidRPr="00001536">
        <w:rPr>
          <w:rFonts w:ascii="Arial" w:hAnsi="Arial" w:cs="Arial"/>
          <w:iCs/>
          <w:color w:val="000000" w:themeColor="text1"/>
          <w:sz w:val="20"/>
          <w:szCs w:val="20"/>
        </w:rPr>
        <w:t>Examples Classes: 11.B2, 11.C3</w:t>
      </w:r>
      <w:r w:rsidR="00316EEA" w:rsidRPr="00001536">
        <w:rPr>
          <w:rFonts w:ascii="Arial" w:hAnsi="Arial" w:cs="Arial"/>
          <w:iCs/>
          <w:color w:val="000000" w:themeColor="text1"/>
          <w:sz w:val="20"/>
          <w:szCs w:val="20"/>
        </w:rPr>
        <w:t xml:space="preserve">, </w:t>
      </w:r>
      <w:r w:rsidRPr="00001536">
        <w:rPr>
          <w:rFonts w:ascii="Arial" w:hAnsi="Arial" w:cs="Arial"/>
          <w:iCs/>
          <w:color w:val="000000" w:themeColor="text1"/>
          <w:sz w:val="20"/>
          <w:szCs w:val="20"/>
        </w:rPr>
        <w:t xml:space="preserve">12.D1, </w:t>
      </w:r>
      <w:r w:rsidR="00316EEA" w:rsidRPr="00001536">
        <w:rPr>
          <w:rFonts w:ascii="Arial" w:hAnsi="Arial" w:cs="Arial"/>
          <w:iCs/>
          <w:color w:val="000000" w:themeColor="text1"/>
          <w:sz w:val="20"/>
          <w:szCs w:val="20"/>
        </w:rPr>
        <w:t>1</w:t>
      </w:r>
      <w:r w:rsidRPr="00001536">
        <w:rPr>
          <w:rFonts w:ascii="Arial" w:hAnsi="Arial" w:cs="Arial"/>
          <w:iCs/>
          <w:color w:val="000000" w:themeColor="text1"/>
          <w:sz w:val="20"/>
          <w:szCs w:val="20"/>
        </w:rPr>
        <w:t>2.D3</w:t>
      </w:r>
    </w:p>
    <w:p w:rsidR="00683547" w:rsidRPr="00001536" w:rsidRDefault="00683547" w:rsidP="00281688">
      <w:pPr>
        <w:spacing w:before="60" w:after="60" w:line="240" w:lineRule="auto"/>
        <w:ind w:left="426" w:right="-330"/>
        <w:rPr>
          <w:rFonts w:ascii="Arial" w:hAnsi="Arial" w:cs="Arial"/>
          <w:iCs/>
          <w:color w:val="000000" w:themeColor="text1"/>
          <w:sz w:val="20"/>
          <w:szCs w:val="20"/>
        </w:rPr>
      </w:pPr>
      <w:r w:rsidRPr="00001536">
        <w:rPr>
          <w:rFonts w:ascii="Arial" w:hAnsi="Arial" w:cs="Arial"/>
          <w:iCs/>
          <w:color w:val="000000" w:themeColor="text1"/>
          <w:sz w:val="20"/>
          <w:szCs w:val="20"/>
        </w:rPr>
        <w:t>Self-study: 12.D1, 12.D2, 12.D3, 12.D4, 12.D7, 12.D8</w:t>
      </w:r>
    </w:p>
    <w:p w:rsidR="00281688" w:rsidRPr="00001536" w:rsidRDefault="00281688" w:rsidP="00281688">
      <w:pPr>
        <w:spacing w:before="60" w:after="60" w:line="240" w:lineRule="auto"/>
        <w:ind w:left="426" w:right="-330"/>
        <w:rPr>
          <w:rFonts w:ascii="Arial" w:hAnsi="Arial" w:cs="Arial"/>
          <w:iCs/>
          <w:color w:val="000000" w:themeColor="text1"/>
          <w:sz w:val="20"/>
          <w:szCs w:val="20"/>
        </w:rPr>
      </w:pPr>
    </w:p>
    <w:p w:rsidR="00472023" w:rsidRPr="00001536" w:rsidRDefault="00472023" w:rsidP="005E6D38">
      <w:pPr>
        <w:spacing w:before="60" w:after="60" w:line="240" w:lineRule="auto"/>
        <w:ind w:left="426" w:right="-330"/>
        <w:rPr>
          <w:rFonts w:ascii="Arial" w:hAnsi="Arial" w:cs="Arial"/>
          <w:i/>
          <w:iCs/>
          <w:color w:val="000000" w:themeColor="text1"/>
          <w:sz w:val="20"/>
          <w:szCs w:val="20"/>
        </w:rPr>
      </w:pPr>
    </w:p>
    <w:p w:rsidR="00567EC9" w:rsidRPr="00001536" w:rsidRDefault="00567EC9"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Assessment methods and how these relate to testing achievement of the intended</w:t>
      </w:r>
      <w:r w:rsidR="008102E5" w:rsidRPr="00001536">
        <w:rPr>
          <w:rFonts w:ascii="Arial" w:hAnsi="Arial" w:cs="Arial"/>
          <w:color w:val="000000" w:themeColor="text1"/>
          <w:sz w:val="20"/>
          <w:szCs w:val="20"/>
        </w:rPr>
        <w:t xml:space="preserve"> module</w:t>
      </w:r>
      <w:r w:rsidRPr="00001536">
        <w:rPr>
          <w:rFonts w:ascii="Arial" w:hAnsi="Arial" w:cs="Arial"/>
          <w:color w:val="000000" w:themeColor="text1"/>
          <w:sz w:val="20"/>
          <w:szCs w:val="20"/>
        </w:rPr>
        <w:t xml:space="preserve"> learning outcomes</w:t>
      </w:r>
    </w:p>
    <w:p w:rsidR="00104B39" w:rsidRPr="00001536" w:rsidRDefault="00316EEA" w:rsidP="005E6D38">
      <w:pPr>
        <w:spacing w:before="60" w:after="60" w:line="240" w:lineRule="auto"/>
        <w:ind w:left="426" w:right="-330"/>
        <w:rPr>
          <w:rFonts w:ascii="Arial" w:hAnsi="Arial" w:cs="Arial"/>
          <w:iCs/>
          <w:color w:val="000000" w:themeColor="text1"/>
          <w:sz w:val="20"/>
          <w:szCs w:val="20"/>
        </w:rPr>
      </w:pPr>
      <w:r w:rsidRPr="00001536">
        <w:rPr>
          <w:rFonts w:ascii="Arial" w:hAnsi="Arial" w:cs="Arial"/>
          <w:iCs/>
          <w:color w:val="000000" w:themeColor="text1"/>
          <w:sz w:val="20"/>
          <w:szCs w:val="20"/>
        </w:rPr>
        <w:t>Laboratory Practical Write-up (</w:t>
      </w:r>
      <w:r w:rsidR="00104B39" w:rsidRPr="00001536">
        <w:rPr>
          <w:rFonts w:ascii="Arial" w:hAnsi="Arial" w:cs="Arial"/>
          <w:iCs/>
          <w:color w:val="000000" w:themeColor="text1"/>
          <w:sz w:val="20"/>
          <w:szCs w:val="20"/>
        </w:rPr>
        <w:t>18 hours):15% (</w:t>
      </w:r>
      <w:r w:rsidR="00683547" w:rsidRPr="00001536">
        <w:rPr>
          <w:rFonts w:ascii="Arial" w:hAnsi="Arial" w:cs="Arial"/>
          <w:iCs/>
          <w:color w:val="000000" w:themeColor="text1"/>
          <w:sz w:val="20"/>
          <w:szCs w:val="20"/>
        </w:rPr>
        <w:t>11.C1, 11.C2, 11.C3</w:t>
      </w:r>
      <w:r w:rsidR="005E0013">
        <w:rPr>
          <w:rFonts w:ascii="Arial" w:hAnsi="Arial" w:cs="Arial"/>
          <w:iCs/>
          <w:color w:val="000000" w:themeColor="text1"/>
          <w:sz w:val="20"/>
          <w:szCs w:val="20"/>
        </w:rPr>
        <w:t>, 12.D1, 12.D2, 12.D3, 12.D7, 12.D8</w:t>
      </w:r>
      <w:r w:rsidR="00104B39" w:rsidRPr="00001536">
        <w:rPr>
          <w:rFonts w:ascii="Arial" w:hAnsi="Arial" w:cs="Arial"/>
          <w:iCs/>
          <w:color w:val="000000" w:themeColor="text1"/>
          <w:sz w:val="20"/>
          <w:szCs w:val="20"/>
        </w:rPr>
        <w:t>)</w:t>
      </w:r>
    </w:p>
    <w:p w:rsidR="00104B39" w:rsidRPr="00001536" w:rsidRDefault="009D40CD" w:rsidP="005E6D38">
      <w:pPr>
        <w:spacing w:before="60" w:after="60" w:line="240" w:lineRule="auto"/>
        <w:ind w:left="426" w:right="-330"/>
        <w:rPr>
          <w:rFonts w:ascii="Arial" w:hAnsi="Arial" w:cs="Arial"/>
          <w:iCs/>
          <w:color w:val="000000" w:themeColor="text1"/>
          <w:sz w:val="20"/>
          <w:szCs w:val="20"/>
        </w:rPr>
      </w:pPr>
      <w:r>
        <w:rPr>
          <w:rFonts w:ascii="Arial" w:hAnsi="Arial" w:cs="Arial"/>
          <w:iCs/>
          <w:color w:val="000000" w:themeColor="text1"/>
          <w:sz w:val="20"/>
          <w:szCs w:val="20"/>
        </w:rPr>
        <w:t>Coursework Assessment</w:t>
      </w:r>
      <w:r w:rsidR="00104B39" w:rsidRPr="00001536">
        <w:rPr>
          <w:rFonts w:ascii="Arial" w:hAnsi="Arial" w:cs="Arial"/>
          <w:iCs/>
          <w:color w:val="000000" w:themeColor="text1"/>
          <w:sz w:val="20"/>
          <w:szCs w:val="20"/>
        </w:rPr>
        <w:t>: 10% (</w:t>
      </w:r>
      <w:r w:rsidR="00683547" w:rsidRPr="00001536">
        <w:rPr>
          <w:rFonts w:ascii="Arial" w:hAnsi="Arial" w:cs="Arial"/>
          <w:iCs/>
          <w:color w:val="000000" w:themeColor="text1"/>
          <w:sz w:val="20"/>
          <w:szCs w:val="20"/>
        </w:rPr>
        <w:t>11.A1, 11.A3, 11.A4, 11.B1</w:t>
      </w:r>
      <w:r w:rsidR="005E0013">
        <w:rPr>
          <w:rFonts w:ascii="Arial" w:hAnsi="Arial" w:cs="Arial"/>
          <w:iCs/>
          <w:color w:val="000000" w:themeColor="text1"/>
          <w:sz w:val="20"/>
          <w:szCs w:val="20"/>
        </w:rPr>
        <w:t>, 11.B2. 12.D3, 12.D4</w:t>
      </w:r>
      <w:r w:rsidR="00104B39" w:rsidRPr="00001536">
        <w:rPr>
          <w:rFonts w:ascii="Arial" w:hAnsi="Arial" w:cs="Arial"/>
          <w:iCs/>
          <w:color w:val="000000" w:themeColor="text1"/>
          <w:sz w:val="20"/>
          <w:szCs w:val="20"/>
        </w:rPr>
        <w:t>)</w:t>
      </w:r>
    </w:p>
    <w:p w:rsidR="00316EEA" w:rsidRPr="00001536" w:rsidRDefault="00104B39" w:rsidP="005E6D38">
      <w:pPr>
        <w:spacing w:before="60" w:after="60" w:line="240" w:lineRule="auto"/>
        <w:ind w:left="426" w:right="-330"/>
        <w:rPr>
          <w:rFonts w:ascii="Arial" w:hAnsi="Arial" w:cs="Arial"/>
          <w:iCs/>
          <w:color w:val="000000" w:themeColor="text1"/>
          <w:sz w:val="20"/>
          <w:szCs w:val="20"/>
        </w:rPr>
      </w:pPr>
      <w:r w:rsidRPr="00001536">
        <w:rPr>
          <w:rFonts w:ascii="Arial" w:hAnsi="Arial" w:cs="Arial"/>
          <w:iCs/>
          <w:color w:val="000000" w:themeColor="text1"/>
          <w:sz w:val="20"/>
          <w:szCs w:val="20"/>
        </w:rPr>
        <w:t>Final Exam: 75% (</w:t>
      </w:r>
      <w:r w:rsidR="00683547" w:rsidRPr="00001536">
        <w:rPr>
          <w:rFonts w:ascii="Arial" w:hAnsi="Arial" w:cs="Arial"/>
          <w:iCs/>
          <w:color w:val="000000" w:themeColor="text1"/>
          <w:sz w:val="20"/>
          <w:szCs w:val="20"/>
        </w:rPr>
        <w:t>11.A1, 11.A3, 11.A4, 11.B1</w:t>
      </w:r>
      <w:r w:rsidR="005E0013">
        <w:rPr>
          <w:rFonts w:ascii="Arial" w:hAnsi="Arial" w:cs="Arial"/>
          <w:iCs/>
          <w:color w:val="000000" w:themeColor="text1"/>
          <w:sz w:val="20"/>
          <w:szCs w:val="20"/>
        </w:rPr>
        <w:t>, 11.B2, 12.D4</w:t>
      </w:r>
      <w:r w:rsidRPr="00001536">
        <w:rPr>
          <w:rFonts w:ascii="Arial" w:hAnsi="Arial" w:cs="Arial"/>
          <w:iCs/>
          <w:color w:val="000000" w:themeColor="text1"/>
          <w:sz w:val="20"/>
          <w:szCs w:val="20"/>
        </w:rPr>
        <w:t>)</w:t>
      </w:r>
    </w:p>
    <w:p w:rsidR="00472023" w:rsidRPr="00001536" w:rsidRDefault="00472023" w:rsidP="005E6D38">
      <w:pPr>
        <w:keepNext/>
        <w:keepLines/>
        <w:spacing w:before="60" w:after="60" w:line="240" w:lineRule="auto"/>
        <w:ind w:left="426" w:right="-330"/>
        <w:rPr>
          <w:rFonts w:ascii="Arial" w:hAnsi="Arial" w:cs="Arial"/>
          <w:i/>
          <w:iCs/>
          <w:color w:val="000000" w:themeColor="text1"/>
          <w:sz w:val="20"/>
          <w:szCs w:val="20"/>
        </w:rPr>
      </w:pPr>
    </w:p>
    <w:p w:rsidR="00567EC9" w:rsidRPr="00001536" w:rsidRDefault="00567EC9" w:rsidP="005E6D38">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Implications for learning resources, including staff, library, IT and space</w:t>
      </w:r>
    </w:p>
    <w:p w:rsidR="00472023" w:rsidRPr="00001536" w:rsidRDefault="00382F58" w:rsidP="00BD5F14">
      <w:pPr>
        <w:spacing w:before="60" w:after="60" w:line="240" w:lineRule="auto"/>
        <w:ind w:left="426" w:right="-330"/>
        <w:rPr>
          <w:rFonts w:ascii="Arial" w:hAnsi="Arial" w:cs="Arial"/>
          <w:i/>
          <w:iCs/>
          <w:color w:val="000000" w:themeColor="text1"/>
          <w:sz w:val="20"/>
          <w:szCs w:val="20"/>
        </w:rPr>
      </w:pPr>
      <w:r w:rsidRPr="00001536">
        <w:rPr>
          <w:rFonts w:ascii="Arial" w:hAnsi="Arial" w:cs="Arial"/>
          <w:iCs/>
          <w:color w:val="000000" w:themeColor="text1"/>
          <w:sz w:val="20"/>
          <w:szCs w:val="20"/>
        </w:rPr>
        <w:t>Lecture courses and workshops will require appropriate room allocation from existing facilities.  The practical component will require both laboratory facilities and, as no current laboratory experimental procedures exist for this module, their development is required.  Library resources for literature and self-study, already in place, will be required, coupled with Moodle for rolling assessment.</w:t>
      </w:r>
      <w:r w:rsidR="009A1E9E" w:rsidRPr="00001536">
        <w:rPr>
          <w:rFonts w:ascii="Arial" w:hAnsi="Arial" w:cs="Arial"/>
          <w:i/>
          <w:iCs/>
          <w:color w:val="000000" w:themeColor="text1"/>
          <w:sz w:val="20"/>
          <w:szCs w:val="20"/>
        </w:rPr>
        <w:t xml:space="preserve"> </w:t>
      </w:r>
    </w:p>
    <w:p w:rsidR="00382F58" w:rsidRPr="00001536" w:rsidRDefault="00567EC9" w:rsidP="0018157F">
      <w:pPr>
        <w:numPr>
          <w:ilvl w:val="0"/>
          <w:numId w:val="3"/>
        </w:numPr>
        <w:spacing w:before="60" w:after="60" w:line="240" w:lineRule="auto"/>
        <w:ind w:left="426" w:right="-330" w:hanging="426"/>
        <w:jc w:val="both"/>
        <w:rPr>
          <w:rFonts w:ascii="Arial" w:hAnsi="Arial" w:cs="Arial"/>
          <w:color w:val="000000" w:themeColor="text1"/>
          <w:sz w:val="20"/>
          <w:szCs w:val="20"/>
        </w:rPr>
      </w:pPr>
      <w:r w:rsidRPr="00001536">
        <w:rPr>
          <w:rFonts w:ascii="Arial" w:hAnsi="Arial" w:cs="Arial"/>
          <w:color w:val="000000" w:themeColor="text1"/>
          <w:sz w:val="20"/>
          <w:szCs w:val="20"/>
        </w:rPr>
        <w:t>The School/Collaborative Partner (delete as applicable)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Pr="00001536" w:rsidRDefault="002F0CE4" w:rsidP="005E6D38">
      <w:pPr>
        <w:spacing w:before="60" w:after="60" w:line="240" w:lineRule="auto"/>
        <w:ind w:left="426" w:right="-330"/>
        <w:rPr>
          <w:rFonts w:ascii="Arial" w:hAnsi="Arial" w:cs="Arial"/>
          <w:i/>
          <w:iCs/>
          <w:color w:val="000000" w:themeColor="text1"/>
          <w:sz w:val="20"/>
          <w:szCs w:val="20"/>
        </w:rPr>
      </w:pPr>
    </w:p>
    <w:p w:rsidR="002F0CE4" w:rsidRPr="00001536" w:rsidRDefault="002F0CE4" w:rsidP="002F0CE4">
      <w:pPr>
        <w:numPr>
          <w:ilvl w:val="0"/>
          <w:numId w:val="3"/>
        </w:numPr>
        <w:spacing w:before="60" w:after="60" w:line="240" w:lineRule="auto"/>
        <w:ind w:left="426" w:right="-330" w:hanging="426"/>
        <w:jc w:val="both"/>
        <w:rPr>
          <w:rFonts w:ascii="Arial" w:hAnsi="Arial" w:cs="Arial"/>
          <w:b/>
          <w:color w:val="000000" w:themeColor="text1"/>
          <w:sz w:val="20"/>
          <w:szCs w:val="20"/>
        </w:rPr>
      </w:pPr>
      <w:r w:rsidRPr="00001536">
        <w:rPr>
          <w:rFonts w:ascii="Arial" w:hAnsi="Arial" w:cs="Arial"/>
          <w:color w:val="000000" w:themeColor="text1"/>
          <w:sz w:val="20"/>
          <w:szCs w:val="20"/>
        </w:rPr>
        <w:t>Campus(es) where module will be delivered:</w:t>
      </w:r>
      <w:r w:rsidR="0018157F" w:rsidRPr="00001536">
        <w:rPr>
          <w:rFonts w:ascii="Arial" w:hAnsi="Arial" w:cs="Arial"/>
          <w:color w:val="000000" w:themeColor="text1"/>
          <w:sz w:val="20"/>
          <w:szCs w:val="20"/>
        </w:rPr>
        <w:t xml:space="preserve"> Canterbury</w:t>
      </w:r>
    </w:p>
    <w:p w:rsidR="00472023" w:rsidRPr="00001536" w:rsidRDefault="00472023" w:rsidP="005E6D38">
      <w:pPr>
        <w:spacing w:before="60" w:after="60" w:line="240" w:lineRule="auto"/>
        <w:ind w:left="426" w:right="-330"/>
        <w:rPr>
          <w:rFonts w:ascii="Arial" w:hAnsi="Arial" w:cs="Arial"/>
          <w:i/>
          <w:iCs/>
          <w:color w:val="000000" w:themeColor="text1"/>
          <w:sz w:val="20"/>
          <w:szCs w:val="20"/>
        </w:rPr>
      </w:pPr>
    </w:p>
    <w:p w:rsidR="00BB1DFE" w:rsidRDefault="00BB1DFE" w:rsidP="005E6D38">
      <w:pPr>
        <w:ind w:right="-330"/>
        <w:jc w:val="both"/>
        <w:rPr>
          <w:rFonts w:ascii="Arial" w:hAnsi="Arial" w:cs="Arial"/>
          <w:b/>
          <w:i/>
          <w:color w:val="000000" w:themeColor="text1"/>
          <w:sz w:val="20"/>
          <w:szCs w:val="20"/>
        </w:rPr>
      </w:pPr>
    </w:p>
    <w:p w:rsidR="00BB1DFE" w:rsidRDefault="00BB1DFE" w:rsidP="005E6D38">
      <w:pPr>
        <w:ind w:right="-330"/>
        <w:jc w:val="both"/>
        <w:rPr>
          <w:rFonts w:ascii="Arial" w:hAnsi="Arial" w:cs="Arial"/>
          <w:b/>
          <w:i/>
          <w:color w:val="000000" w:themeColor="text1"/>
          <w:sz w:val="20"/>
          <w:szCs w:val="20"/>
        </w:rPr>
      </w:pPr>
    </w:p>
    <w:p w:rsidR="00BB1DFE" w:rsidRDefault="00BB1DFE" w:rsidP="005E6D38">
      <w:pPr>
        <w:ind w:right="-330"/>
        <w:jc w:val="both"/>
        <w:rPr>
          <w:rFonts w:ascii="Arial" w:hAnsi="Arial" w:cs="Arial"/>
          <w:b/>
          <w:i/>
          <w:color w:val="000000" w:themeColor="text1"/>
          <w:sz w:val="20"/>
          <w:szCs w:val="20"/>
        </w:rPr>
      </w:pPr>
    </w:p>
    <w:p w:rsidR="00BB1DFE" w:rsidRDefault="00BB1DFE" w:rsidP="005E6D38">
      <w:pPr>
        <w:ind w:right="-330"/>
        <w:jc w:val="both"/>
        <w:rPr>
          <w:rFonts w:ascii="Arial" w:hAnsi="Arial" w:cs="Arial"/>
          <w:b/>
          <w:i/>
          <w:color w:val="000000" w:themeColor="text1"/>
          <w:sz w:val="20"/>
          <w:szCs w:val="20"/>
        </w:rPr>
      </w:pPr>
    </w:p>
    <w:p w:rsidR="00BB1DFE" w:rsidRDefault="00BB1DFE" w:rsidP="005E6D38">
      <w:pPr>
        <w:ind w:right="-330"/>
        <w:jc w:val="both"/>
        <w:rPr>
          <w:rFonts w:ascii="Arial" w:hAnsi="Arial" w:cs="Arial"/>
          <w:b/>
          <w:i/>
          <w:color w:val="000000" w:themeColor="text1"/>
          <w:sz w:val="20"/>
          <w:szCs w:val="20"/>
        </w:rPr>
      </w:pPr>
    </w:p>
    <w:p w:rsidR="00BB1DFE" w:rsidRDefault="00BB1DFE" w:rsidP="005E6D38">
      <w:pPr>
        <w:ind w:right="-330"/>
        <w:jc w:val="both"/>
        <w:rPr>
          <w:rFonts w:ascii="Arial" w:hAnsi="Arial" w:cs="Arial"/>
          <w:b/>
          <w:i/>
          <w:color w:val="000000" w:themeColor="text1"/>
          <w:sz w:val="20"/>
          <w:szCs w:val="20"/>
        </w:rPr>
      </w:pPr>
    </w:p>
    <w:p w:rsidR="00BB1DFE" w:rsidRDefault="00BB1DFE" w:rsidP="005E6D38">
      <w:pPr>
        <w:ind w:right="-330"/>
        <w:jc w:val="both"/>
        <w:rPr>
          <w:rFonts w:ascii="Arial" w:hAnsi="Arial" w:cs="Arial"/>
          <w:b/>
          <w:i/>
          <w:color w:val="000000" w:themeColor="text1"/>
          <w:sz w:val="20"/>
          <w:szCs w:val="20"/>
        </w:rPr>
      </w:pPr>
    </w:p>
    <w:p w:rsidR="00BB1DFE" w:rsidRDefault="00BB1DFE" w:rsidP="005E6D38">
      <w:pPr>
        <w:ind w:right="-330"/>
        <w:jc w:val="both"/>
        <w:rPr>
          <w:rFonts w:ascii="Arial" w:hAnsi="Arial" w:cs="Arial"/>
          <w:b/>
          <w:i/>
          <w:color w:val="000000" w:themeColor="text1"/>
          <w:sz w:val="20"/>
          <w:szCs w:val="20"/>
        </w:rPr>
      </w:pPr>
    </w:p>
    <w:p w:rsidR="00BB1DFE" w:rsidRDefault="00BB1DFE" w:rsidP="005E6D38">
      <w:pPr>
        <w:ind w:right="-330"/>
        <w:jc w:val="both"/>
        <w:rPr>
          <w:rFonts w:ascii="Arial" w:hAnsi="Arial" w:cs="Arial"/>
          <w:b/>
          <w:i/>
          <w:color w:val="000000" w:themeColor="text1"/>
          <w:sz w:val="20"/>
          <w:szCs w:val="20"/>
        </w:rPr>
      </w:pPr>
    </w:p>
    <w:p w:rsidR="00BB1DFE" w:rsidRDefault="00BB1DFE" w:rsidP="005E6D38">
      <w:pPr>
        <w:ind w:right="-330"/>
        <w:jc w:val="both"/>
        <w:rPr>
          <w:rFonts w:ascii="Arial" w:hAnsi="Arial" w:cs="Arial"/>
          <w:b/>
          <w:i/>
          <w:color w:val="000000" w:themeColor="text1"/>
          <w:sz w:val="20"/>
          <w:szCs w:val="20"/>
        </w:rPr>
      </w:pPr>
    </w:p>
    <w:p w:rsidR="00BB1DFE" w:rsidRDefault="00BB1DFE" w:rsidP="005E6D38">
      <w:pPr>
        <w:ind w:right="-330"/>
        <w:jc w:val="both"/>
        <w:rPr>
          <w:rFonts w:ascii="Arial" w:hAnsi="Arial" w:cs="Arial"/>
          <w:b/>
          <w:i/>
          <w:color w:val="000000" w:themeColor="text1"/>
          <w:sz w:val="20"/>
          <w:szCs w:val="20"/>
        </w:rPr>
      </w:pPr>
    </w:p>
    <w:p w:rsidR="002465A1" w:rsidRPr="00001536" w:rsidRDefault="002465A1" w:rsidP="005E6D38">
      <w:pPr>
        <w:ind w:right="-330"/>
        <w:jc w:val="both"/>
        <w:rPr>
          <w:rFonts w:ascii="Arial" w:hAnsi="Arial" w:cs="Arial"/>
          <w:b/>
          <w:color w:val="000000" w:themeColor="text1"/>
          <w:sz w:val="20"/>
          <w:szCs w:val="20"/>
        </w:rPr>
      </w:pPr>
      <w:r w:rsidRPr="00001536">
        <w:rPr>
          <w:rFonts w:ascii="Arial" w:hAnsi="Arial" w:cs="Arial"/>
          <w:b/>
          <w:color w:val="000000" w:themeColor="text1"/>
          <w:sz w:val="20"/>
          <w:szCs w:val="20"/>
        </w:rPr>
        <w:lastRenderedPageBreak/>
        <w:t>SECTION 2: MODULE IS PART OF A PROGRAMME OF STUDY IN A UNIVERSITY SCHOOL</w:t>
      </w: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b/>
          <w:color w:val="000000" w:themeColor="text1"/>
          <w:sz w:val="20"/>
          <w:szCs w:val="20"/>
        </w:rPr>
        <w:t xml:space="preserve">Statement by the School Director of Learning and Teaching/School Director of Graduate Studies (as appropriate): </w:t>
      </w:r>
      <w:r w:rsidRPr="00001536">
        <w:rPr>
          <w:rFonts w:ascii="Arial" w:hAnsi="Arial" w:cs="Arial"/>
          <w:color w:val="000000" w:themeColor="text1"/>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01536" w:rsidRPr="00001536" w:rsidTr="000E3B73">
        <w:trPr>
          <w:trHeight w:val="675"/>
        </w:trPr>
        <w:tc>
          <w:tcPr>
            <w:tcW w:w="5133" w:type="dxa"/>
          </w:tcPr>
          <w:p w:rsidR="002465A1" w:rsidRPr="00001536" w:rsidRDefault="002465A1" w:rsidP="005E6D38">
            <w:pPr>
              <w:spacing w:after="120"/>
              <w:ind w:right="-330"/>
              <w:jc w:val="both"/>
              <w:rPr>
                <w:rFonts w:ascii="Arial" w:hAnsi="Arial" w:cs="Arial"/>
                <w:color w:val="000000" w:themeColor="text1"/>
                <w:sz w:val="20"/>
                <w:szCs w:val="20"/>
              </w:rPr>
            </w:pP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color w:val="000000" w:themeColor="text1"/>
                <w:sz w:val="20"/>
                <w:szCs w:val="20"/>
              </w:rPr>
              <w:t>................................................................</w:t>
            </w:r>
          </w:p>
          <w:p w:rsidR="002465A1" w:rsidRPr="00001536" w:rsidRDefault="002465A1" w:rsidP="005E6D38">
            <w:pPr>
              <w:spacing w:after="120"/>
              <w:ind w:right="66"/>
              <w:rPr>
                <w:rFonts w:ascii="Arial" w:hAnsi="Arial" w:cs="Arial"/>
                <w:color w:val="000000" w:themeColor="text1"/>
                <w:sz w:val="20"/>
                <w:szCs w:val="20"/>
              </w:rPr>
            </w:pPr>
            <w:r w:rsidRPr="00001536">
              <w:rPr>
                <w:rFonts w:ascii="Arial" w:hAnsi="Arial" w:cs="Arial"/>
                <w:color w:val="000000" w:themeColor="text1"/>
                <w:sz w:val="20"/>
                <w:szCs w:val="20"/>
              </w:rPr>
              <w:t>Director of Learning and Teaching/Director of Graduate Studies (delete as applicable)</w:t>
            </w:r>
          </w:p>
          <w:p w:rsidR="002465A1" w:rsidRPr="00001536" w:rsidRDefault="002465A1" w:rsidP="005E6D38">
            <w:pPr>
              <w:spacing w:after="120"/>
              <w:ind w:right="-330"/>
              <w:jc w:val="both"/>
              <w:rPr>
                <w:rFonts w:ascii="Arial" w:hAnsi="Arial" w:cs="Arial"/>
                <w:color w:val="000000" w:themeColor="text1"/>
                <w:sz w:val="20"/>
                <w:szCs w:val="20"/>
              </w:rPr>
            </w:pP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color w:val="000000" w:themeColor="text1"/>
                <w:sz w:val="20"/>
                <w:szCs w:val="20"/>
              </w:rPr>
              <w:t>…………………………………………………</w:t>
            </w: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color w:val="000000" w:themeColor="text1"/>
                <w:sz w:val="20"/>
                <w:szCs w:val="20"/>
              </w:rPr>
              <w:t>Print Name</w:t>
            </w:r>
          </w:p>
        </w:tc>
        <w:tc>
          <w:tcPr>
            <w:tcW w:w="3717" w:type="dxa"/>
          </w:tcPr>
          <w:p w:rsidR="002465A1" w:rsidRPr="00001536" w:rsidRDefault="002465A1" w:rsidP="005E6D38">
            <w:pPr>
              <w:spacing w:after="120"/>
              <w:ind w:left="291" w:right="-330"/>
              <w:jc w:val="both"/>
              <w:rPr>
                <w:rFonts w:ascii="Arial" w:hAnsi="Arial" w:cs="Arial"/>
                <w:color w:val="000000" w:themeColor="text1"/>
                <w:sz w:val="20"/>
                <w:szCs w:val="20"/>
              </w:rPr>
            </w:pPr>
          </w:p>
          <w:p w:rsidR="002465A1" w:rsidRPr="00001536" w:rsidRDefault="002465A1" w:rsidP="005E6D38">
            <w:pPr>
              <w:spacing w:after="120"/>
              <w:ind w:left="291" w:right="-330"/>
              <w:jc w:val="both"/>
              <w:rPr>
                <w:rFonts w:ascii="Arial" w:hAnsi="Arial" w:cs="Arial"/>
                <w:color w:val="000000" w:themeColor="text1"/>
                <w:sz w:val="20"/>
                <w:szCs w:val="20"/>
              </w:rPr>
            </w:pPr>
            <w:r w:rsidRPr="00001536">
              <w:rPr>
                <w:rFonts w:ascii="Arial" w:hAnsi="Arial" w:cs="Arial"/>
                <w:color w:val="000000" w:themeColor="text1"/>
                <w:sz w:val="20"/>
                <w:szCs w:val="20"/>
              </w:rPr>
              <w:t>..............................................</w:t>
            </w:r>
          </w:p>
          <w:p w:rsidR="002465A1" w:rsidRPr="00001536" w:rsidRDefault="002465A1" w:rsidP="005E6D38">
            <w:pPr>
              <w:spacing w:after="120"/>
              <w:ind w:left="291" w:right="-330"/>
              <w:jc w:val="both"/>
              <w:rPr>
                <w:rFonts w:ascii="Arial" w:hAnsi="Arial" w:cs="Arial"/>
                <w:color w:val="000000" w:themeColor="text1"/>
                <w:sz w:val="20"/>
                <w:szCs w:val="20"/>
              </w:rPr>
            </w:pPr>
            <w:r w:rsidRPr="00001536">
              <w:rPr>
                <w:rFonts w:ascii="Arial" w:hAnsi="Arial" w:cs="Arial"/>
                <w:color w:val="000000" w:themeColor="text1"/>
                <w:sz w:val="20"/>
                <w:szCs w:val="20"/>
              </w:rPr>
              <w:t>Date</w:t>
            </w:r>
          </w:p>
        </w:tc>
      </w:tr>
    </w:tbl>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b/>
          <w:color w:val="000000" w:themeColor="text1"/>
          <w:sz w:val="20"/>
          <w:szCs w:val="20"/>
        </w:rPr>
        <w:t xml:space="preserve">Statement by the Head of School: </w:t>
      </w:r>
      <w:r w:rsidRPr="00001536">
        <w:rPr>
          <w:rFonts w:ascii="Arial" w:hAnsi="Arial" w:cs="Arial"/>
          <w:color w:val="000000" w:themeColor="text1"/>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01536" w:rsidRPr="00001536" w:rsidTr="000E3B73">
        <w:trPr>
          <w:trHeight w:val="675"/>
        </w:trPr>
        <w:tc>
          <w:tcPr>
            <w:tcW w:w="5133" w:type="dxa"/>
          </w:tcPr>
          <w:p w:rsidR="002465A1" w:rsidRPr="00001536" w:rsidRDefault="002465A1" w:rsidP="005E6D38">
            <w:pPr>
              <w:spacing w:after="120"/>
              <w:ind w:right="-330"/>
              <w:jc w:val="both"/>
              <w:rPr>
                <w:rFonts w:ascii="Arial" w:hAnsi="Arial" w:cs="Arial"/>
                <w:color w:val="000000" w:themeColor="text1"/>
                <w:sz w:val="20"/>
                <w:szCs w:val="20"/>
              </w:rPr>
            </w:pP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color w:val="000000" w:themeColor="text1"/>
                <w:sz w:val="20"/>
                <w:szCs w:val="20"/>
              </w:rPr>
              <w:t>.................................................................</w:t>
            </w: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color w:val="000000" w:themeColor="text1"/>
                <w:sz w:val="20"/>
                <w:szCs w:val="20"/>
              </w:rPr>
              <w:t>Head of School</w:t>
            </w:r>
          </w:p>
          <w:p w:rsidR="002465A1" w:rsidRPr="00001536" w:rsidRDefault="002465A1" w:rsidP="005E6D38">
            <w:pPr>
              <w:spacing w:after="120"/>
              <w:ind w:right="-330"/>
              <w:jc w:val="both"/>
              <w:rPr>
                <w:rFonts w:ascii="Arial" w:hAnsi="Arial" w:cs="Arial"/>
                <w:color w:val="000000" w:themeColor="text1"/>
                <w:sz w:val="20"/>
                <w:szCs w:val="20"/>
              </w:rPr>
            </w:pP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color w:val="000000" w:themeColor="text1"/>
                <w:sz w:val="20"/>
                <w:szCs w:val="20"/>
              </w:rPr>
              <w:t>…………………………………………………….</w:t>
            </w: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color w:val="000000" w:themeColor="text1"/>
                <w:sz w:val="20"/>
                <w:szCs w:val="20"/>
              </w:rPr>
              <w:t>Print Name</w:t>
            </w:r>
          </w:p>
        </w:tc>
        <w:tc>
          <w:tcPr>
            <w:tcW w:w="3717" w:type="dxa"/>
          </w:tcPr>
          <w:p w:rsidR="002465A1" w:rsidRPr="00001536" w:rsidRDefault="002465A1" w:rsidP="005E6D38">
            <w:pPr>
              <w:spacing w:after="120"/>
              <w:ind w:left="291" w:right="-330"/>
              <w:jc w:val="both"/>
              <w:rPr>
                <w:rFonts w:ascii="Arial" w:hAnsi="Arial" w:cs="Arial"/>
                <w:color w:val="000000" w:themeColor="text1"/>
                <w:sz w:val="20"/>
                <w:szCs w:val="20"/>
              </w:rPr>
            </w:pPr>
          </w:p>
          <w:p w:rsidR="002465A1" w:rsidRPr="00001536" w:rsidRDefault="002465A1" w:rsidP="005E6D38">
            <w:pPr>
              <w:spacing w:after="120"/>
              <w:ind w:left="291" w:right="-330"/>
              <w:jc w:val="both"/>
              <w:rPr>
                <w:rFonts w:ascii="Arial" w:hAnsi="Arial" w:cs="Arial"/>
                <w:color w:val="000000" w:themeColor="text1"/>
                <w:sz w:val="20"/>
                <w:szCs w:val="20"/>
              </w:rPr>
            </w:pPr>
            <w:r w:rsidRPr="00001536">
              <w:rPr>
                <w:rFonts w:ascii="Arial" w:hAnsi="Arial" w:cs="Arial"/>
                <w:color w:val="000000" w:themeColor="text1"/>
                <w:sz w:val="20"/>
                <w:szCs w:val="20"/>
              </w:rPr>
              <w:t>..............................................</w:t>
            </w:r>
          </w:p>
          <w:p w:rsidR="002465A1" w:rsidRPr="00001536" w:rsidRDefault="002465A1" w:rsidP="005E6D38">
            <w:pPr>
              <w:spacing w:after="120"/>
              <w:ind w:left="291" w:right="-330"/>
              <w:jc w:val="both"/>
              <w:rPr>
                <w:rFonts w:ascii="Arial" w:hAnsi="Arial" w:cs="Arial"/>
                <w:color w:val="000000" w:themeColor="text1"/>
                <w:sz w:val="20"/>
                <w:szCs w:val="20"/>
              </w:rPr>
            </w:pPr>
            <w:r w:rsidRPr="00001536">
              <w:rPr>
                <w:rFonts w:ascii="Arial" w:hAnsi="Arial" w:cs="Arial"/>
                <w:color w:val="000000" w:themeColor="text1"/>
                <w:sz w:val="20"/>
                <w:szCs w:val="20"/>
              </w:rPr>
              <w:t>Date</w:t>
            </w:r>
          </w:p>
        </w:tc>
      </w:tr>
    </w:tbl>
    <w:p w:rsidR="00BB1DFE" w:rsidRDefault="00BB1DFE" w:rsidP="005E6D38">
      <w:pPr>
        <w:pBdr>
          <w:bottom w:val="single" w:sz="6" w:space="1" w:color="auto"/>
        </w:pBdr>
        <w:ind w:right="-330"/>
        <w:jc w:val="both"/>
        <w:rPr>
          <w:rFonts w:ascii="Arial" w:hAnsi="Arial" w:cs="Arial"/>
          <w:b/>
          <w:color w:val="000000" w:themeColor="text1"/>
          <w:sz w:val="20"/>
          <w:szCs w:val="20"/>
        </w:rPr>
      </w:pPr>
    </w:p>
    <w:p w:rsidR="002465A1" w:rsidRPr="00001536" w:rsidRDefault="002465A1" w:rsidP="005E6D38">
      <w:pPr>
        <w:pBdr>
          <w:bottom w:val="single" w:sz="6" w:space="1" w:color="auto"/>
        </w:pBdr>
        <w:ind w:right="-330"/>
        <w:jc w:val="both"/>
        <w:rPr>
          <w:rFonts w:ascii="Arial" w:hAnsi="Arial" w:cs="Arial"/>
          <w:b/>
          <w:color w:val="000000" w:themeColor="text1"/>
          <w:sz w:val="20"/>
          <w:szCs w:val="20"/>
        </w:rPr>
      </w:pPr>
      <w:r w:rsidRPr="00001536">
        <w:rPr>
          <w:rFonts w:ascii="Arial" w:hAnsi="Arial" w:cs="Arial"/>
          <w:b/>
          <w:color w:val="000000" w:themeColor="text1"/>
          <w:sz w:val="20"/>
          <w:szCs w:val="20"/>
        </w:rPr>
        <w:t xml:space="preserve">SECTION 3: MODULE IS PART OF A PROGRAMME IN A PARTNER COLLEGE OR VALIDATED INSTITUTION </w:t>
      </w: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color w:val="000000" w:themeColor="text1"/>
          <w:sz w:val="20"/>
          <w:szCs w:val="20"/>
        </w:rPr>
        <w:t>(Where the module is proposed by a Partner College/Validated Institution)</w:t>
      </w: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b/>
          <w:color w:val="000000" w:themeColor="text1"/>
          <w:sz w:val="20"/>
          <w:szCs w:val="20"/>
        </w:rPr>
        <w:t xml:space="preserve">Statement by the Nominated Officer of the College/Validated Institution </w:t>
      </w:r>
      <w:r w:rsidRPr="00001536">
        <w:rPr>
          <w:rFonts w:ascii="Arial" w:hAnsi="Arial" w:cs="Arial"/>
          <w:i/>
          <w:color w:val="000000" w:themeColor="text1"/>
          <w:sz w:val="20"/>
          <w:szCs w:val="20"/>
        </w:rPr>
        <w:t>(delete as applicable)</w:t>
      </w:r>
      <w:r w:rsidRPr="00001536">
        <w:rPr>
          <w:rFonts w:ascii="Arial" w:hAnsi="Arial" w:cs="Arial"/>
          <w:b/>
          <w:color w:val="000000" w:themeColor="text1"/>
          <w:sz w:val="20"/>
          <w:szCs w:val="20"/>
        </w:rPr>
        <w:t xml:space="preserve">: </w:t>
      </w:r>
      <w:r w:rsidRPr="00001536">
        <w:rPr>
          <w:rFonts w:ascii="Arial" w:hAnsi="Arial" w:cs="Arial"/>
          <w:color w:val="000000" w:themeColor="text1"/>
          <w:sz w:val="20"/>
          <w:szCs w:val="20"/>
        </w:rPr>
        <w:t>"I confirm that the College/Validated Institution</w:t>
      </w:r>
      <w:r w:rsidRPr="00001536">
        <w:rPr>
          <w:rFonts w:ascii="Arial" w:hAnsi="Arial" w:cs="Arial"/>
          <w:b/>
          <w:color w:val="000000" w:themeColor="text1"/>
          <w:sz w:val="20"/>
          <w:szCs w:val="20"/>
        </w:rPr>
        <w:t xml:space="preserve"> </w:t>
      </w:r>
      <w:r w:rsidRPr="00001536">
        <w:rPr>
          <w:rFonts w:ascii="Arial" w:hAnsi="Arial" w:cs="Arial"/>
          <w:i/>
          <w:color w:val="000000" w:themeColor="text1"/>
          <w:sz w:val="20"/>
          <w:szCs w:val="20"/>
        </w:rPr>
        <w:t>(delete as applicable)</w:t>
      </w:r>
      <w:r w:rsidRPr="00001536">
        <w:rPr>
          <w:rFonts w:ascii="Arial" w:hAnsi="Arial" w:cs="Arial"/>
          <w:color w:val="000000" w:themeColor="text1"/>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001536" w:rsidRPr="00001536" w:rsidTr="000E3B73">
        <w:trPr>
          <w:trHeight w:val="675"/>
        </w:trPr>
        <w:tc>
          <w:tcPr>
            <w:tcW w:w="5133" w:type="dxa"/>
          </w:tcPr>
          <w:p w:rsidR="002465A1" w:rsidRPr="00001536" w:rsidRDefault="002465A1" w:rsidP="005E6D38">
            <w:pPr>
              <w:spacing w:after="120"/>
              <w:ind w:right="-330"/>
              <w:jc w:val="both"/>
              <w:rPr>
                <w:rFonts w:ascii="Arial" w:hAnsi="Arial" w:cs="Arial"/>
                <w:color w:val="000000" w:themeColor="text1"/>
                <w:sz w:val="20"/>
                <w:szCs w:val="20"/>
              </w:rPr>
            </w:pP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color w:val="000000" w:themeColor="text1"/>
                <w:sz w:val="20"/>
                <w:szCs w:val="20"/>
              </w:rPr>
              <w:t>.................................................................</w:t>
            </w:r>
          </w:p>
          <w:p w:rsidR="002465A1" w:rsidRPr="00001536" w:rsidRDefault="002465A1" w:rsidP="005E6D38">
            <w:pPr>
              <w:spacing w:after="120"/>
              <w:ind w:right="66"/>
              <w:rPr>
                <w:rFonts w:ascii="Arial" w:hAnsi="Arial" w:cs="Arial"/>
                <w:color w:val="000000" w:themeColor="text1"/>
                <w:sz w:val="20"/>
                <w:szCs w:val="20"/>
              </w:rPr>
            </w:pPr>
            <w:r w:rsidRPr="00001536">
              <w:rPr>
                <w:rFonts w:ascii="Arial" w:hAnsi="Arial" w:cs="Arial"/>
                <w:color w:val="000000" w:themeColor="text1"/>
                <w:sz w:val="20"/>
                <w:szCs w:val="20"/>
              </w:rPr>
              <w:t xml:space="preserve">Nominated Responsible Officer of Partner College/Validated Institution </w:t>
            </w:r>
          </w:p>
          <w:p w:rsidR="002465A1" w:rsidRPr="00001536" w:rsidRDefault="002465A1" w:rsidP="005E6D38">
            <w:pPr>
              <w:spacing w:after="120"/>
              <w:ind w:right="-330"/>
              <w:jc w:val="both"/>
              <w:rPr>
                <w:rFonts w:ascii="Arial" w:hAnsi="Arial" w:cs="Arial"/>
                <w:color w:val="000000" w:themeColor="text1"/>
                <w:sz w:val="20"/>
                <w:szCs w:val="20"/>
              </w:rPr>
            </w:pP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color w:val="000000" w:themeColor="text1"/>
                <w:sz w:val="20"/>
                <w:szCs w:val="20"/>
              </w:rPr>
              <w:t>………………………………………………….</w:t>
            </w: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color w:val="000000" w:themeColor="text1"/>
                <w:sz w:val="20"/>
                <w:szCs w:val="20"/>
              </w:rPr>
              <w:t>Print Name</w:t>
            </w: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color w:val="000000" w:themeColor="text1"/>
                <w:sz w:val="20"/>
                <w:szCs w:val="20"/>
              </w:rPr>
              <w:t xml:space="preserve">………………………………………………….. </w:t>
            </w:r>
          </w:p>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color w:val="000000" w:themeColor="text1"/>
                <w:sz w:val="20"/>
                <w:szCs w:val="20"/>
              </w:rPr>
              <w:t>Post</w:t>
            </w:r>
          </w:p>
        </w:tc>
        <w:tc>
          <w:tcPr>
            <w:tcW w:w="3717" w:type="dxa"/>
          </w:tcPr>
          <w:p w:rsidR="002465A1" w:rsidRPr="00001536" w:rsidRDefault="002465A1" w:rsidP="005E6D38">
            <w:pPr>
              <w:spacing w:after="120"/>
              <w:ind w:right="-330"/>
              <w:jc w:val="both"/>
              <w:rPr>
                <w:rFonts w:ascii="Arial" w:hAnsi="Arial" w:cs="Arial"/>
                <w:color w:val="000000" w:themeColor="text1"/>
                <w:sz w:val="20"/>
                <w:szCs w:val="20"/>
              </w:rPr>
            </w:pPr>
          </w:p>
          <w:p w:rsidR="002465A1" w:rsidRPr="00001536" w:rsidRDefault="002465A1" w:rsidP="005E6D38">
            <w:pPr>
              <w:spacing w:after="120"/>
              <w:ind w:left="291" w:right="-330"/>
              <w:jc w:val="both"/>
              <w:rPr>
                <w:rFonts w:ascii="Arial" w:hAnsi="Arial" w:cs="Arial"/>
                <w:color w:val="000000" w:themeColor="text1"/>
                <w:sz w:val="20"/>
                <w:szCs w:val="20"/>
              </w:rPr>
            </w:pPr>
            <w:r w:rsidRPr="00001536">
              <w:rPr>
                <w:rFonts w:ascii="Arial" w:hAnsi="Arial" w:cs="Arial"/>
                <w:color w:val="000000" w:themeColor="text1"/>
                <w:sz w:val="20"/>
                <w:szCs w:val="20"/>
              </w:rPr>
              <w:t>..............................................</w:t>
            </w:r>
          </w:p>
          <w:p w:rsidR="002465A1" w:rsidRPr="00001536" w:rsidRDefault="002465A1" w:rsidP="005E6D38">
            <w:pPr>
              <w:spacing w:after="120"/>
              <w:ind w:left="291" w:right="-330"/>
              <w:jc w:val="both"/>
              <w:rPr>
                <w:rFonts w:ascii="Arial" w:hAnsi="Arial" w:cs="Arial"/>
                <w:color w:val="000000" w:themeColor="text1"/>
                <w:sz w:val="20"/>
                <w:szCs w:val="20"/>
              </w:rPr>
            </w:pPr>
            <w:r w:rsidRPr="00001536">
              <w:rPr>
                <w:rFonts w:ascii="Arial" w:hAnsi="Arial" w:cs="Arial"/>
                <w:color w:val="000000" w:themeColor="text1"/>
                <w:sz w:val="20"/>
                <w:szCs w:val="20"/>
              </w:rPr>
              <w:t>Date</w:t>
            </w:r>
          </w:p>
          <w:p w:rsidR="002465A1" w:rsidRPr="00001536" w:rsidRDefault="002465A1" w:rsidP="005E6D38">
            <w:pPr>
              <w:spacing w:after="120"/>
              <w:ind w:right="-330"/>
              <w:jc w:val="both"/>
              <w:rPr>
                <w:rFonts w:ascii="Arial" w:hAnsi="Arial" w:cs="Arial"/>
                <w:color w:val="000000" w:themeColor="text1"/>
                <w:sz w:val="20"/>
                <w:szCs w:val="20"/>
              </w:rPr>
            </w:pPr>
          </w:p>
          <w:p w:rsidR="002465A1" w:rsidRPr="00001536" w:rsidRDefault="002465A1" w:rsidP="005E6D38">
            <w:pPr>
              <w:spacing w:after="120"/>
              <w:ind w:right="-330"/>
              <w:jc w:val="both"/>
              <w:rPr>
                <w:rFonts w:ascii="Arial" w:hAnsi="Arial" w:cs="Arial"/>
                <w:color w:val="000000" w:themeColor="text1"/>
                <w:sz w:val="20"/>
                <w:szCs w:val="20"/>
              </w:rPr>
            </w:pPr>
          </w:p>
        </w:tc>
      </w:tr>
    </w:tbl>
    <w:p w:rsidR="002465A1" w:rsidRPr="00001536" w:rsidRDefault="002465A1" w:rsidP="005E6D38">
      <w:pPr>
        <w:spacing w:after="120"/>
        <w:ind w:right="-330"/>
        <w:jc w:val="both"/>
        <w:rPr>
          <w:rFonts w:ascii="Arial" w:hAnsi="Arial" w:cs="Arial"/>
          <w:color w:val="000000" w:themeColor="text1"/>
          <w:sz w:val="20"/>
          <w:szCs w:val="20"/>
        </w:rPr>
      </w:pPr>
      <w:r w:rsidRPr="00001536">
        <w:rPr>
          <w:rFonts w:ascii="Arial" w:hAnsi="Arial" w:cs="Arial"/>
          <w:color w:val="000000" w:themeColor="text1"/>
          <w:sz w:val="20"/>
          <w:szCs w:val="20"/>
        </w:rPr>
        <w:t>………………………………………….</w:t>
      </w:r>
    </w:p>
    <w:p w:rsidR="002465A1" w:rsidRPr="00001536" w:rsidRDefault="002465A1" w:rsidP="005E6D38">
      <w:pPr>
        <w:pStyle w:val="Footer"/>
        <w:ind w:right="-330"/>
        <w:rPr>
          <w:rFonts w:ascii="Arial" w:hAnsi="Arial" w:cs="Arial"/>
          <w:color w:val="000000" w:themeColor="text1"/>
        </w:rPr>
      </w:pPr>
      <w:r w:rsidRPr="00001536">
        <w:rPr>
          <w:rFonts w:ascii="Arial" w:hAnsi="Arial" w:cs="Arial"/>
          <w:color w:val="000000" w:themeColor="text1"/>
        </w:rPr>
        <w:t>Partner College/Validated Institution</w:t>
      </w:r>
    </w:p>
    <w:p w:rsidR="005E6D38" w:rsidRPr="00001536" w:rsidRDefault="005E6D38" w:rsidP="005E6D38">
      <w:pPr>
        <w:pStyle w:val="Footer"/>
        <w:ind w:right="-330"/>
        <w:rPr>
          <w:rFonts w:ascii="Arial" w:hAnsi="Arial" w:cs="Arial"/>
          <w:color w:val="000000" w:themeColor="text1"/>
        </w:rPr>
      </w:pPr>
    </w:p>
    <w:p w:rsidR="005E6D38" w:rsidRPr="00001536" w:rsidRDefault="005E6D38" w:rsidP="005E6D38">
      <w:pPr>
        <w:pStyle w:val="Footer"/>
        <w:ind w:right="-330"/>
        <w:rPr>
          <w:rFonts w:ascii="Arial" w:hAnsi="Arial" w:cs="Arial"/>
          <w:color w:val="000000" w:themeColor="text1"/>
        </w:rPr>
      </w:pPr>
    </w:p>
    <w:p w:rsidR="002465A1" w:rsidRPr="00001536" w:rsidRDefault="002465A1" w:rsidP="005E6D38">
      <w:pPr>
        <w:pStyle w:val="Footer"/>
        <w:ind w:right="-330"/>
        <w:rPr>
          <w:rFonts w:ascii="Arial" w:hAnsi="Arial" w:cs="Arial"/>
          <w:color w:val="000000" w:themeColor="text1"/>
          <w:sz w:val="16"/>
          <w:szCs w:val="16"/>
        </w:rPr>
      </w:pPr>
      <w:r w:rsidRPr="00001536">
        <w:rPr>
          <w:rFonts w:ascii="Arial" w:hAnsi="Arial" w:cs="Arial"/>
          <w:color w:val="000000" w:themeColor="text1"/>
          <w:sz w:val="16"/>
          <w:szCs w:val="16"/>
        </w:rPr>
        <w:t>Module Specification Template</w:t>
      </w:r>
      <w:r w:rsidRPr="00001536">
        <w:rPr>
          <w:rFonts w:ascii="Arial" w:hAnsi="Arial" w:cs="Arial"/>
          <w:color w:val="000000" w:themeColor="text1"/>
          <w:sz w:val="16"/>
          <w:szCs w:val="16"/>
        </w:rPr>
        <w:br/>
        <w:t xml:space="preserve">Last updated </w:t>
      </w:r>
      <w:r w:rsidR="00633150" w:rsidRPr="00001536">
        <w:rPr>
          <w:rFonts w:ascii="Arial" w:hAnsi="Arial" w:cs="Arial"/>
          <w:color w:val="000000" w:themeColor="text1"/>
          <w:sz w:val="16"/>
          <w:szCs w:val="16"/>
        </w:rPr>
        <w:t>February</w:t>
      </w:r>
      <w:r w:rsidR="00F77676" w:rsidRPr="00001536">
        <w:rPr>
          <w:rFonts w:ascii="Arial" w:hAnsi="Arial" w:cs="Arial"/>
          <w:color w:val="000000" w:themeColor="text1"/>
          <w:sz w:val="16"/>
          <w:szCs w:val="16"/>
        </w:rPr>
        <w:t xml:space="preserve"> 2013 </w:t>
      </w:r>
    </w:p>
    <w:sectPr w:rsidR="002465A1" w:rsidRPr="00001536"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80" w:rsidRDefault="00BE7A80" w:rsidP="00567EC9">
      <w:pPr>
        <w:spacing w:after="0" w:line="240" w:lineRule="auto"/>
      </w:pPr>
      <w:r>
        <w:separator/>
      </w:r>
    </w:p>
  </w:endnote>
  <w:endnote w:type="continuationSeparator" w:id="0">
    <w:p w:rsidR="00BE7A80" w:rsidRDefault="00BE7A80"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Dido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921CF6">
        <w:pPr>
          <w:pStyle w:val="Footer"/>
          <w:jc w:val="center"/>
        </w:pPr>
        <w:r>
          <w:fldChar w:fldCharType="begin"/>
        </w:r>
        <w:r w:rsidR="006A7FB0">
          <w:instrText xml:space="preserve"> PAGE   \* MERGEFORMAT </w:instrText>
        </w:r>
        <w:r>
          <w:fldChar w:fldCharType="separate"/>
        </w:r>
        <w:r w:rsidR="00547D67">
          <w:rPr>
            <w:noProof/>
          </w:rPr>
          <w:t>2</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80" w:rsidRDefault="00BE7A80" w:rsidP="00567EC9">
      <w:pPr>
        <w:spacing w:after="0" w:line="240" w:lineRule="auto"/>
      </w:pPr>
      <w:r>
        <w:separator/>
      </w:r>
    </w:p>
  </w:footnote>
  <w:footnote w:type="continuationSeparator" w:id="0">
    <w:p w:rsidR="00BE7A80" w:rsidRDefault="00BE7A80"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713794B"/>
    <w:multiLevelType w:val="hybridMultilevel"/>
    <w:tmpl w:val="0D1ADE20"/>
    <w:lvl w:ilvl="0" w:tplc="9628E8B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1416155"/>
    <w:multiLevelType w:val="hybridMultilevel"/>
    <w:tmpl w:val="82F6A0FA"/>
    <w:lvl w:ilvl="0" w:tplc="F38AC0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A1D02D2"/>
    <w:multiLevelType w:val="hybridMultilevel"/>
    <w:tmpl w:val="0302D94A"/>
    <w:lvl w:ilvl="0" w:tplc="578E6B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73E32685"/>
    <w:multiLevelType w:val="hybridMultilevel"/>
    <w:tmpl w:val="E2D21DE8"/>
    <w:lvl w:ilvl="0" w:tplc="AFACFE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1"/>
  </w:num>
  <w:num w:numId="5">
    <w:abstractNumId w:val="8"/>
  </w:num>
  <w:num w:numId="6">
    <w:abstractNumId w:val="7"/>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536"/>
    <w:rsid w:val="000017F2"/>
    <w:rsid w:val="00027C5B"/>
    <w:rsid w:val="00030C9E"/>
    <w:rsid w:val="000678D3"/>
    <w:rsid w:val="00073B93"/>
    <w:rsid w:val="0009563F"/>
    <w:rsid w:val="000D2A8A"/>
    <w:rsid w:val="000E3B73"/>
    <w:rsid w:val="000F6C56"/>
    <w:rsid w:val="00104B39"/>
    <w:rsid w:val="00111906"/>
    <w:rsid w:val="0011530C"/>
    <w:rsid w:val="00117577"/>
    <w:rsid w:val="00117793"/>
    <w:rsid w:val="001214D3"/>
    <w:rsid w:val="00124FEC"/>
    <w:rsid w:val="001260EB"/>
    <w:rsid w:val="001540CE"/>
    <w:rsid w:val="0015717B"/>
    <w:rsid w:val="00172793"/>
    <w:rsid w:val="0018157F"/>
    <w:rsid w:val="00196C6A"/>
    <w:rsid w:val="001A79D0"/>
    <w:rsid w:val="001D1F2D"/>
    <w:rsid w:val="001E1F45"/>
    <w:rsid w:val="00215364"/>
    <w:rsid w:val="002465A1"/>
    <w:rsid w:val="00281688"/>
    <w:rsid w:val="00294B73"/>
    <w:rsid w:val="002A0CD0"/>
    <w:rsid w:val="002F0CE4"/>
    <w:rsid w:val="002F2626"/>
    <w:rsid w:val="002F7C4A"/>
    <w:rsid w:val="003143D2"/>
    <w:rsid w:val="00316EEA"/>
    <w:rsid w:val="003262B9"/>
    <w:rsid w:val="00353491"/>
    <w:rsid w:val="003759B0"/>
    <w:rsid w:val="003759F2"/>
    <w:rsid w:val="00382F58"/>
    <w:rsid w:val="003C0B32"/>
    <w:rsid w:val="003D7AA0"/>
    <w:rsid w:val="003F67CD"/>
    <w:rsid w:val="00472023"/>
    <w:rsid w:val="00486993"/>
    <w:rsid w:val="00492DA4"/>
    <w:rsid w:val="004A2EDB"/>
    <w:rsid w:val="004A39D7"/>
    <w:rsid w:val="004A55FA"/>
    <w:rsid w:val="004B1323"/>
    <w:rsid w:val="004B68C1"/>
    <w:rsid w:val="004C3E8A"/>
    <w:rsid w:val="004C5B78"/>
    <w:rsid w:val="004D035C"/>
    <w:rsid w:val="005005E4"/>
    <w:rsid w:val="00520841"/>
    <w:rsid w:val="00521097"/>
    <w:rsid w:val="00533663"/>
    <w:rsid w:val="00547D67"/>
    <w:rsid w:val="005526FB"/>
    <w:rsid w:val="0055280A"/>
    <w:rsid w:val="005651A4"/>
    <w:rsid w:val="00567EC9"/>
    <w:rsid w:val="00571630"/>
    <w:rsid w:val="005759F4"/>
    <w:rsid w:val="005C1A4F"/>
    <w:rsid w:val="005E0013"/>
    <w:rsid w:val="005E6D38"/>
    <w:rsid w:val="006253AA"/>
    <w:rsid w:val="00633150"/>
    <w:rsid w:val="00640656"/>
    <w:rsid w:val="00674ED0"/>
    <w:rsid w:val="00683547"/>
    <w:rsid w:val="006942D6"/>
    <w:rsid w:val="006A7FB0"/>
    <w:rsid w:val="006C46EF"/>
    <w:rsid w:val="006D444F"/>
    <w:rsid w:val="00700488"/>
    <w:rsid w:val="00703F92"/>
    <w:rsid w:val="00704637"/>
    <w:rsid w:val="007610AF"/>
    <w:rsid w:val="007972A7"/>
    <w:rsid w:val="007A0776"/>
    <w:rsid w:val="007A24BC"/>
    <w:rsid w:val="007B1E5C"/>
    <w:rsid w:val="007C74B4"/>
    <w:rsid w:val="007E0395"/>
    <w:rsid w:val="007E3412"/>
    <w:rsid w:val="007F28E3"/>
    <w:rsid w:val="008029AF"/>
    <w:rsid w:val="008102E5"/>
    <w:rsid w:val="008133F0"/>
    <w:rsid w:val="00815880"/>
    <w:rsid w:val="00825E01"/>
    <w:rsid w:val="00846DBE"/>
    <w:rsid w:val="00873E9F"/>
    <w:rsid w:val="00881696"/>
    <w:rsid w:val="008B4971"/>
    <w:rsid w:val="008C757B"/>
    <w:rsid w:val="00903DF6"/>
    <w:rsid w:val="00903EF1"/>
    <w:rsid w:val="00921CF6"/>
    <w:rsid w:val="009638D5"/>
    <w:rsid w:val="00987DB4"/>
    <w:rsid w:val="009A1E9E"/>
    <w:rsid w:val="009A2078"/>
    <w:rsid w:val="009C6AF1"/>
    <w:rsid w:val="009D068C"/>
    <w:rsid w:val="009D40CD"/>
    <w:rsid w:val="00A021FE"/>
    <w:rsid w:val="00A1270E"/>
    <w:rsid w:val="00A131DB"/>
    <w:rsid w:val="00A52DB4"/>
    <w:rsid w:val="00A629B9"/>
    <w:rsid w:val="00A74292"/>
    <w:rsid w:val="00AA3C15"/>
    <w:rsid w:val="00B17CD2"/>
    <w:rsid w:val="00B248BA"/>
    <w:rsid w:val="00B57219"/>
    <w:rsid w:val="00B70862"/>
    <w:rsid w:val="00BB1DFE"/>
    <w:rsid w:val="00BC19F7"/>
    <w:rsid w:val="00BD0EF8"/>
    <w:rsid w:val="00BD5F14"/>
    <w:rsid w:val="00BE2126"/>
    <w:rsid w:val="00BE3B17"/>
    <w:rsid w:val="00BE7A80"/>
    <w:rsid w:val="00C04C95"/>
    <w:rsid w:val="00C12613"/>
    <w:rsid w:val="00C3744A"/>
    <w:rsid w:val="00C66AB6"/>
    <w:rsid w:val="00C83354"/>
    <w:rsid w:val="00CB11CE"/>
    <w:rsid w:val="00CE4D9A"/>
    <w:rsid w:val="00D2689A"/>
    <w:rsid w:val="00D3306F"/>
    <w:rsid w:val="00D678B8"/>
    <w:rsid w:val="00DA64B6"/>
    <w:rsid w:val="00DD02E6"/>
    <w:rsid w:val="00DD30B7"/>
    <w:rsid w:val="00E22F03"/>
    <w:rsid w:val="00E30079"/>
    <w:rsid w:val="00E51404"/>
    <w:rsid w:val="00E546E8"/>
    <w:rsid w:val="00E574C9"/>
    <w:rsid w:val="00E610DE"/>
    <w:rsid w:val="00EC11C7"/>
    <w:rsid w:val="00ED44F4"/>
    <w:rsid w:val="00F01956"/>
    <w:rsid w:val="00F21C47"/>
    <w:rsid w:val="00F33B5C"/>
    <w:rsid w:val="00F340DE"/>
    <w:rsid w:val="00F56F96"/>
    <w:rsid w:val="00F77676"/>
    <w:rsid w:val="00F82B4E"/>
    <w:rsid w:val="00F96D71"/>
    <w:rsid w:val="00FB36EC"/>
    <w:rsid w:val="00FE692E"/>
    <w:rsid w:val="00FF31CA"/>
    <w:rsid w:val="00FF37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uiPriority w:val="99"/>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uiPriority w:val="99"/>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345B-81F3-407E-A945-ECBEDA20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2</cp:revision>
  <cp:lastPrinted>2013-01-24T09:23:00Z</cp:lastPrinted>
  <dcterms:created xsi:type="dcterms:W3CDTF">2015-04-24T08:14:00Z</dcterms:created>
  <dcterms:modified xsi:type="dcterms:W3CDTF">2015-04-24T08:14:00Z</dcterms:modified>
</cp:coreProperties>
</file>