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Pr="002F0BFB" w:rsidRDefault="009B308A" w:rsidP="009B308A">
      <w:pPr>
        <w:spacing w:after="120"/>
        <w:ind w:left="426"/>
        <w:jc w:val="both"/>
        <w:rPr>
          <w:rFonts w:ascii="Arial" w:hAnsi="Arial" w:cs="Arial"/>
          <w:b/>
        </w:rPr>
      </w:pPr>
      <w:r w:rsidRPr="00E069B6">
        <w:rPr>
          <w:rFonts w:ascii="Arial" w:hAnsi="Arial" w:cs="Arial"/>
          <w:b/>
          <w:bCs/>
        </w:rPr>
        <w:t>Receptor Mechanisms and Molecular Pharmacology</w:t>
      </w:r>
      <w:r>
        <w:rPr>
          <w:rFonts w:ascii="Arial" w:hAnsi="Arial" w:cs="Arial"/>
        </w:rPr>
        <w:t xml:space="preserve"> </w:t>
      </w:r>
      <w:r w:rsidR="002F0BFB">
        <w:rPr>
          <w:rFonts w:ascii="Arial" w:hAnsi="Arial" w:cs="Arial"/>
          <w:b/>
        </w:rPr>
        <w:t>(PHAR1047)</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E1164A" w:rsidP="00E1164A">
      <w:pPr>
        <w:spacing w:after="120"/>
        <w:ind w:left="426"/>
        <w:jc w:val="both"/>
        <w:rPr>
          <w:rFonts w:ascii="Arial" w:hAnsi="Arial" w:cs="Arial"/>
          <w:b/>
        </w:rPr>
      </w:pPr>
      <w:r>
        <w:rPr>
          <w:rFonts w:ascii="Arial" w:hAnsi="Arial" w:cs="Arial"/>
          <w:b/>
        </w:rPr>
        <w:t>October 2016</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8A37C5">
      <w:pPr>
        <w:spacing w:after="120"/>
        <w:ind w:firstLine="426"/>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72688C" w:rsidP="0072688C">
      <w:pPr>
        <w:spacing w:after="120"/>
        <w:ind w:left="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bookmarkStart w:id="0" w:name="_GoBack"/>
      <w:bookmarkEnd w:id="0"/>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E1164A" w:rsidRDefault="00E1164A" w:rsidP="00E1164A">
      <w:pPr>
        <w:spacing w:after="60" w:line="240" w:lineRule="auto"/>
        <w:ind w:left="786"/>
        <w:jc w:val="both"/>
        <w:rPr>
          <w:rFonts w:ascii="Arial" w:hAnsi="Arial" w:cs="Arial"/>
          <w:b/>
        </w:rPr>
      </w:pPr>
      <w:r>
        <w:rPr>
          <w:rFonts w:ascii="Arial" w:hAnsi="Arial" w:cs="Arial"/>
          <w:b/>
        </w:rPr>
        <w:t>11.1 H</w:t>
      </w:r>
      <w:r w:rsidRPr="00E1164A">
        <w:rPr>
          <w:rFonts w:ascii="Arial" w:hAnsi="Arial" w:cs="Arial"/>
          <w:b/>
        </w:rPr>
        <w:t>ave a good understanding of the classical approaches to drug-receptor interactions (POA1, POA2, POA3, POA4, POA5, POB2, POB3, POB5, POC1, POC2, POC3, POC4, POC5, POD1, POD3)</w:t>
      </w:r>
      <w:r>
        <w:rPr>
          <w:rFonts w:ascii="Arial" w:hAnsi="Arial" w:cs="Arial"/>
          <w:b/>
        </w:rPr>
        <w:t>.</w:t>
      </w:r>
    </w:p>
    <w:p w:rsidR="00E1164A" w:rsidRPr="00E1164A" w:rsidRDefault="00E1164A" w:rsidP="00E1164A">
      <w:pPr>
        <w:spacing w:after="60" w:line="240" w:lineRule="auto"/>
        <w:ind w:left="786"/>
        <w:jc w:val="both"/>
        <w:rPr>
          <w:rFonts w:ascii="Arial" w:hAnsi="Arial" w:cs="Arial"/>
          <w:b/>
        </w:rPr>
      </w:pPr>
    </w:p>
    <w:p w:rsidR="00E1164A" w:rsidRPr="00E1164A" w:rsidRDefault="00E1164A" w:rsidP="00E1164A">
      <w:pPr>
        <w:spacing w:after="60" w:line="240" w:lineRule="auto"/>
        <w:ind w:left="786"/>
        <w:jc w:val="both"/>
        <w:rPr>
          <w:rFonts w:ascii="Arial" w:hAnsi="Arial" w:cs="Arial"/>
          <w:b/>
        </w:rPr>
      </w:pPr>
      <w:r>
        <w:rPr>
          <w:rFonts w:ascii="Arial" w:hAnsi="Arial" w:cs="Arial"/>
          <w:b/>
        </w:rPr>
        <w:t>11.2 U</w:t>
      </w:r>
      <w:r w:rsidRPr="00E1164A">
        <w:rPr>
          <w:rFonts w:ascii="Arial" w:hAnsi="Arial" w:cs="Arial"/>
          <w:b/>
        </w:rPr>
        <w:t>nderstand the molecular structure of 7TM G-protein coupled receptors (POA1, POA2, POA3, POA4, POA5, POB2, POB3, POB5, POC1, POC2, POC3, POC4, POC5, POD1, POD3)</w:t>
      </w:r>
      <w:r>
        <w:rPr>
          <w:rFonts w:ascii="Arial" w:hAnsi="Arial" w:cs="Arial"/>
          <w:b/>
        </w:rPr>
        <w:t>.</w:t>
      </w:r>
    </w:p>
    <w:p w:rsidR="00E1164A" w:rsidRPr="00E1164A" w:rsidRDefault="00E1164A" w:rsidP="00E1164A">
      <w:pPr>
        <w:spacing w:after="60" w:line="240" w:lineRule="auto"/>
        <w:jc w:val="both"/>
        <w:rPr>
          <w:rFonts w:ascii="Arial" w:hAnsi="Arial" w:cs="Arial"/>
          <w:b/>
        </w:rPr>
      </w:pPr>
    </w:p>
    <w:p w:rsidR="00E1164A" w:rsidRPr="00E1164A" w:rsidRDefault="00E1164A" w:rsidP="00E1164A">
      <w:pPr>
        <w:spacing w:after="60" w:line="240" w:lineRule="auto"/>
        <w:ind w:left="786"/>
        <w:jc w:val="both"/>
        <w:rPr>
          <w:rFonts w:ascii="Arial" w:hAnsi="Arial" w:cs="Arial"/>
          <w:b/>
        </w:rPr>
      </w:pPr>
      <w:r>
        <w:rPr>
          <w:rFonts w:ascii="Arial" w:hAnsi="Arial" w:cs="Arial"/>
          <w:b/>
        </w:rPr>
        <w:t>11.3 U</w:t>
      </w:r>
      <w:r w:rsidRPr="00E1164A">
        <w:rPr>
          <w:rFonts w:ascii="Arial" w:hAnsi="Arial" w:cs="Arial"/>
          <w:b/>
        </w:rPr>
        <w:t>nderstand the structure of ligand gated-ion channel receptors (POA1, POA2, POA3, POA4, POA5, POB2, POB3, POB5, POC1, POC2, POC3, POC4, POC5, POD1, POD3)</w:t>
      </w:r>
      <w:r>
        <w:rPr>
          <w:rFonts w:ascii="Arial" w:hAnsi="Arial" w:cs="Arial"/>
          <w:b/>
        </w:rPr>
        <w:t>.</w:t>
      </w:r>
    </w:p>
    <w:p w:rsidR="00E1164A" w:rsidRDefault="00E1164A" w:rsidP="00E1164A">
      <w:pPr>
        <w:spacing w:after="60" w:line="240" w:lineRule="auto"/>
        <w:ind w:left="786"/>
        <w:jc w:val="both"/>
        <w:rPr>
          <w:rFonts w:ascii="Arial" w:hAnsi="Arial" w:cs="Arial"/>
          <w:b/>
        </w:rPr>
      </w:pPr>
      <w:r>
        <w:rPr>
          <w:rFonts w:ascii="Arial" w:hAnsi="Arial" w:cs="Arial"/>
          <w:b/>
        </w:rPr>
        <w:lastRenderedPageBreak/>
        <w:t>11.4 U</w:t>
      </w:r>
      <w:r w:rsidRPr="00E1164A">
        <w:rPr>
          <w:rFonts w:ascii="Arial" w:hAnsi="Arial" w:cs="Arial"/>
          <w:b/>
        </w:rPr>
        <w:t>nderstand the structure of receptor tyrosine kinases (POA1, POA2, POA3, POA4, POA5, POB2, POB3, POB5, POC1, POC2, POC3, POC4, POC5, POD1, POD3)</w:t>
      </w:r>
      <w:r>
        <w:rPr>
          <w:rFonts w:ascii="Arial" w:hAnsi="Arial" w:cs="Arial"/>
          <w:b/>
        </w:rPr>
        <w:t>.</w:t>
      </w:r>
    </w:p>
    <w:p w:rsidR="00F50175" w:rsidRPr="00E1164A" w:rsidRDefault="00F50175" w:rsidP="00E1164A">
      <w:pPr>
        <w:spacing w:after="60" w:line="240" w:lineRule="auto"/>
        <w:ind w:left="786"/>
        <w:jc w:val="both"/>
        <w:rPr>
          <w:rFonts w:ascii="Arial" w:hAnsi="Arial" w:cs="Arial"/>
          <w:b/>
        </w:rPr>
      </w:pPr>
    </w:p>
    <w:p w:rsidR="00E1164A" w:rsidRDefault="00E1164A" w:rsidP="00E1164A">
      <w:pPr>
        <w:spacing w:after="60" w:line="240" w:lineRule="auto"/>
        <w:ind w:left="786"/>
        <w:jc w:val="both"/>
        <w:rPr>
          <w:rFonts w:ascii="Arial" w:hAnsi="Arial" w:cs="Arial"/>
          <w:b/>
        </w:rPr>
      </w:pPr>
      <w:r>
        <w:rPr>
          <w:rFonts w:ascii="Arial" w:hAnsi="Arial" w:cs="Arial"/>
          <w:b/>
        </w:rPr>
        <w:t>11.5 U</w:t>
      </w:r>
      <w:r w:rsidRPr="00E1164A">
        <w:rPr>
          <w:rFonts w:ascii="Arial" w:hAnsi="Arial" w:cs="Arial"/>
          <w:b/>
        </w:rPr>
        <w:t>nderstand the types of radioligand binding experiments, as well as the practical aspects of radioligand binding experiments and how to analyse binding data (POA1, POA2, POA3, POA4, POA5, POB2, POB3, POB5, POC1, POC2, POC3, POC4, POC5, POD1, POD3)</w:t>
      </w:r>
      <w:r>
        <w:rPr>
          <w:rFonts w:ascii="Arial" w:hAnsi="Arial" w:cs="Arial"/>
          <w:b/>
        </w:rPr>
        <w:t>.</w:t>
      </w:r>
    </w:p>
    <w:p w:rsidR="00F50175" w:rsidRPr="00E1164A" w:rsidRDefault="00F50175" w:rsidP="00E1164A">
      <w:pPr>
        <w:spacing w:after="60" w:line="240" w:lineRule="auto"/>
        <w:ind w:left="786"/>
        <w:jc w:val="both"/>
        <w:rPr>
          <w:rFonts w:ascii="Arial" w:hAnsi="Arial" w:cs="Arial"/>
          <w:b/>
        </w:rPr>
      </w:pPr>
    </w:p>
    <w:p w:rsidR="00E1164A" w:rsidRPr="00E1164A" w:rsidRDefault="00E1164A" w:rsidP="00E1164A">
      <w:pPr>
        <w:spacing w:after="60" w:line="240" w:lineRule="auto"/>
        <w:ind w:left="786"/>
        <w:jc w:val="both"/>
        <w:rPr>
          <w:rFonts w:ascii="Arial" w:hAnsi="Arial" w:cs="Arial"/>
          <w:b/>
        </w:rPr>
      </w:pPr>
      <w:r>
        <w:rPr>
          <w:rFonts w:ascii="Arial" w:hAnsi="Arial" w:cs="Arial"/>
          <w:b/>
        </w:rPr>
        <w:t>11.6 U</w:t>
      </w:r>
      <w:r w:rsidRPr="00E1164A">
        <w:rPr>
          <w:rFonts w:ascii="Arial" w:hAnsi="Arial" w:cs="Arial"/>
          <w:b/>
        </w:rPr>
        <w:t>nderstand the use of techniques such as homology modelling, site-directed mutagenesis, x-ray crystallography, cryo-electron microscopy, measurement of the rate of GTPγS binding and patch-clamp electrophysiology to understand receptor structure and function (POA1, POA2, POA3, POA4, POA5, POB2, POB3, POB5, POC1, POC2, POC3, POC4, POC5, POD1, POD3, POD4)</w:t>
      </w:r>
      <w:r>
        <w:rPr>
          <w:rFonts w:ascii="Arial" w:hAnsi="Arial" w:cs="Arial"/>
          <w:b/>
        </w:rPr>
        <w:t>.</w:t>
      </w:r>
    </w:p>
    <w:p w:rsidR="00E1164A" w:rsidRDefault="00E1164A" w:rsidP="00E1164A">
      <w:pPr>
        <w:spacing w:after="60"/>
        <w:ind w:left="426"/>
        <w:jc w:val="both"/>
        <w:rPr>
          <w:rFonts w:ascii="Arial" w:hAnsi="Arial" w:cs="Arial"/>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7603D0">
      <w:pPr>
        <w:spacing w:before="60" w:after="60" w:line="240" w:lineRule="auto"/>
        <w:ind w:left="426" w:right="-330"/>
        <w:jc w:val="both"/>
        <w:rPr>
          <w:rFonts w:ascii="Arial" w:hAnsi="Arial" w:cs="Arial"/>
          <w:sz w:val="20"/>
          <w:szCs w:val="20"/>
        </w:rPr>
      </w:pPr>
    </w:p>
    <w:p w:rsidR="00E1164A" w:rsidRPr="008E0FEC" w:rsidRDefault="00493265" w:rsidP="00493265">
      <w:pPr>
        <w:spacing w:after="120" w:line="240" w:lineRule="auto"/>
        <w:ind w:left="720"/>
        <w:jc w:val="both"/>
        <w:rPr>
          <w:rFonts w:ascii="Arial" w:hAnsi="Arial" w:cs="Arial"/>
          <w:b/>
        </w:rPr>
      </w:pPr>
      <w:r>
        <w:rPr>
          <w:rFonts w:ascii="Arial" w:hAnsi="Arial" w:cs="Arial"/>
          <w:b/>
        </w:rPr>
        <w:t xml:space="preserve">12.1  </w:t>
      </w:r>
      <w:r w:rsidR="00E1164A" w:rsidRPr="008E0FEC">
        <w:rPr>
          <w:rFonts w:ascii="Arial" w:hAnsi="Arial" w:cs="Arial"/>
          <w:b/>
        </w:rPr>
        <w:t xml:space="preserve">The development of </w:t>
      </w:r>
      <w:r w:rsidR="001915D2">
        <w:rPr>
          <w:rFonts w:ascii="Arial" w:hAnsi="Arial" w:cs="Arial"/>
          <w:b/>
        </w:rPr>
        <w:t>a</w:t>
      </w:r>
      <w:r w:rsidR="001915D2" w:rsidRPr="001915D2">
        <w:rPr>
          <w:rFonts w:ascii="Arial" w:hAnsi="Arial" w:cs="Arial"/>
          <w:b/>
        </w:rPr>
        <w:t xml:space="preserve"> critical awareness of </w:t>
      </w:r>
      <w:r w:rsidR="001915D2">
        <w:rPr>
          <w:rFonts w:ascii="Arial" w:hAnsi="Arial" w:cs="Arial"/>
          <w:b/>
        </w:rPr>
        <w:t xml:space="preserve">current </w:t>
      </w:r>
      <w:r w:rsidR="001915D2" w:rsidRPr="001915D2">
        <w:rPr>
          <w:rFonts w:ascii="Arial" w:hAnsi="Arial" w:cs="Arial"/>
          <w:b/>
        </w:rPr>
        <w:t>laboratory techniques</w:t>
      </w:r>
      <w:r w:rsidR="001915D2" w:rsidRPr="001915D2" w:rsidDel="001915D2">
        <w:rPr>
          <w:rFonts w:ascii="Arial" w:hAnsi="Arial" w:cs="Arial"/>
          <w:b/>
        </w:rPr>
        <w:t xml:space="preserve"> </w:t>
      </w:r>
      <w:r w:rsidR="00E1164A" w:rsidRPr="008E0FEC">
        <w:rPr>
          <w:rFonts w:ascii="Arial" w:hAnsi="Arial" w:cs="Arial"/>
          <w:b/>
        </w:rPr>
        <w:t>(POB1-5, POC1-6)</w:t>
      </w:r>
    </w:p>
    <w:p w:rsidR="00E1164A" w:rsidRPr="008E0FEC" w:rsidRDefault="00493265" w:rsidP="00493265">
      <w:pPr>
        <w:spacing w:after="120" w:line="240" w:lineRule="auto"/>
        <w:ind w:left="720"/>
        <w:jc w:val="both"/>
        <w:rPr>
          <w:rFonts w:ascii="Arial" w:hAnsi="Arial" w:cs="Arial"/>
          <w:b/>
        </w:rPr>
      </w:pPr>
      <w:r>
        <w:rPr>
          <w:rFonts w:ascii="Arial" w:hAnsi="Arial" w:cs="Arial"/>
          <w:b/>
        </w:rPr>
        <w:t xml:space="preserve">12.2  </w:t>
      </w:r>
      <w:r w:rsidR="00E1164A" w:rsidRPr="008E0FEC">
        <w:rPr>
          <w:rFonts w:ascii="Arial" w:hAnsi="Arial" w:cs="Arial"/>
          <w:b/>
        </w:rPr>
        <w:t>An ability to analyse, evaluate and correctly interpret data (POB1-5)</w:t>
      </w:r>
    </w:p>
    <w:p w:rsidR="00E1164A" w:rsidRPr="008E0FEC" w:rsidRDefault="00493265" w:rsidP="00493265">
      <w:pPr>
        <w:spacing w:after="120" w:line="240" w:lineRule="auto"/>
        <w:ind w:left="720"/>
        <w:jc w:val="both"/>
        <w:rPr>
          <w:rFonts w:ascii="Arial" w:hAnsi="Arial" w:cs="Arial"/>
          <w:b/>
        </w:rPr>
      </w:pPr>
      <w:r>
        <w:rPr>
          <w:rFonts w:ascii="Arial" w:hAnsi="Arial" w:cs="Arial"/>
          <w:b/>
        </w:rPr>
        <w:t xml:space="preserve">12.3  </w:t>
      </w:r>
      <w:r w:rsidR="00E1164A" w:rsidRPr="008E0FEC">
        <w:rPr>
          <w:rFonts w:ascii="Arial" w:hAnsi="Arial" w:cs="Arial"/>
          <w:b/>
        </w:rPr>
        <w:t>An ability to present and communicate data (POD2, POD3, POD4)</w:t>
      </w:r>
    </w:p>
    <w:p w:rsidR="00E1164A" w:rsidRPr="008E0FEC" w:rsidRDefault="00493265" w:rsidP="00493265">
      <w:pPr>
        <w:spacing w:after="120" w:line="240" w:lineRule="auto"/>
        <w:ind w:left="720"/>
        <w:jc w:val="both"/>
        <w:rPr>
          <w:rFonts w:ascii="Arial" w:hAnsi="Arial" w:cs="Arial"/>
          <w:b/>
        </w:rPr>
      </w:pPr>
      <w:r>
        <w:rPr>
          <w:rFonts w:ascii="Arial" w:hAnsi="Arial" w:cs="Arial"/>
          <w:b/>
        </w:rPr>
        <w:t xml:space="preserve">12.4  </w:t>
      </w:r>
      <w:r w:rsidR="00E1164A" w:rsidRPr="008E0FEC">
        <w:rPr>
          <w:rFonts w:ascii="Arial" w:hAnsi="Arial" w:cs="Arial"/>
          <w:b/>
        </w:rPr>
        <w:t>An ability to obtain and use information from a variety of sources as part of self-directed learning (POD1-6)</w:t>
      </w:r>
    </w:p>
    <w:p w:rsidR="00E1164A" w:rsidRPr="008E0FEC" w:rsidRDefault="00493265" w:rsidP="00493265">
      <w:pPr>
        <w:spacing w:after="120" w:line="240" w:lineRule="auto"/>
        <w:ind w:left="720"/>
        <w:jc w:val="both"/>
        <w:rPr>
          <w:rFonts w:ascii="Arial" w:hAnsi="Arial" w:cs="Arial"/>
          <w:b/>
        </w:rPr>
      </w:pPr>
      <w:r>
        <w:rPr>
          <w:rFonts w:ascii="Arial" w:hAnsi="Arial" w:cs="Arial"/>
          <w:b/>
        </w:rPr>
        <w:t xml:space="preserve">12.5 </w:t>
      </w:r>
      <w:r w:rsidR="00E1164A" w:rsidRPr="008E0FEC">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Classical approaches to studying drug-receptor interaction</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G-protein coupled receptors</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Ligand-gated ion channels</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Receptor tyrosine kinases</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Ligand-binding studies</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Homology modelling and site directed mutagenesis</w:t>
      </w:r>
    </w:p>
    <w:p w:rsidR="00493265" w:rsidRPr="008E0FEC"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X-ray crystallography and cryo-electron microscopy</w:t>
      </w:r>
    </w:p>
    <w:p w:rsidR="00493265" w:rsidRDefault="00493265" w:rsidP="004376CB">
      <w:pPr>
        <w:pStyle w:val="ListParagraph"/>
        <w:numPr>
          <w:ilvl w:val="0"/>
          <w:numId w:val="28"/>
        </w:numPr>
        <w:spacing w:after="120" w:line="240" w:lineRule="auto"/>
        <w:jc w:val="both"/>
        <w:rPr>
          <w:rFonts w:ascii="Arial" w:hAnsi="Arial" w:cs="Arial"/>
          <w:b/>
        </w:rPr>
      </w:pPr>
      <w:r w:rsidRPr="008E0FEC">
        <w:rPr>
          <w:rFonts w:ascii="Arial" w:hAnsi="Arial" w:cs="Arial"/>
          <w:b/>
        </w:rPr>
        <w:t>GTPγS binding and patch-clamp electrophysiology</w:t>
      </w:r>
    </w:p>
    <w:p w:rsidR="00F50175" w:rsidRPr="008E0FEC" w:rsidRDefault="00F50175" w:rsidP="00F50175">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493265" w:rsidRPr="00DD5915" w:rsidTr="00181EEA">
        <w:tc>
          <w:tcPr>
            <w:tcW w:w="1702" w:type="dxa"/>
          </w:tcPr>
          <w:p w:rsidR="00493265" w:rsidRPr="008E0FEC" w:rsidRDefault="00493265" w:rsidP="00CB5EFC">
            <w:pPr>
              <w:spacing w:after="120"/>
              <w:rPr>
                <w:rFonts w:ascii="Arial" w:hAnsi="Arial" w:cs="Arial"/>
                <w:b/>
              </w:rPr>
            </w:pPr>
            <w:r w:rsidRPr="008E0FEC">
              <w:rPr>
                <w:rFonts w:ascii="Arial" w:hAnsi="Arial" w:cs="Arial"/>
                <w:b/>
              </w:rPr>
              <w:t>1420052543</w:t>
            </w:r>
          </w:p>
        </w:tc>
        <w:tc>
          <w:tcPr>
            <w:tcW w:w="1843" w:type="dxa"/>
          </w:tcPr>
          <w:p w:rsidR="00493265" w:rsidRPr="008E0FEC" w:rsidRDefault="00493265" w:rsidP="00CB5EFC">
            <w:pPr>
              <w:spacing w:after="120"/>
              <w:rPr>
                <w:rFonts w:ascii="Arial" w:hAnsi="Arial" w:cs="Arial"/>
                <w:b/>
              </w:rPr>
            </w:pPr>
            <w:r w:rsidRPr="008E0FEC">
              <w:rPr>
                <w:rFonts w:ascii="Arial" w:hAnsi="Arial" w:cs="Arial"/>
                <w:b/>
              </w:rPr>
              <w:t xml:space="preserve">John C. Foreman (Editor), Torben Johansen (Editor), Alasdair J. </w:t>
            </w:r>
            <w:r w:rsidRPr="008E0FEC">
              <w:rPr>
                <w:rFonts w:ascii="Arial" w:hAnsi="Arial" w:cs="Arial"/>
                <w:b/>
              </w:rPr>
              <w:lastRenderedPageBreak/>
              <w:t>Gibb (Editor)</w:t>
            </w:r>
          </w:p>
        </w:tc>
        <w:tc>
          <w:tcPr>
            <w:tcW w:w="1417" w:type="dxa"/>
          </w:tcPr>
          <w:p w:rsidR="00493265" w:rsidRPr="008E0FEC" w:rsidRDefault="00493265" w:rsidP="00CB5EFC">
            <w:pPr>
              <w:spacing w:after="120"/>
              <w:rPr>
                <w:rFonts w:ascii="Arial" w:hAnsi="Arial" w:cs="Arial"/>
                <w:b/>
              </w:rPr>
            </w:pPr>
            <w:r w:rsidRPr="008E0FEC">
              <w:rPr>
                <w:rFonts w:ascii="Arial" w:hAnsi="Arial" w:cs="Arial"/>
                <w:b/>
              </w:rPr>
              <w:lastRenderedPageBreak/>
              <w:t>15 Sep 2010</w:t>
            </w:r>
          </w:p>
        </w:tc>
        <w:tc>
          <w:tcPr>
            <w:tcW w:w="1985" w:type="dxa"/>
          </w:tcPr>
          <w:p w:rsidR="00493265" w:rsidRPr="008E0FEC" w:rsidRDefault="00493265" w:rsidP="00CB5EFC">
            <w:pPr>
              <w:spacing w:after="120"/>
              <w:rPr>
                <w:rFonts w:ascii="Arial" w:hAnsi="Arial" w:cs="Arial"/>
                <w:b/>
              </w:rPr>
            </w:pPr>
            <w:r w:rsidRPr="008E0FEC">
              <w:rPr>
                <w:rFonts w:ascii="Arial" w:hAnsi="Arial" w:cs="Arial"/>
                <w:b/>
              </w:rPr>
              <w:t>Textbook of Receptor Pharmacology, Third Edition</w:t>
            </w:r>
          </w:p>
        </w:tc>
        <w:tc>
          <w:tcPr>
            <w:tcW w:w="1760" w:type="dxa"/>
          </w:tcPr>
          <w:p w:rsidR="00493265" w:rsidRPr="008E0FEC" w:rsidRDefault="00493265" w:rsidP="00CB5EFC">
            <w:pPr>
              <w:spacing w:after="120"/>
              <w:rPr>
                <w:rFonts w:ascii="Arial" w:hAnsi="Arial" w:cs="Arial"/>
                <w:b/>
              </w:rPr>
            </w:pPr>
            <w:r w:rsidRPr="008E0FEC">
              <w:rPr>
                <w:rFonts w:ascii="Arial" w:hAnsi="Arial" w:cs="Arial"/>
                <w:b/>
              </w:rPr>
              <w:t>CRC press</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93265" w:rsidTr="00181EEA">
        <w:tc>
          <w:tcPr>
            <w:tcW w:w="1016" w:type="dxa"/>
          </w:tcPr>
          <w:p w:rsidR="00493265" w:rsidRPr="008E0FEC" w:rsidRDefault="00493265" w:rsidP="00CB5EFC">
            <w:pPr>
              <w:spacing w:before="40" w:after="40"/>
              <w:jc w:val="center"/>
              <w:rPr>
                <w:rFonts w:ascii="Arial" w:hAnsi="Arial" w:cs="Arial"/>
                <w:b/>
              </w:rPr>
            </w:pPr>
            <w:r w:rsidRPr="008E0FEC">
              <w:rPr>
                <w:rFonts w:ascii="Arial" w:hAnsi="Arial" w:cs="Arial"/>
                <w:b/>
              </w:rPr>
              <w:t>20</w:t>
            </w:r>
          </w:p>
        </w:tc>
        <w:tc>
          <w:tcPr>
            <w:tcW w:w="1176" w:type="dxa"/>
          </w:tcPr>
          <w:p w:rsidR="00493265" w:rsidRPr="008E0FEC" w:rsidRDefault="00493265" w:rsidP="00CB5EFC">
            <w:pPr>
              <w:spacing w:before="40" w:after="40"/>
              <w:jc w:val="center"/>
              <w:rPr>
                <w:rFonts w:ascii="Arial" w:hAnsi="Arial" w:cs="Arial"/>
                <w:b/>
              </w:rPr>
            </w:pPr>
            <w:r w:rsidRPr="008E0FEC">
              <w:rPr>
                <w:rFonts w:ascii="Arial" w:hAnsi="Arial" w:cs="Arial"/>
                <w:b/>
              </w:rPr>
              <w:t>6</w:t>
            </w:r>
          </w:p>
        </w:tc>
        <w:tc>
          <w:tcPr>
            <w:tcW w:w="1176" w:type="dxa"/>
          </w:tcPr>
          <w:p w:rsidR="00493265" w:rsidRPr="008E0FEC" w:rsidRDefault="00493265" w:rsidP="00CB5EFC">
            <w:pPr>
              <w:spacing w:before="40" w:after="40"/>
              <w:jc w:val="center"/>
              <w:rPr>
                <w:rFonts w:ascii="Arial" w:hAnsi="Arial" w:cs="Arial"/>
                <w:b/>
              </w:rPr>
            </w:pPr>
            <w:r w:rsidRPr="008E0FEC">
              <w:rPr>
                <w:rFonts w:ascii="Arial" w:hAnsi="Arial" w:cs="Arial"/>
                <w:b/>
              </w:rPr>
              <w:t>6</w:t>
            </w:r>
            <w:r>
              <w:rPr>
                <w:rFonts w:ascii="Arial" w:hAnsi="Arial" w:cs="Arial"/>
                <w:b/>
              </w:rPr>
              <w:t>3</w:t>
            </w:r>
          </w:p>
        </w:tc>
        <w:tc>
          <w:tcPr>
            <w:tcW w:w="1176" w:type="dxa"/>
          </w:tcPr>
          <w:p w:rsidR="00493265" w:rsidRPr="008E0FEC" w:rsidRDefault="00493265" w:rsidP="00CB5EFC">
            <w:pPr>
              <w:spacing w:before="40" w:after="40"/>
              <w:jc w:val="center"/>
              <w:rPr>
                <w:rFonts w:ascii="Arial" w:hAnsi="Arial" w:cs="Arial"/>
                <w:b/>
              </w:rPr>
            </w:pPr>
            <w:r w:rsidRPr="008E0FEC">
              <w:rPr>
                <w:rFonts w:ascii="Arial" w:hAnsi="Arial" w:cs="Arial"/>
                <w:b/>
              </w:rPr>
              <w:t>2</w:t>
            </w:r>
          </w:p>
        </w:tc>
        <w:tc>
          <w:tcPr>
            <w:tcW w:w="1224" w:type="dxa"/>
          </w:tcPr>
          <w:p w:rsidR="00493265" w:rsidRPr="008E0FEC" w:rsidRDefault="00493265" w:rsidP="00CB5EFC">
            <w:pPr>
              <w:spacing w:before="40" w:after="40"/>
              <w:jc w:val="center"/>
              <w:rPr>
                <w:rFonts w:ascii="Arial" w:hAnsi="Arial" w:cs="Arial"/>
                <w:b/>
              </w:rPr>
            </w:pPr>
            <w:r w:rsidRPr="008E0FEC">
              <w:rPr>
                <w:rFonts w:ascii="Arial" w:hAnsi="Arial" w:cs="Arial"/>
                <w:b/>
              </w:rPr>
              <w:t>56</w:t>
            </w:r>
          </w:p>
        </w:tc>
        <w:tc>
          <w:tcPr>
            <w:tcW w:w="1336" w:type="dxa"/>
          </w:tcPr>
          <w:p w:rsidR="00493265" w:rsidRPr="008E0FEC" w:rsidRDefault="00493265" w:rsidP="00CB5EFC">
            <w:pPr>
              <w:spacing w:before="40" w:after="40"/>
              <w:jc w:val="center"/>
              <w:rPr>
                <w:rFonts w:ascii="Arial" w:hAnsi="Arial" w:cs="Arial"/>
                <w:b/>
              </w:rPr>
            </w:pPr>
            <w:r w:rsidRPr="008E0FEC">
              <w:rPr>
                <w:rFonts w:ascii="Arial" w:hAnsi="Arial" w:cs="Arial"/>
                <w:b/>
              </w:rPr>
              <w:t xml:space="preserve">1 x </w:t>
            </w:r>
            <w:r>
              <w:rPr>
                <w:rFonts w:ascii="Arial" w:hAnsi="Arial" w:cs="Arial"/>
                <w:b/>
              </w:rPr>
              <w:t>3</w:t>
            </w:r>
            <w:r w:rsidRPr="008E0FEC">
              <w:rPr>
                <w:rFonts w:ascii="Arial" w:hAnsi="Arial" w:cs="Arial"/>
                <w:b/>
              </w:rPr>
              <w:t xml:space="preserve"> hour exam</w:t>
            </w:r>
          </w:p>
        </w:tc>
        <w:tc>
          <w:tcPr>
            <w:tcW w:w="1415" w:type="dxa"/>
          </w:tcPr>
          <w:p w:rsidR="00493265" w:rsidRPr="008E0FEC" w:rsidRDefault="00493265" w:rsidP="00CB5EFC">
            <w:pPr>
              <w:spacing w:before="40" w:after="40"/>
              <w:jc w:val="center"/>
              <w:rPr>
                <w:rFonts w:ascii="Arial" w:hAnsi="Arial" w:cs="Arial"/>
                <w:b/>
              </w:rPr>
            </w:pPr>
            <w:r w:rsidRPr="008E0FEC">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100A09">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376CB" w:rsidRPr="00DD5915" w:rsidTr="00100A09">
        <w:tc>
          <w:tcPr>
            <w:tcW w:w="1701" w:type="dxa"/>
          </w:tcPr>
          <w:p w:rsidR="004376CB" w:rsidRPr="008E0FEC" w:rsidRDefault="004376CB" w:rsidP="004376CB">
            <w:pPr>
              <w:tabs>
                <w:tab w:val="left" w:pos="426"/>
              </w:tabs>
              <w:spacing w:after="120"/>
              <w:rPr>
                <w:rFonts w:ascii="Arial" w:hAnsi="Arial" w:cs="Arial"/>
                <w:b/>
              </w:rPr>
            </w:pPr>
            <w:r w:rsidRPr="008E0FEC">
              <w:rPr>
                <w:rFonts w:ascii="Arial" w:hAnsi="Arial" w:cs="Arial"/>
                <w:b/>
              </w:rPr>
              <w:t xml:space="preserve">Continuous assessment </w:t>
            </w:r>
          </w:p>
        </w:tc>
        <w:tc>
          <w:tcPr>
            <w:tcW w:w="2977" w:type="dxa"/>
            <w:shd w:val="clear" w:color="auto" w:fill="FFFFFF"/>
          </w:tcPr>
          <w:p w:rsidR="004376CB" w:rsidRDefault="004376CB" w:rsidP="004376CB">
            <w:pPr>
              <w:spacing w:after="120"/>
              <w:rPr>
                <w:rFonts w:ascii="Arial" w:hAnsi="Arial" w:cs="Arial"/>
                <w:b/>
              </w:rPr>
            </w:pPr>
            <w:r w:rsidRPr="008E0FEC">
              <w:rPr>
                <w:rFonts w:ascii="Arial" w:hAnsi="Arial" w:cs="Arial"/>
                <w:b/>
              </w:rPr>
              <w:t>All subject specific learning outcomes (SSLOs)</w:t>
            </w:r>
          </w:p>
          <w:p w:rsidR="004376CB" w:rsidRPr="008E0FEC" w:rsidRDefault="004376CB" w:rsidP="004376CB">
            <w:pPr>
              <w:spacing w:after="120"/>
              <w:rPr>
                <w:rFonts w:ascii="Arial" w:hAnsi="Arial" w:cs="Arial"/>
                <w:b/>
              </w:rPr>
            </w:pPr>
            <w:r w:rsidRPr="008E0FEC">
              <w:rPr>
                <w:rFonts w:ascii="Arial" w:hAnsi="Arial" w:cs="Arial"/>
                <w:b/>
              </w:rPr>
              <w:t xml:space="preserve">All </w:t>
            </w:r>
            <w:r>
              <w:rPr>
                <w:rFonts w:ascii="Arial" w:hAnsi="Arial" w:cs="Arial"/>
                <w:b/>
              </w:rPr>
              <w:t>generic</w:t>
            </w:r>
            <w:r w:rsidRPr="008E0FEC">
              <w:rPr>
                <w:rFonts w:ascii="Arial" w:hAnsi="Arial" w:cs="Arial"/>
                <w:b/>
              </w:rPr>
              <w:t xml:space="preserve"> learning outcomes</w:t>
            </w:r>
          </w:p>
        </w:tc>
        <w:tc>
          <w:tcPr>
            <w:tcW w:w="1418" w:type="dxa"/>
          </w:tcPr>
          <w:p w:rsidR="004376CB" w:rsidRPr="008E0FEC" w:rsidRDefault="004376CB" w:rsidP="004376CB">
            <w:pPr>
              <w:tabs>
                <w:tab w:val="left" w:pos="426"/>
              </w:tabs>
              <w:spacing w:after="120"/>
              <w:rPr>
                <w:rFonts w:ascii="Arial" w:hAnsi="Arial" w:cs="Arial"/>
                <w:b/>
              </w:rPr>
            </w:pPr>
            <w:r w:rsidRPr="008E0FEC">
              <w:rPr>
                <w:rFonts w:ascii="Arial" w:hAnsi="Arial" w:cs="Arial"/>
                <w:b/>
              </w:rPr>
              <w:t>40%</w:t>
            </w:r>
          </w:p>
        </w:tc>
        <w:tc>
          <w:tcPr>
            <w:tcW w:w="2693" w:type="dxa"/>
          </w:tcPr>
          <w:p w:rsidR="004376CB" w:rsidRPr="008E0FEC" w:rsidRDefault="004376CB" w:rsidP="004376CB">
            <w:pPr>
              <w:tabs>
                <w:tab w:val="left" w:pos="426"/>
              </w:tabs>
              <w:spacing w:after="120"/>
              <w:rPr>
                <w:rFonts w:ascii="Arial" w:hAnsi="Arial" w:cs="Arial"/>
                <w:b/>
              </w:rPr>
            </w:pPr>
            <w:r w:rsidRPr="008E0FEC">
              <w:rPr>
                <w:rFonts w:ascii="Arial" w:hAnsi="Arial" w:cs="Arial"/>
                <w:b/>
              </w:rPr>
              <w:t xml:space="preserve">Essay on current approaches to study receptor structure and function </w:t>
            </w:r>
          </w:p>
        </w:tc>
      </w:tr>
      <w:tr w:rsidR="004376CB" w:rsidRPr="00DD5915" w:rsidTr="00100A09">
        <w:tc>
          <w:tcPr>
            <w:tcW w:w="1701" w:type="dxa"/>
          </w:tcPr>
          <w:p w:rsidR="004376CB" w:rsidRPr="008E0FEC" w:rsidRDefault="004376CB" w:rsidP="004376CB">
            <w:pPr>
              <w:tabs>
                <w:tab w:val="left" w:pos="426"/>
              </w:tabs>
              <w:spacing w:after="120"/>
              <w:rPr>
                <w:rFonts w:ascii="Arial" w:hAnsi="Arial" w:cs="Arial"/>
                <w:b/>
              </w:rPr>
            </w:pPr>
            <w:r w:rsidRPr="008E0FEC">
              <w:rPr>
                <w:rFonts w:ascii="Arial" w:hAnsi="Arial" w:cs="Arial"/>
                <w:b/>
              </w:rPr>
              <w:t>Examination</w:t>
            </w:r>
          </w:p>
        </w:tc>
        <w:tc>
          <w:tcPr>
            <w:tcW w:w="2977" w:type="dxa"/>
          </w:tcPr>
          <w:p w:rsidR="004376CB" w:rsidRDefault="004376CB" w:rsidP="004376CB">
            <w:pPr>
              <w:tabs>
                <w:tab w:val="left" w:pos="426"/>
              </w:tabs>
              <w:spacing w:after="120"/>
              <w:rPr>
                <w:rFonts w:ascii="Arial" w:hAnsi="Arial" w:cs="Arial"/>
                <w:b/>
              </w:rPr>
            </w:pPr>
            <w:r w:rsidRPr="008E0FEC">
              <w:rPr>
                <w:rFonts w:ascii="Arial" w:hAnsi="Arial" w:cs="Arial"/>
                <w:b/>
              </w:rPr>
              <w:t>All subject specific learning outcomes (SSLOs)</w:t>
            </w:r>
          </w:p>
          <w:p w:rsidR="004376CB" w:rsidRPr="008E0FEC" w:rsidRDefault="004376CB" w:rsidP="004376CB">
            <w:pPr>
              <w:tabs>
                <w:tab w:val="left" w:pos="426"/>
              </w:tabs>
              <w:spacing w:after="120"/>
              <w:rPr>
                <w:rFonts w:ascii="Arial" w:hAnsi="Arial" w:cs="Arial"/>
                <w:b/>
              </w:rPr>
            </w:pPr>
            <w:r>
              <w:rPr>
                <w:rFonts w:ascii="Arial" w:hAnsi="Arial" w:cs="Arial"/>
                <w:b/>
              </w:rPr>
              <w:t xml:space="preserve">All generic learning outcomes </w:t>
            </w:r>
          </w:p>
        </w:tc>
        <w:tc>
          <w:tcPr>
            <w:tcW w:w="1418" w:type="dxa"/>
          </w:tcPr>
          <w:p w:rsidR="004376CB" w:rsidRPr="008E0FEC" w:rsidRDefault="004376CB" w:rsidP="004376CB">
            <w:pPr>
              <w:tabs>
                <w:tab w:val="left" w:pos="426"/>
              </w:tabs>
              <w:spacing w:after="120"/>
              <w:rPr>
                <w:rFonts w:ascii="Arial" w:hAnsi="Arial" w:cs="Arial"/>
                <w:b/>
              </w:rPr>
            </w:pPr>
            <w:r w:rsidRPr="008E0FEC">
              <w:rPr>
                <w:rFonts w:ascii="Arial" w:hAnsi="Arial" w:cs="Arial"/>
                <w:b/>
              </w:rPr>
              <w:t>60%</w:t>
            </w:r>
          </w:p>
        </w:tc>
        <w:tc>
          <w:tcPr>
            <w:tcW w:w="2693" w:type="dxa"/>
          </w:tcPr>
          <w:p w:rsidR="004376CB" w:rsidRPr="008E0FEC" w:rsidRDefault="004376CB" w:rsidP="004376CB">
            <w:pPr>
              <w:tabs>
                <w:tab w:val="left" w:pos="426"/>
              </w:tabs>
              <w:spacing w:after="120"/>
              <w:rPr>
                <w:rFonts w:ascii="Arial" w:hAnsi="Arial" w:cs="Arial"/>
                <w:b/>
              </w:rPr>
            </w:pPr>
            <w:r>
              <w:rPr>
                <w:rFonts w:ascii="Arial" w:hAnsi="Arial" w:cs="Arial"/>
                <w:b/>
              </w:rPr>
              <w:t>3</w:t>
            </w:r>
            <w:r w:rsidRPr="008E0FEC">
              <w:rPr>
                <w:rFonts w:ascii="Arial" w:hAnsi="Arial" w:cs="Arial"/>
                <w:b/>
              </w:rPr>
              <w:t xml:space="preserve">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2F0BFB">
        <w:pPr>
          <w:pStyle w:val="Footer"/>
          <w:jc w:val="center"/>
        </w:pPr>
        <w:r>
          <w:t>Approved March 2014</w:t>
        </w:r>
        <w:r>
          <w:tab/>
        </w:r>
        <w:r>
          <w:tab/>
        </w:r>
        <w:r>
          <w:tab/>
        </w:r>
        <w:r w:rsidR="00B71528">
          <w:fldChar w:fldCharType="begin"/>
        </w:r>
        <w:r w:rsidR="006A7FB0">
          <w:instrText xml:space="preserve"> PAGE   \* MERGEFORMAT </w:instrText>
        </w:r>
        <w:r w:rsidR="00B71528">
          <w:fldChar w:fldCharType="separate"/>
        </w:r>
        <w:r>
          <w:rPr>
            <w:noProof/>
          </w:rPr>
          <w:t>2</w:t>
        </w:r>
        <w:r w:rsidR="00B71528">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7">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22"/>
  </w:num>
  <w:num w:numId="6">
    <w:abstractNumId w:val="20"/>
  </w:num>
  <w:num w:numId="7">
    <w:abstractNumId w:val="26"/>
  </w:num>
  <w:num w:numId="8">
    <w:abstractNumId w:val="5"/>
  </w:num>
  <w:num w:numId="9">
    <w:abstractNumId w:val="23"/>
  </w:num>
  <w:num w:numId="10">
    <w:abstractNumId w:val="17"/>
  </w:num>
  <w:num w:numId="11">
    <w:abstractNumId w:val="15"/>
  </w:num>
  <w:num w:numId="12">
    <w:abstractNumId w:val="18"/>
  </w:num>
  <w:num w:numId="13">
    <w:abstractNumId w:val="2"/>
  </w:num>
  <w:num w:numId="14">
    <w:abstractNumId w:val="13"/>
  </w:num>
  <w:num w:numId="15">
    <w:abstractNumId w:val="27"/>
  </w:num>
  <w:num w:numId="16">
    <w:abstractNumId w:val="24"/>
  </w:num>
  <w:num w:numId="17">
    <w:abstractNumId w:val="6"/>
  </w:num>
  <w:num w:numId="18">
    <w:abstractNumId w:val="12"/>
  </w:num>
  <w:num w:numId="19">
    <w:abstractNumId w:val="8"/>
  </w:num>
  <w:num w:numId="20">
    <w:abstractNumId w:val="21"/>
  </w:num>
  <w:num w:numId="21">
    <w:abstractNumId w:val="19"/>
  </w:num>
  <w:num w:numId="22">
    <w:abstractNumId w:val="14"/>
  </w:num>
  <w:num w:numId="23">
    <w:abstractNumId w:val="16"/>
  </w:num>
  <w:num w:numId="24">
    <w:abstractNumId w:val="10"/>
  </w:num>
  <w:num w:numId="25">
    <w:abstractNumId w:val="7"/>
  </w:num>
  <w:num w:numId="26">
    <w:abstractNumId w:val="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00A8"/>
    <w:rsid w:val="000E3B73"/>
    <w:rsid w:val="000F6C56"/>
    <w:rsid w:val="00100A09"/>
    <w:rsid w:val="00106DB7"/>
    <w:rsid w:val="00111906"/>
    <w:rsid w:val="00117577"/>
    <w:rsid w:val="00117793"/>
    <w:rsid w:val="001214D3"/>
    <w:rsid w:val="00143AA1"/>
    <w:rsid w:val="0014726A"/>
    <w:rsid w:val="001540CE"/>
    <w:rsid w:val="0015717B"/>
    <w:rsid w:val="00172793"/>
    <w:rsid w:val="001915D2"/>
    <w:rsid w:val="00196C6A"/>
    <w:rsid w:val="001D1F2D"/>
    <w:rsid w:val="001D5149"/>
    <w:rsid w:val="001E1F45"/>
    <w:rsid w:val="001F413E"/>
    <w:rsid w:val="002465A1"/>
    <w:rsid w:val="002534A5"/>
    <w:rsid w:val="00294B73"/>
    <w:rsid w:val="002F0473"/>
    <w:rsid w:val="002F0BFB"/>
    <w:rsid w:val="002F0CE4"/>
    <w:rsid w:val="002F2626"/>
    <w:rsid w:val="002F5E06"/>
    <w:rsid w:val="003262B9"/>
    <w:rsid w:val="003759B0"/>
    <w:rsid w:val="003A67C8"/>
    <w:rsid w:val="003C230C"/>
    <w:rsid w:val="003C4296"/>
    <w:rsid w:val="003D07D1"/>
    <w:rsid w:val="003D7AA0"/>
    <w:rsid w:val="003F67CD"/>
    <w:rsid w:val="004026A1"/>
    <w:rsid w:val="004376CB"/>
    <w:rsid w:val="00443C1D"/>
    <w:rsid w:val="00472023"/>
    <w:rsid w:val="00486993"/>
    <w:rsid w:val="00492DA4"/>
    <w:rsid w:val="00493265"/>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2688C"/>
    <w:rsid w:val="007603D0"/>
    <w:rsid w:val="0077544D"/>
    <w:rsid w:val="007972A7"/>
    <w:rsid w:val="007A49CB"/>
    <w:rsid w:val="007B409D"/>
    <w:rsid w:val="007C74B4"/>
    <w:rsid w:val="007E053B"/>
    <w:rsid w:val="007E3412"/>
    <w:rsid w:val="008029AF"/>
    <w:rsid w:val="008102E5"/>
    <w:rsid w:val="008133F0"/>
    <w:rsid w:val="00815880"/>
    <w:rsid w:val="0083482B"/>
    <w:rsid w:val="008560E0"/>
    <w:rsid w:val="00873E9F"/>
    <w:rsid w:val="008A37C5"/>
    <w:rsid w:val="008B2E45"/>
    <w:rsid w:val="008E6577"/>
    <w:rsid w:val="00903DF6"/>
    <w:rsid w:val="00921CF6"/>
    <w:rsid w:val="009601DD"/>
    <w:rsid w:val="00987DB4"/>
    <w:rsid w:val="009B308A"/>
    <w:rsid w:val="009D068C"/>
    <w:rsid w:val="00A021FE"/>
    <w:rsid w:val="00A1270E"/>
    <w:rsid w:val="00A42958"/>
    <w:rsid w:val="00A52DB4"/>
    <w:rsid w:val="00A629B9"/>
    <w:rsid w:val="00A74292"/>
    <w:rsid w:val="00A8555F"/>
    <w:rsid w:val="00AA3C15"/>
    <w:rsid w:val="00B03ACD"/>
    <w:rsid w:val="00B17CD2"/>
    <w:rsid w:val="00B248BA"/>
    <w:rsid w:val="00B5238B"/>
    <w:rsid w:val="00B5287E"/>
    <w:rsid w:val="00B57219"/>
    <w:rsid w:val="00B71528"/>
    <w:rsid w:val="00B95469"/>
    <w:rsid w:val="00BC19F7"/>
    <w:rsid w:val="00BD0EF8"/>
    <w:rsid w:val="00BE2126"/>
    <w:rsid w:val="00BE3B17"/>
    <w:rsid w:val="00C04C95"/>
    <w:rsid w:val="00C12613"/>
    <w:rsid w:val="00C3744A"/>
    <w:rsid w:val="00C55545"/>
    <w:rsid w:val="00C6713B"/>
    <w:rsid w:val="00C83354"/>
    <w:rsid w:val="00CB11CE"/>
    <w:rsid w:val="00D2689A"/>
    <w:rsid w:val="00D82F9E"/>
    <w:rsid w:val="00DA64B6"/>
    <w:rsid w:val="00DC7B02"/>
    <w:rsid w:val="00DD02E6"/>
    <w:rsid w:val="00DE0117"/>
    <w:rsid w:val="00E1164A"/>
    <w:rsid w:val="00E22F03"/>
    <w:rsid w:val="00E51404"/>
    <w:rsid w:val="00E574C9"/>
    <w:rsid w:val="00E610DE"/>
    <w:rsid w:val="00EF3A79"/>
    <w:rsid w:val="00F01956"/>
    <w:rsid w:val="00F21C47"/>
    <w:rsid w:val="00F301F8"/>
    <w:rsid w:val="00F340DE"/>
    <w:rsid w:val="00F50175"/>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8701-88E8-4915-8B3A-C5CC9BE6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2014-04-23T10:09:00Z</dcterms:created>
  <dcterms:modified xsi:type="dcterms:W3CDTF">2014-04-23T10:09:00Z</dcterms:modified>
</cp:coreProperties>
</file>