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Default="001B3714" w:rsidP="007839B5">
      <w:pPr>
        <w:spacing w:after="120"/>
        <w:ind w:firstLine="426"/>
        <w:jc w:val="both"/>
        <w:rPr>
          <w:rFonts w:ascii="Arial" w:hAnsi="Arial" w:cs="Arial"/>
        </w:rPr>
      </w:pPr>
      <w:r>
        <w:rPr>
          <w:rFonts w:ascii="Arial" w:hAnsi="Arial" w:cs="Arial"/>
          <w:b/>
        </w:rPr>
        <w:t>Clinical Pharmacology</w:t>
      </w:r>
      <w:r w:rsidR="008210A5">
        <w:rPr>
          <w:rFonts w:ascii="Arial" w:hAnsi="Arial" w:cs="Arial"/>
          <w:b/>
        </w:rPr>
        <w:t xml:space="preserve"> (PHAR1042)</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E1164A" w:rsidP="00E1164A">
      <w:pPr>
        <w:spacing w:after="120"/>
        <w:ind w:left="426"/>
        <w:jc w:val="both"/>
        <w:rPr>
          <w:rFonts w:ascii="Arial" w:hAnsi="Arial" w:cs="Arial"/>
          <w:b/>
        </w:rPr>
      </w:pPr>
      <w:r>
        <w:rPr>
          <w:rFonts w:ascii="Arial" w:hAnsi="Arial" w:cs="Arial"/>
          <w:b/>
        </w:rPr>
        <w:t>October 2016</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8A37C5">
      <w:pPr>
        <w:spacing w:after="120"/>
        <w:ind w:firstLine="426"/>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D95D48" w:rsidP="00D95D48">
      <w:pPr>
        <w:spacing w:after="120"/>
        <w:ind w:firstLine="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Have a good understanding of evidence-based drug therapy and the significance of the randomised double-blind placebo controlled trial</w:t>
      </w:r>
      <w:r>
        <w:rPr>
          <w:rFonts w:ascii="Arial" w:hAnsi="Arial" w:cs="Arial"/>
          <w:b/>
        </w:rPr>
        <w:t xml:space="preserve"> (POA1, POA2, POA3, POA5, POB1, POB2, POB3, POC4, POD1,POD3).</w:t>
      </w:r>
    </w:p>
    <w:p w:rsidR="002E4D04" w:rsidRDefault="002E4D04" w:rsidP="002E4D04">
      <w:pPr>
        <w:pStyle w:val="ListParagraph"/>
        <w:spacing w:after="120" w:line="240" w:lineRule="auto"/>
        <w:ind w:left="1146" w:hanging="720"/>
        <w:jc w:val="both"/>
        <w:rPr>
          <w:rFonts w:ascii="Arial" w:hAnsi="Arial" w:cs="Arial"/>
          <w:b/>
        </w:rPr>
      </w:pPr>
    </w:p>
    <w:p w:rsidR="002E4D04"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what is meant by pharmacovigliance and pharmacoepidemiology</w:t>
      </w:r>
      <w:r>
        <w:rPr>
          <w:rFonts w:ascii="Arial" w:hAnsi="Arial" w:cs="Arial"/>
          <w:b/>
        </w:rPr>
        <w:t xml:space="preserve"> (POA1, POA2, POA3, POA5, POB1, POB2, POB3, POC4, POD1,POD3).</w:t>
      </w:r>
    </w:p>
    <w:p w:rsidR="002E4D04" w:rsidRPr="002E4D04" w:rsidRDefault="002E4D04" w:rsidP="002E4D04">
      <w:pPr>
        <w:pStyle w:val="ListParagraph"/>
        <w:spacing w:after="120" w:line="240" w:lineRule="auto"/>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Have an understanding of the possible sources of adverse drug interactions</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lastRenderedPageBreak/>
        <w:t>Understand the clinical pharmacology of the principal drugs used to treat infection and inflammation</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how neuroactive drugs are used clinically in anaesthesia, pain management, and neurological disorders such as dementia, Parkinson’s disease, epilepsy and multiple sclerosis</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the clinical use of cholinergic, anti-muscarinic, and adrenergic drugs</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E4D04"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how the various classes of diuretics are used clinically</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the use and application of antitussives and respiratory stimulants</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Default="002E4D04" w:rsidP="002E4D04">
      <w:pPr>
        <w:pStyle w:val="ListParagraph"/>
        <w:numPr>
          <w:ilvl w:val="0"/>
          <w:numId w:val="33"/>
        </w:numPr>
        <w:spacing w:after="120" w:line="240" w:lineRule="auto"/>
        <w:ind w:hanging="720"/>
        <w:jc w:val="both"/>
        <w:rPr>
          <w:rFonts w:ascii="Arial" w:hAnsi="Arial" w:cs="Arial"/>
          <w:b/>
        </w:rPr>
      </w:pPr>
      <w:r w:rsidRPr="00491A3B">
        <w:rPr>
          <w:rFonts w:ascii="Arial" w:hAnsi="Arial" w:cs="Arial"/>
          <w:b/>
        </w:rPr>
        <w:t xml:space="preserve">Understand the clinical use of pro-coagulant and anti-coagulant drugs (POA1, POA2, POA3, POA5, POB1, POB2, POB3, POC4, POD1,POD3) </w:t>
      </w:r>
      <w:r>
        <w:rPr>
          <w:rFonts w:ascii="Arial" w:hAnsi="Arial" w:cs="Arial"/>
          <w:b/>
        </w:rPr>
        <w:t>.</w:t>
      </w:r>
    </w:p>
    <w:p w:rsidR="002E4D04" w:rsidRDefault="002E4D04" w:rsidP="002E4D04">
      <w:pPr>
        <w:pStyle w:val="ListParagraph"/>
        <w:spacing w:after="120"/>
        <w:ind w:left="1146" w:hanging="720"/>
        <w:jc w:val="both"/>
        <w:rPr>
          <w:rFonts w:ascii="Arial" w:hAnsi="Arial" w:cs="Arial"/>
          <w:b/>
        </w:rPr>
      </w:pPr>
    </w:p>
    <w:p w:rsidR="002E4D04" w:rsidRPr="00491A3B" w:rsidRDefault="002E4D04" w:rsidP="002E4D04">
      <w:pPr>
        <w:pStyle w:val="ListParagraph"/>
        <w:numPr>
          <w:ilvl w:val="0"/>
          <w:numId w:val="33"/>
        </w:numPr>
        <w:spacing w:after="120" w:line="240" w:lineRule="auto"/>
        <w:ind w:hanging="720"/>
        <w:jc w:val="both"/>
        <w:rPr>
          <w:rFonts w:ascii="Arial" w:hAnsi="Arial" w:cs="Arial"/>
          <w:b/>
        </w:rPr>
      </w:pPr>
      <w:r w:rsidRPr="00491A3B">
        <w:rPr>
          <w:rFonts w:ascii="Arial" w:hAnsi="Arial" w:cs="Arial"/>
          <w:b/>
        </w:rPr>
        <w:t>Understand the clinical use and application of the various classes of cytotoxic drugs in the treatment of cancer  (POA1, POA2, POA3, POA5, POB1, POB2, POB3, POC4, POD1,POD3)</w:t>
      </w:r>
      <w:r>
        <w:rPr>
          <w:rFonts w:ascii="Arial" w:hAnsi="Arial" w:cs="Arial"/>
          <w:b/>
        </w:rPr>
        <w:t>.</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the clinical use and application of drugs that effect gastrointestinal motility</w:t>
      </w:r>
      <w:r>
        <w:rPr>
          <w:rFonts w:ascii="Arial" w:hAnsi="Arial" w:cs="Arial"/>
          <w:b/>
        </w:rPr>
        <w:t xml:space="preserve"> (POA1, POA2, POA3, POA5, POB1, POB2, POB3, POC4, POD1,POD3).</w:t>
      </w:r>
    </w:p>
    <w:p w:rsidR="002E4D04" w:rsidRPr="00237E01" w:rsidRDefault="002E4D04" w:rsidP="002E4D04">
      <w:pPr>
        <w:pStyle w:val="ListParagraph"/>
        <w:spacing w:after="120"/>
        <w:ind w:left="1146" w:hanging="720"/>
        <w:jc w:val="both"/>
        <w:rPr>
          <w:rFonts w:ascii="Arial" w:hAnsi="Arial" w:cs="Arial"/>
          <w:b/>
        </w:rPr>
      </w:pPr>
    </w:p>
    <w:p w:rsidR="002E4D04" w:rsidRPr="00237E01" w:rsidRDefault="002E4D04" w:rsidP="002E4D04">
      <w:pPr>
        <w:pStyle w:val="ListParagraph"/>
        <w:numPr>
          <w:ilvl w:val="0"/>
          <w:numId w:val="33"/>
        </w:numPr>
        <w:spacing w:after="120" w:line="240" w:lineRule="auto"/>
        <w:ind w:hanging="720"/>
        <w:jc w:val="both"/>
        <w:rPr>
          <w:rFonts w:ascii="Arial" w:hAnsi="Arial" w:cs="Arial"/>
          <w:b/>
        </w:rPr>
      </w:pPr>
      <w:r w:rsidRPr="00237E01">
        <w:rPr>
          <w:rFonts w:ascii="Arial" w:hAnsi="Arial" w:cs="Arial"/>
          <w:b/>
        </w:rPr>
        <w:t>Understand the clinical application of anti-diabetes agents and anti-thyroid drugs</w:t>
      </w:r>
      <w:r>
        <w:rPr>
          <w:rFonts w:ascii="Arial" w:hAnsi="Arial" w:cs="Arial"/>
          <w:b/>
        </w:rPr>
        <w:t xml:space="preserve"> (POA1, POA2, POA3, POA5, POB1, POB2, POB3, POC4, POD1,POD3).</w:t>
      </w:r>
    </w:p>
    <w:p w:rsidR="00E1164A" w:rsidRDefault="00E1164A" w:rsidP="00E1164A">
      <w:pPr>
        <w:spacing w:after="60"/>
        <w:ind w:left="426"/>
        <w:jc w:val="both"/>
        <w:rPr>
          <w:rFonts w:ascii="Arial" w:hAnsi="Arial" w:cs="Arial"/>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2367AF">
      <w:pPr>
        <w:spacing w:before="60" w:after="60" w:line="240" w:lineRule="auto"/>
        <w:ind w:left="426" w:right="-330"/>
        <w:jc w:val="both"/>
        <w:rPr>
          <w:rFonts w:ascii="Arial" w:hAnsi="Arial" w:cs="Arial"/>
          <w:sz w:val="20"/>
          <w:szCs w:val="20"/>
        </w:rPr>
      </w:pP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analyse, evaluate and correctly interpret data (POB1-5)</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present and communicate data (POD2, POD3, POD4)</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obtain and use information from a variety of sources as part of self-directed learning (POD1-6)</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Evaluation of drug effects in humans</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Unwanted drug effects and adverse drug reactions</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Infection and inflammation</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 xml:space="preserve">Nervous system </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Cardiorespiratory and renal systems</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lastRenderedPageBreak/>
        <w:t>Blood and neoplastic disease</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Gastrointestinal system</w:t>
      </w:r>
    </w:p>
    <w:p w:rsidR="002E4D04" w:rsidRDefault="002E4D04" w:rsidP="002E4D04">
      <w:pPr>
        <w:pStyle w:val="ListParagraph"/>
        <w:numPr>
          <w:ilvl w:val="0"/>
          <w:numId w:val="20"/>
        </w:numPr>
        <w:spacing w:after="120" w:line="240" w:lineRule="auto"/>
        <w:jc w:val="both"/>
        <w:rPr>
          <w:rFonts w:ascii="Arial" w:hAnsi="Arial" w:cs="Arial"/>
          <w:b/>
        </w:rPr>
      </w:pPr>
      <w:r>
        <w:rPr>
          <w:rFonts w:ascii="Arial" w:hAnsi="Arial" w:cs="Arial"/>
          <w:b/>
        </w:rPr>
        <w:t>Endocrine system and metabolic disorders</w:t>
      </w:r>
    </w:p>
    <w:p w:rsidR="00F50175" w:rsidRPr="008E0FEC" w:rsidRDefault="00F50175" w:rsidP="00F50175">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2E4D04" w:rsidRPr="00DD5915" w:rsidTr="00181EEA">
        <w:tc>
          <w:tcPr>
            <w:tcW w:w="1702" w:type="dxa"/>
          </w:tcPr>
          <w:p w:rsidR="002E4D04" w:rsidRPr="008E0FEC" w:rsidRDefault="002E4D04" w:rsidP="002E4D04">
            <w:pPr>
              <w:spacing w:after="120" w:line="240" w:lineRule="auto"/>
              <w:rPr>
                <w:rFonts w:ascii="Arial" w:hAnsi="Arial" w:cs="Arial"/>
                <w:b/>
              </w:rPr>
            </w:pPr>
            <w:r w:rsidRPr="00237E01">
              <w:rPr>
                <w:rFonts w:ascii="Arial" w:hAnsi="Arial" w:cs="Arial"/>
                <w:b/>
              </w:rPr>
              <w:t>0702040843</w:t>
            </w:r>
          </w:p>
        </w:tc>
        <w:tc>
          <w:tcPr>
            <w:tcW w:w="1843" w:type="dxa"/>
          </w:tcPr>
          <w:p w:rsidR="002E4D04" w:rsidRDefault="002E4D04" w:rsidP="002E4D04">
            <w:pPr>
              <w:spacing w:after="120" w:line="240" w:lineRule="auto"/>
              <w:rPr>
                <w:rFonts w:ascii="Arial" w:hAnsi="Arial" w:cs="Arial"/>
                <w:b/>
              </w:rPr>
            </w:pPr>
            <w:r>
              <w:rPr>
                <w:rFonts w:ascii="Arial" w:hAnsi="Arial" w:cs="Arial"/>
                <w:b/>
              </w:rPr>
              <w:t>Peter Bennett</w:t>
            </w:r>
          </w:p>
          <w:p w:rsidR="002E4D04" w:rsidRDefault="002E4D04" w:rsidP="002E4D04">
            <w:pPr>
              <w:spacing w:after="120" w:line="240" w:lineRule="auto"/>
              <w:rPr>
                <w:rFonts w:ascii="Arial" w:hAnsi="Arial" w:cs="Arial"/>
                <w:b/>
              </w:rPr>
            </w:pPr>
            <w:r>
              <w:rPr>
                <w:rFonts w:ascii="Arial" w:hAnsi="Arial" w:cs="Arial"/>
                <w:b/>
              </w:rPr>
              <w:t>Morris Brown</w:t>
            </w:r>
          </w:p>
          <w:p w:rsidR="002E4D04" w:rsidRPr="008E0FEC" w:rsidRDefault="002E4D04" w:rsidP="002E4D04">
            <w:pPr>
              <w:spacing w:after="120" w:line="240" w:lineRule="auto"/>
              <w:rPr>
                <w:rFonts w:ascii="Arial" w:hAnsi="Arial" w:cs="Arial"/>
                <w:b/>
              </w:rPr>
            </w:pPr>
            <w:r>
              <w:rPr>
                <w:rFonts w:ascii="Arial" w:hAnsi="Arial" w:cs="Arial"/>
                <w:b/>
              </w:rPr>
              <w:t>Pankaj Sharma</w:t>
            </w:r>
          </w:p>
        </w:tc>
        <w:tc>
          <w:tcPr>
            <w:tcW w:w="1417" w:type="dxa"/>
          </w:tcPr>
          <w:p w:rsidR="002E4D04" w:rsidRPr="008E0FEC" w:rsidRDefault="002E4D04" w:rsidP="002E4D04">
            <w:pPr>
              <w:spacing w:after="120" w:line="240" w:lineRule="auto"/>
              <w:rPr>
                <w:rFonts w:ascii="Arial" w:hAnsi="Arial" w:cs="Arial"/>
                <w:b/>
              </w:rPr>
            </w:pPr>
            <w:r w:rsidRPr="008E0FEC">
              <w:rPr>
                <w:rFonts w:ascii="Arial" w:hAnsi="Arial" w:cs="Arial"/>
                <w:b/>
              </w:rPr>
              <w:t>15 Sep 2010</w:t>
            </w:r>
          </w:p>
        </w:tc>
        <w:tc>
          <w:tcPr>
            <w:tcW w:w="1985" w:type="dxa"/>
          </w:tcPr>
          <w:p w:rsidR="002E4D04" w:rsidRDefault="002E4D04" w:rsidP="002E4D04">
            <w:pPr>
              <w:spacing w:after="120" w:line="240" w:lineRule="auto"/>
              <w:rPr>
                <w:rFonts w:ascii="Arial" w:hAnsi="Arial" w:cs="Arial"/>
                <w:b/>
              </w:rPr>
            </w:pPr>
            <w:r w:rsidRPr="00237E01">
              <w:rPr>
                <w:rFonts w:ascii="Arial" w:hAnsi="Arial" w:cs="Arial"/>
                <w:b/>
              </w:rPr>
              <w:t>Clinical Pharmacology</w:t>
            </w:r>
          </w:p>
          <w:p w:rsidR="002E4D04" w:rsidRPr="008E0FEC" w:rsidRDefault="002E4D04" w:rsidP="002E4D04">
            <w:pPr>
              <w:spacing w:after="120" w:line="240" w:lineRule="auto"/>
              <w:rPr>
                <w:rFonts w:ascii="Arial" w:hAnsi="Arial" w:cs="Arial"/>
                <w:b/>
              </w:rPr>
            </w:pPr>
          </w:p>
        </w:tc>
        <w:tc>
          <w:tcPr>
            <w:tcW w:w="1760" w:type="dxa"/>
          </w:tcPr>
          <w:p w:rsidR="002E4D04" w:rsidRPr="008E0FEC" w:rsidRDefault="002E4D04" w:rsidP="002E4D04">
            <w:pPr>
              <w:spacing w:after="120" w:line="240" w:lineRule="auto"/>
              <w:rPr>
                <w:rFonts w:ascii="Arial" w:hAnsi="Arial" w:cs="Arial"/>
                <w:b/>
              </w:rPr>
            </w:pPr>
            <w:r>
              <w:rPr>
                <w:rFonts w:ascii="Arial" w:hAnsi="Arial" w:cs="Arial"/>
                <w:b/>
              </w:rPr>
              <w:t>Elsevier</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204EE" w:rsidTr="00181EEA">
        <w:tc>
          <w:tcPr>
            <w:tcW w:w="1016" w:type="dxa"/>
          </w:tcPr>
          <w:p w:rsidR="004204EE" w:rsidRPr="008E0FEC" w:rsidRDefault="004204EE" w:rsidP="009807E5">
            <w:pPr>
              <w:spacing w:before="40" w:after="40"/>
              <w:jc w:val="center"/>
              <w:rPr>
                <w:rFonts w:ascii="Arial" w:hAnsi="Arial" w:cs="Arial"/>
                <w:b/>
              </w:rPr>
            </w:pPr>
            <w:r w:rsidRPr="008E0FEC">
              <w:rPr>
                <w:rFonts w:ascii="Arial" w:hAnsi="Arial" w:cs="Arial"/>
                <w:b/>
              </w:rPr>
              <w:t>20</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r>
              <w:rPr>
                <w:rFonts w:ascii="Arial" w:hAnsi="Arial" w:cs="Arial"/>
                <w:b/>
              </w:rPr>
              <w:t>3</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2</w:t>
            </w:r>
          </w:p>
        </w:tc>
        <w:tc>
          <w:tcPr>
            <w:tcW w:w="1224" w:type="dxa"/>
          </w:tcPr>
          <w:p w:rsidR="004204EE" w:rsidRPr="008E0FEC" w:rsidRDefault="004204EE" w:rsidP="009807E5">
            <w:pPr>
              <w:spacing w:before="40" w:after="40"/>
              <w:jc w:val="center"/>
              <w:rPr>
                <w:rFonts w:ascii="Arial" w:hAnsi="Arial" w:cs="Arial"/>
                <w:b/>
              </w:rPr>
            </w:pPr>
            <w:r w:rsidRPr="008E0FEC">
              <w:rPr>
                <w:rFonts w:ascii="Arial" w:hAnsi="Arial" w:cs="Arial"/>
                <w:b/>
              </w:rPr>
              <w:t>56</w:t>
            </w:r>
          </w:p>
        </w:tc>
        <w:tc>
          <w:tcPr>
            <w:tcW w:w="1336" w:type="dxa"/>
          </w:tcPr>
          <w:p w:rsidR="004204EE" w:rsidRPr="008E0FEC" w:rsidRDefault="004204EE" w:rsidP="009807E5">
            <w:pPr>
              <w:spacing w:before="40" w:after="40"/>
              <w:jc w:val="center"/>
              <w:rPr>
                <w:rFonts w:ascii="Arial" w:hAnsi="Arial" w:cs="Arial"/>
                <w:b/>
              </w:rPr>
            </w:pPr>
            <w:r w:rsidRPr="008E0FEC">
              <w:rPr>
                <w:rFonts w:ascii="Arial" w:hAnsi="Arial" w:cs="Arial"/>
                <w:b/>
              </w:rPr>
              <w:t xml:space="preserve">1 x </w:t>
            </w:r>
            <w:r>
              <w:rPr>
                <w:rFonts w:ascii="Arial" w:hAnsi="Arial" w:cs="Arial"/>
                <w:b/>
              </w:rPr>
              <w:t>3</w:t>
            </w:r>
            <w:r w:rsidRPr="008E0FEC">
              <w:rPr>
                <w:rFonts w:ascii="Arial" w:hAnsi="Arial" w:cs="Arial"/>
                <w:b/>
              </w:rPr>
              <w:t xml:space="preserve"> hour exam</w:t>
            </w:r>
          </w:p>
        </w:tc>
        <w:tc>
          <w:tcPr>
            <w:tcW w:w="1415" w:type="dxa"/>
          </w:tcPr>
          <w:p w:rsidR="004204EE" w:rsidRPr="008E0FEC" w:rsidRDefault="004204EE" w:rsidP="009807E5">
            <w:pPr>
              <w:spacing w:before="40" w:after="40"/>
              <w:jc w:val="center"/>
              <w:rPr>
                <w:rFonts w:ascii="Arial" w:hAnsi="Arial" w:cs="Arial"/>
                <w:b/>
              </w:rPr>
            </w:pPr>
            <w:r w:rsidRPr="008E0FEC">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Default="00B03ACD"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Default="007E6E05" w:rsidP="008B2E45">
      <w:pPr>
        <w:spacing w:before="60" w:after="60" w:line="240" w:lineRule="auto"/>
        <w:ind w:right="-330"/>
        <w:rPr>
          <w:rFonts w:ascii="Arial" w:hAnsi="Arial" w:cs="Arial"/>
          <w:i/>
          <w:iCs/>
          <w:sz w:val="20"/>
          <w:szCs w:val="20"/>
        </w:rPr>
      </w:pPr>
    </w:p>
    <w:p w:rsidR="007E6E05" w:rsidRPr="00C04C95" w:rsidRDefault="007E6E05"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559"/>
        <w:gridCol w:w="2552"/>
      </w:tblGrid>
      <w:tr w:rsidR="008B2E45" w:rsidRPr="00DD5915" w:rsidTr="007E6E05">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559"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552"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204EE" w:rsidRPr="00DD5915" w:rsidTr="007E6E05">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 xml:space="preserve">Continuous assessment </w:t>
            </w:r>
          </w:p>
        </w:tc>
        <w:tc>
          <w:tcPr>
            <w:tcW w:w="2977" w:type="dxa"/>
            <w:shd w:val="clear" w:color="auto" w:fill="FFFFFF"/>
          </w:tcPr>
          <w:p w:rsidR="004204EE" w:rsidRDefault="004204EE" w:rsidP="004204EE">
            <w:pPr>
              <w:spacing w:after="120" w:line="240" w:lineRule="auto"/>
              <w:rPr>
                <w:rFonts w:ascii="Arial" w:hAnsi="Arial" w:cs="Arial"/>
                <w:b/>
              </w:rPr>
            </w:pPr>
            <w:r w:rsidRPr="008E0FEC">
              <w:rPr>
                <w:rFonts w:ascii="Arial" w:hAnsi="Arial" w:cs="Arial"/>
                <w:b/>
              </w:rPr>
              <w:t>All subject specific learning outcomes (SSLOs)</w:t>
            </w:r>
          </w:p>
          <w:p w:rsidR="004204EE" w:rsidRPr="008E0FEC" w:rsidRDefault="004204EE" w:rsidP="004204EE">
            <w:pPr>
              <w:spacing w:after="120" w:line="240" w:lineRule="auto"/>
              <w:rPr>
                <w:rFonts w:ascii="Arial" w:hAnsi="Arial" w:cs="Arial"/>
                <w:b/>
              </w:rPr>
            </w:pPr>
            <w:r>
              <w:rPr>
                <w:rFonts w:ascii="Arial" w:hAnsi="Arial" w:cs="Arial"/>
                <w:b/>
              </w:rPr>
              <w:t>All generic learning outcomes</w:t>
            </w:r>
          </w:p>
        </w:tc>
        <w:tc>
          <w:tcPr>
            <w:tcW w:w="1559"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40%</w:t>
            </w:r>
          </w:p>
        </w:tc>
        <w:tc>
          <w:tcPr>
            <w:tcW w:w="2552" w:type="dxa"/>
          </w:tcPr>
          <w:p w:rsidR="004204EE" w:rsidRPr="008E0FEC" w:rsidRDefault="004A6E38" w:rsidP="004204EE">
            <w:pPr>
              <w:tabs>
                <w:tab w:val="left" w:pos="426"/>
              </w:tabs>
              <w:spacing w:after="120" w:line="240" w:lineRule="auto"/>
              <w:rPr>
                <w:rFonts w:ascii="Arial" w:hAnsi="Arial" w:cs="Arial"/>
                <w:b/>
              </w:rPr>
            </w:pPr>
            <w:r>
              <w:rPr>
                <w:rFonts w:ascii="Arial" w:hAnsi="Arial" w:cs="Arial"/>
                <w:b/>
              </w:rPr>
              <w:t>Critical evaluation essay on a current published clinical trial</w:t>
            </w:r>
          </w:p>
        </w:tc>
      </w:tr>
      <w:tr w:rsidR="004204EE" w:rsidRPr="00DD5915" w:rsidTr="007E6E05">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Examination</w:t>
            </w:r>
          </w:p>
        </w:tc>
        <w:tc>
          <w:tcPr>
            <w:tcW w:w="2977"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All subject specific learning outcomes (SSLOs)</w:t>
            </w:r>
          </w:p>
        </w:tc>
        <w:tc>
          <w:tcPr>
            <w:tcW w:w="1559"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60%</w:t>
            </w:r>
          </w:p>
        </w:tc>
        <w:tc>
          <w:tcPr>
            <w:tcW w:w="2552"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3</w:t>
            </w:r>
            <w:r w:rsidRPr="008E0FEC">
              <w:rPr>
                <w:rFonts w:ascii="Arial" w:hAnsi="Arial" w:cs="Arial"/>
                <w:b/>
              </w:rPr>
              <w:t xml:space="preserve">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8210A5">
        <w:pPr>
          <w:pStyle w:val="Footer"/>
          <w:jc w:val="center"/>
        </w:pPr>
        <w:r>
          <w:t>Approved March 2014</w:t>
        </w:r>
        <w:r>
          <w:tab/>
        </w:r>
        <w:r>
          <w:tab/>
        </w:r>
        <w:r w:rsidR="00565E19">
          <w:fldChar w:fldCharType="begin"/>
        </w:r>
        <w:r w:rsidR="006A7FB0">
          <w:instrText xml:space="preserve"> PAGE   \* MERGEFORMAT </w:instrText>
        </w:r>
        <w:r w:rsidR="00565E19">
          <w:fldChar w:fldCharType="separate"/>
        </w:r>
        <w:r w:rsidR="00E1615E">
          <w:rPr>
            <w:noProof/>
          </w:rPr>
          <w:t>2</w:t>
        </w:r>
        <w:r w:rsidR="00565E19">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0942331"/>
    <w:multiLevelType w:val="hybridMultilevel"/>
    <w:tmpl w:val="9260F62A"/>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7B70556"/>
    <w:multiLevelType w:val="hybridMultilevel"/>
    <w:tmpl w:val="A9EEA4A2"/>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18C26FB"/>
    <w:multiLevelType w:val="hybridMultilevel"/>
    <w:tmpl w:val="3D26659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9">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69621D3"/>
    <w:multiLevelType w:val="hybridMultilevel"/>
    <w:tmpl w:val="B32AEE14"/>
    <w:lvl w:ilvl="0" w:tplc="89EA4D34">
      <w:start w:val="1"/>
      <w:numFmt w:val="decimal"/>
      <w:lvlText w:val="12.%1 "/>
      <w:lvlJc w:val="left"/>
      <w:pPr>
        <w:ind w:left="1506" w:hanging="360"/>
      </w:pPr>
      <w:rPr>
        <w:rFonts w:hint="default"/>
        <w:sz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nsid w:val="7D5464BB"/>
    <w:multiLevelType w:val="hybridMultilevel"/>
    <w:tmpl w:val="61509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25"/>
  </w:num>
  <w:num w:numId="6">
    <w:abstractNumId w:val="23"/>
  </w:num>
  <w:num w:numId="7">
    <w:abstractNumId w:val="29"/>
  </w:num>
  <w:num w:numId="8">
    <w:abstractNumId w:val="5"/>
  </w:num>
  <w:num w:numId="9">
    <w:abstractNumId w:val="26"/>
  </w:num>
  <w:num w:numId="10">
    <w:abstractNumId w:val="20"/>
  </w:num>
  <w:num w:numId="11">
    <w:abstractNumId w:val="18"/>
  </w:num>
  <w:num w:numId="12">
    <w:abstractNumId w:val="21"/>
  </w:num>
  <w:num w:numId="13">
    <w:abstractNumId w:val="2"/>
  </w:num>
  <w:num w:numId="14">
    <w:abstractNumId w:val="16"/>
  </w:num>
  <w:num w:numId="15">
    <w:abstractNumId w:val="30"/>
  </w:num>
  <w:num w:numId="16">
    <w:abstractNumId w:val="27"/>
  </w:num>
  <w:num w:numId="17">
    <w:abstractNumId w:val="7"/>
  </w:num>
  <w:num w:numId="18">
    <w:abstractNumId w:val="15"/>
  </w:num>
  <w:num w:numId="19">
    <w:abstractNumId w:val="10"/>
  </w:num>
  <w:num w:numId="20">
    <w:abstractNumId w:val="24"/>
  </w:num>
  <w:num w:numId="21">
    <w:abstractNumId w:val="22"/>
  </w:num>
  <w:num w:numId="22">
    <w:abstractNumId w:val="17"/>
  </w:num>
  <w:num w:numId="23">
    <w:abstractNumId w:val="19"/>
  </w:num>
  <w:num w:numId="24">
    <w:abstractNumId w:val="13"/>
  </w:num>
  <w:num w:numId="25">
    <w:abstractNumId w:val="8"/>
  </w:num>
  <w:num w:numId="26">
    <w:abstractNumId w:val="1"/>
  </w:num>
  <w:num w:numId="27">
    <w:abstractNumId w:val="28"/>
  </w:num>
  <w:num w:numId="28">
    <w:abstractNumId w:val="4"/>
  </w:num>
  <w:num w:numId="29">
    <w:abstractNumId w:val="11"/>
  </w:num>
  <w:num w:numId="30">
    <w:abstractNumId w:val="6"/>
  </w:num>
  <w:num w:numId="31">
    <w:abstractNumId w:val="31"/>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00A8"/>
    <w:rsid w:val="000E3B73"/>
    <w:rsid w:val="000F6C56"/>
    <w:rsid w:val="00106DB7"/>
    <w:rsid w:val="00111906"/>
    <w:rsid w:val="00117577"/>
    <w:rsid w:val="00117793"/>
    <w:rsid w:val="001214D3"/>
    <w:rsid w:val="00143AA1"/>
    <w:rsid w:val="0014726A"/>
    <w:rsid w:val="0015108D"/>
    <w:rsid w:val="001540CE"/>
    <w:rsid w:val="0015717B"/>
    <w:rsid w:val="00172793"/>
    <w:rsid w:val="00196C6A"/>
    <w:rsid w:val="001B3714"/>
    <w:rsid w:val="001D1F2D"/>
    <w:rsid w:val="001D5149"/>
    <w:rsid w:val="001E1F45"/>
    <w:rsid w:val="001F413E"/>
    <w:rsid w:val="002367AF"/>
    <w:rsid w:val="002465A1"/>
    <w:rsid w:val="002534A5"/>
    <w:rsid w:val="00294B73"/>
    <w:rsid w:val="002E4D04"/>
    <w:rsid w:val="002F0473"/>
    <w:rsid w:val="002F0CE4"/>
    <w:rsid w:val="002F2626"/>
    <w:rsid w:val="002F5E06"/>
    <w:rsid w:val="003262B9"/>
    <w:rsid w:val="003759B0"/>
    <w:rsid w:val="003A67C8"/>
    <w:rsid w:val="003C230C"/>
    <w:rsid w:val="003C4296"/>
    <w:rsid w:val="003D07D1"/>
    <w:rsid w:val="003D7AA0"/>
    <w:rsid w:val="003F67CD"/>
    <w:rsid w:val="004026A1"/>
    <w:rsid w:val="004204EE"/>
    <w:rsid w:val="004376CB"/>
    <w:rsid w:val="00443C1D"/>
    <w:rsid w:val="00472023"/>
    <w:rsid w:val="00486993"/>
    <w:rsid w:val="00492DA4"/>
    <w:rsid w:val="00493265"/>
    <w:rsid w:val="004A39D7"/>
    <w:rsid w:val="004A3C22"/>
    <w:rsid w:val="004A55FA"/>
    <w:rsid w:val="004A6E38"/>
    <w:rsid w:val="004D035C"/>
    <w:rsid w:val="005005E4"/>
    <w:rsid w:val="00521097"/>
    <w:rsid w:val="00533663"/>
    <w:rsid w:val="005526FB"/>
    <w:rsid w:val="0055280A"/>
    <w:rsid w:val="00565E19"/>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39B5"/>
    <w:rsid w:val="007972A7"/>
    <w:rsid w:val="007B409D"/>
    <w:rsid w:val="007C74B4"/>
    <w:rsid w:val="007E053B"/>
    <w:rsid w:val="007E3412"/>
    <w:rsid w:val="007E6E05"/>
    <w:rsid w:val="008029AF"/>
    <w:rsid w:val="008102E5"/>
    <w:rsid w:val="008133F0"/>
    <w:rsid w:val="00815880"/>
    <w:rsid w:val="008210A5"/>
    <w:rsid w:val="008560E0"/>
    <w:rsid w:val="00873E9F"/>
    <w:rsid w:val="008A37C5"/>
    <w:rsid w:val="008B2E45"/>
    <w:rsid w:val="00903DF6"/>
    <w:rsid w:val="00921CF6"/>
    <w:rsid w:val="009601DD"/>
    <w:rsid w:val="00987DB4"/>
    <w:rsid w:val="009B308A"/>
    <w:rsid w:val="009D068C"/>
    <w:rsid w:val="00A021FE"/>
    <w:rsid w:val="00A1270E"/>
    <w:rsid w:val="00A42958"/>
    <w:rsid w:val="00A52DB4"/>
    <w:rsid w:val="00A629B9"/>
    <w:rsid w:val="00A74292"/>
    <w:rsid w:val="00A8555F"/>
    <w:rsid w:val="00AA3C15"/>
    <w:rsid w:val="00AD2682"/>
    <w:rsid w:val="00B03ACD"/>
    <w:rsid w:val="00B17CD2"/>
    <w:rsid w:val="00B248BA"/>
    <w:rsid w:val="00B5238B"/>
    <w:rsid w:val="00B5287E"/>
    <w:rsid w:val="00B57219"/>
    <w:rsid w:val="00B95469"/>
    <w:rsid w:val="00BC19F7"/>
    <w:rsid w:val="00BD0EF8"/>
    <w:rsid w:val="00BE2126"/>
    <w:rsid w:val="00BE3B17"/>
    <w:rsid w:val="00C04C95"/>
    <w:rsid w:val="00C12613"/>
    <w:rsid w:val="00C3744A"/>
    <w:rsid w:val="00C55545"/>
    <w:rsid w:val="00C71961"/>
    <w:rsid w:val="00C83354"/>
    <w:rsid w:val="00CB11CE"/>
    <w:rsid w:val="00D2689A"/>
    <w:rsid w:val="00D82F9E"/>
    <w:rsid w:val="00D95D48"/>
    <w:rsid w:val="00DA64B6"/>
    <w:rsid w:val="00DC7B02"/>
    <w:rsid w:val="00DD02E6"/>
    <w:rsid w:val="00DE0117"/>
    <w:rsid w:val="00E1164A"/>
    <w:rsid w:val="00E1615E"/>
    <w:rsid w:val="00E22F03"/>
    <w:rsid w:val="00E51404"/>
    <w:rsid w:val="00E574C9"/>
    <w:rsid w:val="00E610DE"/>
    <w:rsid w:val="00EF3A79"/>
    <w:rsid w:val="00F01956"/>
    <w:rsid w:val="00F21C47"/>
    <w:rsid w:val="00F301F8"/>
    <w:rsid w:val="00F340DE"/>
    <w:rsid w:val="00F50175"/>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7F33-09ED-4A66-9D4C-B0F4C47C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2014-04-22T13:04:00Z</dcterms:created>
  <dcterms:modified xsi:type="dcterms:W3CDTF">2014-04-22T13:04:00Z</dcterms:modified>
</cp:coreProperties>
</file>