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bookmarkStart w:id="0" w:name="_GoBack"/>
      <w:bookmarkEnd w:id="0"/>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443C1D" w:rsidRPr="009614FD" w:rsidRDefault="009614FD" w:rsidP="003A67C8">
      <w:pPr>
        <w:spacing w:after="120"/>
        <w:jc w:val="both"/>
        <w:rPr>
          <w:rFonts w:ascii="Arial" w:hAnsi="Arial" w:cs="Arial"/>
        </w:rPr>
      </w:pPr>
      <w:r>
        <w:rPr>
          <w:rFonts w:ascii="Arial" w:hAnsi="Arial" w:cs="Arial"/>
          <w:b/>
          <w:bCs/>
        </w:rPr>
        <w:t xml:space="preserve">PHAR1034 - </w:t>
      </w:r>
      <w:r w:rsidR="00443C1D" w:rsidRPr="00443C1D">
        <w:rPr>
          <w:rFonts w:ascii="Arial" w:hAnsi="Arial" w:cs="Arial"/>
          <w:b/>
          <w:bCs/>
        </w:rPr>
        <w:t xml:space="preserve">Endocrine and Gastrointestinal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3A67C8" w:rsidP="003C230C">
      <w:pPr>
        <w:spacing w:after="120"/>
        <w:jc w:val="both"/>
        <w:rPr>
          <w:rFonts w:ascii="Arial" w:hAnsi="Arial" w:cs="Arial"/>
          <w:b/>
        </w:rPr>
      </w:pPr>
      <w:r>
        <w:rPr>
          <w:rFonts w:ascii="Arial" w:hAnsi="Arial" w:cs="Arial"/>
          <w:b/>
        </w:rPr>
        <w:t>September</w:t>
      </w:r>
      <w:r w:rsidR="003C230C">
        <w:rPr>
          <w:rFonts w:ascii="Arial" w:hAnsi="Arial" w:cs="Arial"/>
          <w:b/>
        </w:rPr>
        <w:t xml:space="preserve"> </w:t>
      </w:r>
      <w:r w:rsidR="003C230C" w:rsidRPr="003C230C">
        <w:rPr>
          <w:rFonts w:ascii="Arial" w:hAnsi="Arial" w:cs="Arial"/>
          <w:b/>
        </w:rPr>
        <w:t>201</w:t>
      </w:r>
      <w:r w:rsidR="00666542">
        <w:rPr>
          <w:rFonts w:ascii="Arial" w:hAnsi="Arial" w:cs="Arial"/>
          <w:b/>
        </w:rPr>
        <w:t>5</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1.</w:t>
      </w:r>
      <w:r w:rsidRPr="00443C1D">
        <w:rPr>
          <w:rFonts w:ascii="Arial" w:hAnsi="Arial" w:cs="Arial"/>
        </w:rPr>
        <w:tab/>
        <w:t>Understand the principal function of the endocrine organs and the action of the hormones which are secreted (</w:t>
      </w:r>
      <w:r w:rsidRPr="00443C1D">
        <w:rPr>
          <w:rFonts w:ascii="Arial" w:hAnsi="Arial" w:cs="Arial"/>
          <w:b/>
        </w:rPr>
        <w:t>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2.</w:t>
      </w:r>
      <w:r w:rsidRPr="00443C1D">
        <w:rPr>
          <w:rFonts w:ascii="Arial" w:hAnsi="Arial" w:cs="Arial"/>
        </w:rPr>
        <w:tab/>
        <w:t>Understand the function of the pancreatic islet hormones (</w:t>
      </w:r>
      <w:r w:rsidRPr="00443C1D">
        <w:rPr>
          <w:rFonts w:ascii="Arial" w:hAnsi="Arial" w:cs="Arial"/>
          <w:b/>
        </w:rPr>
        <w:t>POA1, 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3.</w:t>
      </w:r>
      <w:r w:rsidRPr="00443C1D">
        <w:rPr>
          <w:rFonts w:ascii="Arial" w:hAnsi="Arial" w:cs="Arial"/>
        </w:rPr>
        <w:tab/>
        <w:t>Understand the pathology of diabetes mellitus and the site of action, mechanism of action, and clinical application of anti-diabetic drugs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4.</w:t>
      </w:r>
      <w:r w:rsidRPr="00443C1D">
        <w:rPr>
          <w:rFonts w:ascii="Arial" w:hAnsi="Arial" w:cs="Arial"/>
        </w:rPr>
        <w:tab/>
        <w:t>Understand the background of obesity and the role of leptin in body weight regulation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5.</w:t>
      </w:r>
      <w:r w:rsidRPr="00443C1D">
        <w:rPr>
          <w:rFonts w:ascii="Arial" w:hAnsi="Arial" w:cs="Arial"/>
        </w:rPr>
        <w:tab/>
        <w:t xml:space="preserve">Understand the different pharmacological approaches used in the treatment of obesity </w:t>
      </w:r>
      <w:r>
        <w:rPr>
          <w:rFonts w:ascii="Arial" w:hAnsi="Arial" w:cs="Arial"/>
        </w:rPr>
        <w:t>(</w:t>
      </w:r>
      <w:r w:rsidRPr="00443C1D">
        <w:rPr>
          <w:rFonts w:ascii="Arial" w:hAnsi="Arial" w:cs="Arial"/>
          <w:b/>
        </w:rPr>
        <w:t>POA1, 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6.</w:t>
      </w:r>
      <w:r w:rsidRPr="00443C1D">
        <w:rPr>
          <w:rFonts w:ascii="Arial" w:hAnsi="Arial" w:cs="Arial"/>
        </w:rPr>
        <w:tab/>
        <w:t>Understand the role of the pituitary gland and the adrenal cortex and mechanisms of action and clinical uses of glucocorticoids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7.</w:t>
      </w:r>
      <w:r w:rsidRPr="00443C1D">
        <w:rPr>
          <w:rFonts w:ascii="Arial" w:hAnsi="Arial" w:cs="Arial"/>
        </w:rPr>
        <w:tab/>
        <w:t>Understand the regulation of thyroid function and the action of thyroid hormones (</w:t>
      </w:r>
      <w:r w:rsidRPr="00443C1D">
        <w:rPr>
          <w:rFonts w:ascii="Arial" w:hAnsi="Arial" w:cs="Arial"/>
          <w:b/>
        </w:rPr>
        <w:t>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lastRenderedPageBreak/>
        <w:t>11.</w:t>
      </w:r>
      <w:r w:rsidRPr="00443C1D">
        <w:rPr>
          <w:rFonts w:ascii="Arial" w:hAnsi="Arial" w:cs="Arial"/>
        </w:rPr>
        <w:t>8.</w:t>
      </w:r>
      <w:r w:rsidRPr="00443C1D">
        <w:rPr>
          <w:rFonts w:ascii="Arial" w:hAnsi="Arial" w:cs="Arial"/>
        </w:rPr>
        <w:tab/>
        <w:t>Understand the site of action and mechanism of action of drugs used in diseases of the thryroid.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9.</w:t>
      </w:r>
      <w:r w:rsidRPr="00443C1D">
        <w:rPr>
          <w:rFonts w:ascii="Arial" w:hAnsi="Arial" w:cs="Arial"/>
        </w:rPr>
        <w:tab/>
        <w:t>Understand the endocrine control and the mechanisms of action drugs that influence reproduction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10.</w:t>
      </w:r>
      <w:r w:rsidRPr="00443C1D">
        <w:rPr>
          <w:rFonts w:ascii="Arial" w:hAnsi="Arial" w:cs="Arial"/>
        </w:rPr>
        <w:tab/>
        <w:t xml:space="preserve"> Understand how the nervous innervation and hormonal secretion controls the gastrointestinal tract (</w:t>
      </w:r>
      <w:r w:rsidRPr="00443C1D">
        <w:rPr>
          <w:rFonts w:ascii="Arial" w:hAnsi="Arial" w:cs="Arial"/>
          <w:b/>
        </w:rPr>
        <w:t>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11.</w:t>
      </w:r>
      <w:r w:rsidRPr="00443C1D">
        <w:rPr>
          <w:rFonts w:ascii="Arial" w:hAnsi="Arial" w:cs="Arial"/>
        </w:rPr>
        <w:tab/>
        <w:t>Understand the mechanisms that underlie gastric secretion (</w:t>
      </w:r>
      <w:r w:rsidRPr="00443C1D">
        <w:rPr>
          <w:rFonts w:ascii="Arial" w:hAnsi="Arial" w:cs="Arial"/>
          <w:b/>
        </w:rPr>
        <w:t>POA2, POC2</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12.</w:t>
      </w:r>
      <w:r w:rsidRPr="00443C1D">
        <w:rPr>
          <w:rFonts w:ascii="Arial" w:hAnsi="Arial" w:cs="Arial"/>
        </w:rPr>
        <w:tab/>
        <w:t xml:space="preserve"> Understand the mechanism that underlie vomiting and the mechanism of action of anti-emetic drugs (</w:t>
      </w:r>
      <w:r w:rsidRPr="00443C1D">
        <w:rPr>
          <w:rFonts w:ascii="Arial" w:hAnsi="Arial" w:cs="Arial"/>
          <w:b/>
        </w:rPr>
        <w:t>POA1, POA2, POC2, POC3</w:t>
      </w:r>
      <w:r w:rsidRPr="00443C1D">
        <w:rPr>
          <w:rFonts w:ascii="Arial" w:hAnsi="Arial" w:cs="Arial"/>
        </w:rPr>
        <w:t>).</w:t>
      </w:r>
    </w:p>
    <w:p w:rsidR="00443C1D" w:rsidRPr="00443C1D" w:rsidRDefault="00443C1D" w:rsidP="00C17D06">
      <w:pPr>
        <w:spacing w:before="60" w:after="60" w:line="240" w:lineRule="auto"/>
        <w:ind w:left="1134" w:right="-330" w:hanging="774"/>
        <w:rPr>
          <w:rFonts w:ascii="Arial" w:hAnsi="Arial" w:cs="Arial"/>
        </w:rPr>
      </w:pPr>
      <w:r>
        <w:rPr>
          <w:rFonts w:ascii="Arial" w:hAnsi="Arial" w:cs="Arial"/>
        </w:rPr>
        <w:t>11.</w:t>
      </w:r>
      <w:r w:rsidRPr="00443C1D">
        <w:rPr>
          <w:rFonts w:ascii="Arial" w:hAnsi="Arial" w:cs="Arial"/>
        </w:rPr>
        <w:t>13.</w:t>
      </w:r>
      <w:r w:rsidRPr="00443C1D">
        <w:rPr>
          <w:rFonts w:ascii="Arial" w:hAnsi="Arial" w:cs="Arial"/>
        </w:rPr>
        <w:tab/>
        <w:t>Understand the mechanisms that underlie motility of the gastrointestinal tract and the mechanism of action of drugs that affect gastrointestinal motility (</w:t>
      </w:r>
      <w:r w:rsidRPr="00443C1D">
        <w:rPr>
          <w:rFonts w:ascii="Arial" w:hAnsi="Arial" w:cs="Arial"/>
          <w:b/>
        </w:rPr>
        <w:t>POA1, POA2, POC2, POC3</w:t>
      </w:r>
      <w:r w:rsidRPr="00443C1D">
        <w:rPr>
          <w:rFonts w:ascii="Arial" w:hAnsi="Arial" w:cs="Arial"/>
        </w:rPr>
        <w:t>).</w:t>
      </w:r>
    </w:p>
    <w:p w:rsidR="000C7B76" w:rsidRPr="00C04C95" w:rsidRDefault="000C7B76" w:rsidP="000C7B76">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554C4" w:rsidRDefault="006554C4" w:rsidP="006554C4">
      <w:pPr>
        <w:spacing w:after="120" w:line="240" w:lineRule="auto"/>
        <w:ind w:left="360"/>
        <w:jc w:val="both"/>
        <w:rPr>
          <w:rFonts w:ascii="Arial" w:hAnsi="Arial" w:cs="Arial"/>
        </w:rPr>
      </w:pPr>
      <w:r>
        <w:rPr>
          <w:rFonts w:ascii="Arial" w:hAnsi="Arial" w:cs="Arial"/>
        </w:rPr>
        <w:t xml:space="preserve">12.1 </w:t>
      </w:r>
      <w:r w:rsidRPr="00C2090E">
        <w:rPr>
          <w:rFonts w:ascii="Arial" w:hAnsi="Arial" w:cs="Arial"/>
        </w:rPr>
        <w:t xml:space="preserve">An ability to work and communicate effectively with others </w:t>
      </w:r>
      <w:r>
        <w:rPr>
          <w:rFonts w:ascii="Arial" w:hAnsi="Arial" w:cs="Arial"/>
        </w:rPr>
        <w:t>(</w:t>
      </w:r>
      <w:r w:rsidRPr="006C1055">
        <w:rPr>
          <w:rFonts w:ascii="Arial" w:hAnsi="Arial" w:cs="Arial"/>
          <w:b/>
        </w:rPr>
        <w:t>POD1 &amp; POD2</w:t>
      </w:r>
      <w:r>
        <w:rPr>
          <w:rFonts w:ascii="Arial" w:hAnsi="Arial" w:cs="Arial"/>
        </w:rPr>
        <w:t>)</w:t>
      </w:r>
    </w:p>
    <w:p w:rsidR="006554C4" w:rsidRPr="00C2090E" w:rsidRDefault="006554C4" w:rsidP="006554C4">
      <w:pPr>
        <w:spacing w:after="120" w:line="240" w:lineRule="auto"/>
        <w:ind w:left="360"/>
        <w:jc w:val="both"/>
        <w:rPr>
          <w:rFonts w:ascii="Arial" w:hAnsi="Arial" w:cs="Arial"/>
        </w:rPr>
      </w:pPr>
      <w:r>
        <w:rPr>
          <w:rFonts w:ascii="Arial" w:hAnsi="Arial" w:cs="Arial"/>
        </w:rPr>
        <w:t xml:space="preserve">12.2 </w:t>
      </w:r>
      <w:r w:rsidRPr="00C2090E">
        <w:rPr>
          <w:rFonts w:ascii="Arial" w:hAnsi="Arial" w:cs="Arial"/>
        </w:rPr>
        <w:t xml:space="preserve">An ability problem-solve relating to quantitative data, calculations and numeracy </w:t>
      </w:r>
      <w:r>
        <w:rPr>
          <w:rFonts w:ascii="Arial" w:hAnsi="Arial" w:cs="Arial"/>
        </w:rPr>
        <w:t>(</w:t>
      </w:r>
      <w:r>
        <w:rPr>
          <w:rFonts w:ascii="Arial" w:hAnsi="Arial" w:cs="Arial"/>
          <w:b/>
        </w:rPr>
        <w:t>POA5, POB2, POB3, POB4</w:t>
      </w:r>
      <w:r w:rsidRPr="00A04E09">
        <w:rPr>
          <w:rFonts w:ascii="Arial" w:hAnsi="Arial" w:cs="Arial"/>
          <w:b/>
        </w:rPr>
        <w:t xml:space="preserve">, </w:t>
      </w:r>
      <w:r>
        <w:rPr>
          <w:rFonts w:ascii="Arial" w:hAnsi="Arial" w:cs="Arial"/>
          <w:b/>
        </w:rPr>
        <w:t xml:space="preserve">POC5, </w:t>
      </w:r>
      <w:r w:rsidRPr="00A04E09">
        <w:rPr>
          <w:rFonts w:ascii="Arial" w:hAnsi="Arial" w:cs="Arial"/>
          <w:b/>
        </w:rPr>
        <w:t>PO</w:t>
      </w:r>
      <w:r>
        <w:rPr>
          <w:rFonts w:ascii="Arial" w:hAnsi="Arial" w:cs="Arial"/>
          <w:b/>
        </w:rPr>
        <w:t>D2, POD3, POD4, POD5, &amp; POD6</w:t>
      </w:r>
      <w:r>
        <w:rPr>
          <w:rFonts w:ascii="Arial" w:hAnsi="Arial" w:cs="Arial"/>
        </w:rPr>
        <w:t>)</w:t>
      </w:r>
    </w:p>
    <w:p w:rsidR="006554C4" w:rsidRDefault="006554C4" w:rsidP="006554C4">
      <w:pPr>
        <w:spacing w:after="120" w:line="240" w:lineRule="auto"/>
        <w:ind w:left="360"/>
        <w:jc w:val="both"/>
        <w:rPr>
          <w:rFonts w:ascii="Arial" w:hAnsi="Arial" w:cs="Arial"/>
        </w:rPr>
      </w:pPr>
      <w:r>
        <w:rPr>
          <w:rFonts w:ascii="Arial" w:hAnsi="Arial" w:cs="Arial"/>
        </w:rPr>
        <w:t>12.3 An ability to critically evaluate quantitative data (</w:t>
      </w:r>
      <w:r>
        <w:rPr>
          <w:rFonts w:ascii="Arial" w:hAnsi="Arial" w:cs="Arial"/>
          <w:b/>
        </w:rPr>
        <w:t>POA5, POB2, POB3, POB4</w:t>
      </w:r>
      <w:r w:rsidRPr="00A04E09">
        <w:rPr>
          <w:rFonts w:ascii="Arial" w:hAnsi="Arial" w:cs="Arial"/>
          <w:b/>
        </w:rPr>
        <w:t>, PO</w:t>
      </w:r>
      <w:r>
        <w:rPr>
          <w:rFonts w:ascii="Arial" w:hAnsi="Arial" w:cs="Arial"/>
          <w:b/>
        </w:rPr>
        <w:t>D2, POD3, POD4, POD5, &amp; POD6)</w:t>
      </w:r>
    </w:p>
    <w:p w:rsidR="006554C4" w:rsidRDefault="006554C4" w:rsidP="006554C4">
      <w:pPr>
        <w:spacing w:after="120" w:line="240" w:lineRule="auto"/>
        <w:ind w:left="360"/>
        <w:jc w:val="both"/>
        <w:rPr>
          <w:rFonts w:ascii="Arial" w:hAnsi="Arial" w:cs="Arial"/>
        </w:rPr>
      </w:pPr>
      <w:r>
        <w:rPr>
          <w:rFonts w:ascii="Arial" w:hAnsi="Arial" w:cs="Arial"/>
        </w:rPr>
        <w:t>12.4 An ability to accurately retrieve and understand information as part of self-directed learning (</w:t>
      </w:r>
      <w:r w:rsidRPr="005364DE">
        <w:rPr>
          <w:rFonts w:ascii="Arial" w:hAnsi="Arial" w:cs="Arial"/>
          <w:b/>
        </w:rPr>
        <w:t>POD1,POD2,POD3,POD4,POD5,POD6</w:t>
      </w:r>
      <w:r>
        <w:rPr>
          <w:rFonts w:ascii="Arial" w:hAnsi="Arial" w:cs="Arial"/>
          <w:b/>
        </w:rPr>
        <w:t>)</w:t>
      </w:r>
    </w:p>
    <w:p w:rsidR="006554C4" w:rsidRPr="0083408E" w:rsidRDefault="006554C4" w:rsidP="006554C4">
      <w:pPr>
        <w:spacing w:after="120" w:line="240" w:lineRule="auto"/>
        <w:ind w:left="360"/>
        <w:jc w:val="both"/>
        <w:rPr>
          <w:rFonts w:ascii="Arial" w:hAnsi="Arial" w:cs="Arial"/>
        </w:rPr>
      </w:pPr>
      <w:r>
        <w:rPr>
          <w:rFonts w:ascii="Arial" w:hAnsi="Arial" w:cs="Arial"/>
        </w:rPr>
        <w:t>12.5 An understanding of the accepted ethical principals involved in the collection, use and interpretation of scientific data (</w:t>
      </w:r>
      <w:r w:rsidRPr="00A04E09">
        <w:rPr>
          <w:rFonts w:ascii="Arial" w:hAnsi="Arial" w:cs="Arial"/>
          <w:b/>
        </w:rPr>
        <w:t>PO</w:t>
      </w:r>
      <w:r>
        <w:rPr>
          <w:rFonts w:ascii="Arial" w:hAnsi="Arial" w:cs="Arial"/>
          <w:b/>
        </w:rPr>
        <w:t>B1, POB2, POB3, POB5, POB6</w:t>
      </w:r>
      <w:r>
        <w:rPr>
          <w:rFonts w:ascii="Arial" w:hAnsi="Arial" w:cs="Arial"/>
        </w:rPr>
        <w:t>)</w:t>
      </w:r>
    </w:p>
    <w:p w:rsidR="00903DF6" w:rsidRDefault="00903DF6" w:rsidP="005E6D38">
      <w:pPr>
        <w:pStyle w:val="Default"/>
        <w:spacing w:before="60" w:after="60"/>
        <w:ind w:left="720" w:right="-330"/>
        <w:rPr>
          <w:color w:val="auto"/>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Review of the endocrine system</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The pancreatic islet hormones</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Diabetes mellitus</w:t>
      </w:r>
      <w:r w:rsidRPr="00CA042B">
        <w:rPr>
          <w:rFonts w:ascii="Arial" w:hAnsi="Arial" w:cs="Arial"/>
        </w:rPr>
        <w:t xml:space="preserve"> </w:t>
      </w:r>
      <w:r>
        <w:rPr>
          <w:rFonts w:ascii="Arial" w:hAnsi="Arial" w:cs="Arial"/>
        </w:rPr>
        <w:t>and diabetic drugs</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Obesity</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Thyroid function and drugs used to treat thyroid disease</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Endocrine control of reproduction and drugs that influence reproduction</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Neural and hormonal control of the gastrointestinal tract</w:t>
      </w:r>
    </w:p>
    <w:p w:rsidR="00C55545" w:rsidRDefault="00C55545" w:rsidP="00C55545">
      <w:pPr>
        <w:pStyle w:val="ListParagraph"/>
        <w:numPr>
          <w:ilvl w:val="0"/>
          <w:numId w:val="22"/>
        </w:numPr>
        <w:spacing w:after="120" w:line="240" w:lineRule="auto"/>
        <w:jc w:val="both"/>
        <w:rPr>
          <w:rFonts w:ascii="Arial" w:hAnsi="Arial" w:cs="Arial"/>
        </w:rPr>
      </w:pPr>
      <w:r>
        <w:rPr>
          <w:rFonts w:ascii="Arial" w:hAnsi="Arial" w:cs="Arial"/>
        </w:rPr>
        <w:t>Vomiting and anti-emetics</w:t>
      </w:r>
    </w:p>
    <w:p w:rsidR="00643986" w:rsidRPr="00C55545" w:rsidRDefault="00C55545" w:rsidP="00C55545">
      <w:pPr>
        <w:pStyle w:val="ListParagraph"/>
        <w:numPr>
          <w:ilvl w:val="0"/>
          <w:numId w:val="22"/>
        </w:numPr>
        <w:spacing w:after="120" w:line="240" w:lineRule="auto"/>
        <w:jc w:val="both"/>
        <w:rPr>
          <w:rFonts w:ascii="Arial" w:hAnsi="Arial" w:cs="Arial"/>
        </w:rPr>
      </w:pPr>
      <w:r w:rsidRPr="00C55545">
        <w:rPr>
          <w:rFonts w:ascii="Arial" w:hAnsi="Arial" w:cs="Arial"/>
        </w:rPr>
        <w:t>Drugs that effect gastro-intestinal motility</w:t>
      </w: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12A87" w:rsidRPr="00712A87" w:rsidRDefault="00712A87" w:rsidP="00712A87">
      <w:pPr>
        <w:pStyle w:val="ListParagraph"/>
        <w:spacing w:after="120"/>
        <w:jc w:val="both"/>
        <w:rPr>
          <w:rFonts w:ascii="Arial" w:eastAsia="SimSu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08"/>
        <w:gridCol w:w="2694"/>
        <w:gridCol w:w="1760"/>
      </w:tblGrid>
      <w:tr w:rsidR="00712A87" w:rsidRPr="00DD5915" w:rsidTr="00181EEA">
        <w:tc>
          <w:tcPr>
            <w:tcW w:w="1701"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ISBN number</w:t>
            </w:r>
          </w:p>
        </w:tc>
        <w:tc>
          <w:tcPr>
            <w:tcW w:w="15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Author</w:t>
            </w:r>
          </w:p>
        </w:tc>
        <w:tc>
          <w:tcPr>
            <w:tcW w:w="708"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Date</w:t>
            </w:r>
          </w:p>
        </w:tc>
        <w:tc>
          <w:tcPr>
            <w:tcW w:w="2694"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Title</w:t>
            </w:r>
          </w:p>
        </w:tc>
        <w:tc>
          <w:tcPr>
            <w:tcW w:w="17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Publisher</w:t>
            </w:r>
          </w:p>
        </w:tc>
      </w:tr>
      <w:tr w:rsidR="00143AA1" w:rsidRPr="00DD5915" w:rsidTr="00181EEA">
        <w:tc>
          <w:tcPr>
            <w:tcW w:w="1701" w:type="dxa"/>
          </w:tcPr>
          <w:p w:rsidR="00143AA1" w:rsidRPr="00DD5915" w:rsidRDefault="00143AA1" w:rsidP="00181EEA">
            <w:pPr>
              <w:spacing w:after="120"/>
              <w:rPr>
                <w:rFonts w:ascii="Arial" w:hAnsi="Arial" w:cs="Arial"/>
              </w:rPr>
            </w:pPr>
            <w:r w:rsidRPr="00685881">
              <w:rPr>
                <w:rFonts w:ascii="Arial" w:hAnsi="Arial" w:cs="Arial"/>
              </w:rPr>
              <w:t>0702034711</w:t>
            </w:r>
          </w:p>
        </w:tc>
        <w:tc>
          <w:tcPr>
            <w:tcW w:w="1560" w:type="dxa"/>
          </w:tcPr>
          <w:p w:rsidR="00143AA1" w:rsidRPr="00DD5915" w:rsidRDefault="00143AA1"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708" w:type="dxa"/>
          </w:tcPr>
          <w:p w:rsidR="00143AA1" w:rsidRPr="00DD5915" w:rsidRDefault="00143AA1" w:rsidP="00181EEA">
            <w:pPr>
              <w:spacing w:after="120"/>
              <w:rPr>
                <w:rFonts w:ascii="Arial" w:hAnsi="Arial" w:cs="Arial"/>
              </w:rPr>
            </w:pPr>
            <w:r w:rsidRPr="00A50C4F">
              <w:rPr>
                <w:rFonts w:ascii="Arial" w:hAnsi="Arial" w:cs="Arial"/>
              </w:rPr>
              <w:t>31 Mar 2011</w:t>
            </w:r>
          </w:p>
        </w:tc>
        <w:tc>
          <w:tcPr>
            <w:tcW w:w="2694" w:type="dxa"/>
          </w:tcPr>
          <w:p w:rsidR="00143AA1" w:rsidRPr="00DD5915" w:rsidRDefault="00143AA1" w:rsidP="00181EEA">
            <w:pPr>
              <w:spacing w:after="120"/>
              <w:rPr>
                <w:rFonts w:ascii="Arial" w:hAnsi="Arial" w:cs="Arial"/>
              </w:rPr>
            </w:pPr>
            <w:r w:rsidRPr="00A50C4F">
              <w:rPr>
                <w:rFonts w:ascii="Arial" w:hAnsi="Arial" w:cs="Arial"/>
              </w:rPr>
              <w:t>Rang &amp; Dale's Pharmacology</w:t>
            </w:r>
          </w:p>
        </w:tc>
        <w:tc>
          <w:tcPr>
            <w:tcW w:w="1760" w:type="dxa"/>
          </w:tcPr>
          <w:p w:rsidR="00143AA1" w:rsidRPr="00E33F6F" w:rsidRDefault="00143AA1" w:rsidP="00181EEA">
            <w:pPr>
              <w:rPr>
                <w:rFonts w:ascii="Arial" w:eastAsia="SimSun" w:hAnsi="Arial" w:cs="Arial"/>
              </w:rPr>
            </w:pPr>
            <w:r w:rsidRPr="00E33F6F">
              <w:rPr>
                <w:rFonts w:ascii="Arial" w:eastAsia="SimSun" w:hAnsi="Arial" w:cs="Arial"/>
              </w:rPr>
              <w:t>Churchill Livingstone</w:t>
            </w:r>
          </w:p>
        </w:tc>
      </w:tr>
    </w:tbl>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0C7B76" w:rsidTr="00181EEA">
        <w:tc>
          <w:tcPr>
            <w:tcW w:w="1016" w:type="dxa"/>
          </w:tcPr>
          <w:p w:rsidR="000C7B76" w:rsidRPr="009C03C3" w:rsidRDefault="000C7B76" w:rsidP="00181EEA">
            <w:pPr>
              <w:spacing w:before="40" w:after="40"/>
              <w:jc w:val="center"/>
              <w:rPr>
                <w:rFonts w:ascii="Arial" w:hAnsi="Arial" w:cs="Arial"/>
              </w:rPr>
            </w:pPr>
            <w:r>
              <w:rPr>
                <w:rFonts w:ascii="Arial" w:hAnsi="Arial" w:cs="Arial"/>
              </w:rPr>
              <w:t>18</w:t>
            </w:r>
          </w:p>
        </w:tc>
        <w:tc>
          <w:tcPr>
            <w:tcW w:w="1176" w:type="dxa"/>
          </w:tcPr>
          <w:p w:rsidR="000C7B76" w:rsidRPr="009C03C3" w:rsidRDefault="000C7B76" w:rsidP="00181EEA">
            <w:pPr>
              <w:spacing w:before="40" w:after="40"/>
              <w:jc w:val="center"/>
              <w:rPr>
                <w:rFonts w:ascii="Arial" w:hAnsi="Arial" w:cs="Arial"/>
              </w:rPr>
            </w:pPr>
            <w:r w:rsidRPr="009C03C3">
              <w:rPr>
                <w:rFonts w:ascii="Arial" w:hAnsi="Arial" w:cs="Arial"/>
              </w:rPr>
              <w:t>1</w:t>
            </w:r>
            <w:r w:rsidR="00F336B2">
              <w:rPr>
                <w:rFonts w:ascii="Arial" w:hAnsi="Arial" w:cs="Arial"/>
              </w:rPr>
              <w:t>5</w:t>
            </w:r>
          </w:p>
        </w:tc>
        <w:tc>
          <w:tcPr>
            <w:tcW w:w="1176" w:type="dxa"/>
          </w:tcPr>
          <w:p w:rsidR="000C7B76" w:rsidRPr="009C03C3" w:rsidRDefault="00C17D06" w:rsidP="00181EEA">
            <w:pPr>
              <w:spacing w:before="40" w:after="40"/>
              <w:jc w:val="center"/>
              <w:rPr>
                <w:rFonts w:ascii="Arial" w:hAnsi="Arial" w:cs="Arial"/>
              </w:rPr>
            </w:pPr>
            <w:r>
              <w:rPr>
                <w:rFonts w:ascii="Arial" w:hAnsi="Arial" w:cs="Arial"/>
              </w:rPr>
              <w:t>57</w:t>
            </w:r>
          </w:p>
        </w:tc>
        <w:tc>
          <w:tcPr>
            <w:tcW w:w="1176" w:type="dxa"/>
          </w:tcPr>
          <w:p w:rsidR="000C7B76" w:rsidRPr="009C03C3" w:rsidRDefault="000C7B76" w:rsidP="00181EEA">
            <w:pPr>
              <w:spacing w:before="40" w:after="40"/>
              <w:jc w:val="center"/>
              <w:rPr>
                <w:rFonts w:ascii="Arial" w:hAnsi="Arial" w:cs="Arial"/>
              </w:rPr>
            </w:pPr>
            <w:r>
              <w:rPr>
                <w:rFonts w:ascii="Arial" w:hAnsi="Arial" w:cs="Arial"/>
              </w:rPr>
              <w:t>2</w:t>
            </w:r>
          </w:p>
        </w:tc>
        <w:tc>
          <w:tcPr>
            <w:tcW w:w="1224" w:type="dxa"/>
          </w:tcPr>
          <w:p w:rsidR="000C7B76" w:rsidRPr="009C03C3" w:rsidRDefault="000C7B76" w:rsidP="00181EEA">
            <w:pPr>
              <w:spacing w:before="40" w:after="40"/>
              <w:jc w:val="center"/>
              <w:rPr>
                <w:rFonts w:ascii="Arial" w:hAnsi="Arial" w:cs="Arial"/>
              </w:rPr>
            </w:pPr>
            <w:r>
              <w:rPr>
                <w:rFonts w:ascii="Arial" w:hAnsi="Arial" w:cs="Arial"/>
              </w:rPr>
              <w:t>5</w:t>
            </w:r>
            <w:r w:rsidR="00F336B2">
              <w:rPr>
                <w:rFonts w:ascii="Arial" w:hAnsi="Arial" w:cs="Arial"/>
              </w:rPr>
              <w:t>5</w:t>
            </w:r>
          </w:p>
        </w:tc>
        <w:tc>
          <w:tcPr>
            <w:tcW w:w="1336" w:type="dxa"/>
          </w:tcPr>
          <w:p w:rsidR="000C7B76" w:rsidRPr="009C03C3" w:rsidRDefault="000C7B76" w:rsidP="00181EE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0C7B76" w:rsidRPr="009C03C3" w:rsidRDefault="000C7B76" w:rsidP="00181EE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C17D06" w:rsidRDefault="00C17D06" w:rsidP="00C17D06">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C17D06" w:rsidRDefault="00C17D06" w:rsidP="00C17D06">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C17D06" w:rsidRDefault="00C17D06" w:rsidP="00C17D06">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C17D06" w:rsidRDefault="00C17D06" w:rsidP="00C17D06">
      <w:pPr>
        <w:ind w:left="426"/>
        <w:jc w:val="both"/>
        <w:rPr>
          <w:rFonts w:ascii="Arial" w:hAnsi="Arial" w:cs="Arial"/>
        </w:rPr>
      </w:pPr>
      <w:r>
        <w:rPr>
          <w:rFonts w:ascii="Arial" w:hAnsi="Arial" w:cs="Arial"/>
        </w:rPr>
        <w:t>Seminars serve to consolidate the material and help the students achieve the subject specific learning objectives</w:t>
      </w:r>
    </w:p>
    <w:p w:rsidR="00C17D06" w:rsidRPr="00A5783A" w:rsidRDefault="00C17D06" w:rsidP="00C17D06">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8B2E45" w:rsidRPr="00DD5915" w:rsidTr="00181EE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C17D06" w:rsidRPr="00DD5915" w:rsidTr="00181EEA">
        <w:tc>
          <w:tcPr>
            <w:tcW w:w="1701" w:type="dxa"/>
          </w:tcPr>
          <w:p w:rsidR="00C17D06" w:rsidRPr="00DD5915" w:rsidRDefault="00C17D06" w:rsidP="005425DA">
            <w:pPr>
              <w:tabs>
                <w:tab w:val="left" w:pos="426"/>
              </w:tabs>
              <w:spacing w:after="120" w:line="240" w:lineRule="auto"/>
              <w:jc w:val="both"/>
              <w:rPr>
                <w:rFonts w:ascii="Arial" w:hAnsi="Arial" w:cs="Arial"/>
              </w:rPr>
            </w:pPr>
            <w:r w:rsidRPr="00DD5915">
              <w:rPr>
                <w:rFonts w:ascii="Arial" w:hAnsi="Arial" w:cs="Arial"/>
              </w:rPr>
              <w:t xml:space="preserve">Continuous assessment </w:t>
            </w:r>
          </w:p>
        </w:tc>
        <w:tc>
          <w:tcPr>
            <w:tcW w:w="2977" w:type="dxa"/>
            <w:shd w:val="clear" w:color="auto" w:fill="FFFFFF"/>
          </w:tcPr>
          <w:p w:rsidR="00C17D06" w:rsidRDefault="00C17D06" w:rsidP="005425DA">
            <w:pPr>
              <w:spacing w:after="120" w:line="240" w:lineRule="auto"/>
              <w:jc w:val="both"/>
              <w:rPr>
                <w:rFonts w:ascii="Arial" w:hAnsi="Arial" w:cs="Arial"/>
              </w:rPr>
            </w:pPr>
            <w:r>
              <w:rPr>
                <w:rFonts w:ascii="Arial" w:hAnsi="Arial" w:cs="Arial"/>
              </w:rPr>
              <w:t>Subject specific learning outcomes 11.11, 11.12, 11.13</w:t>
            </w:r>
          </w:p>
          <w:p w:rsidR="00C17D06" w:rsidRDefault="00C17D06" w:rsidP="005425DA">
            <w:pPr>
              <w:spacing w:after="120" w:line="240" w:lineRule="auto"/>
              <w:jc w:val="both"/>
              <w:rPr>
                <w:rFonts w:ascii="Arial" w:hAnsi="Arial" w:cs="Arial"/>
              </w:rPr>
            </w:pPr>
            <w:r>
              <w:rPr>
                <w:rFonts w:ascii="Arial" w:hAnsi="Arial" w:cs="Arial"/>
              </w:rPr>
              <w:t>All generic learning outcomes</w:t>
            </w:r>
          </w:p>
          <w:p w:rsidR="00C17D06" w:rsidRDefault="00C17D06" w:rsidP="005425DA">
            <w:pPr>
              <w:tabs>
                <w:tab w:val="left" w:pos="426"/>
              </w:tabs>
              <w:spacing w:after="120"/>
              <w:jc w:val="both"/>
              <w:rPr>
                <w:rFonts w:ascii="Arial" w:hAnsi="Arial" w:cs="Arial"/>
              </w:rPr>
            </w:pPr>
          </w:p>
          <w:p w:rsidR="00C17D06" w:rsidRDefault="00C17D06" w:rsidP="005425DA">
            <w:pPr>
              <w:tabs>
                <w:tab w:val="left" w:pos="426"/>
              </w:tabs>
              <w:spacing w:after="120"/>
              <w:jc w:val="both"/>
              <w:rPr>
                <w:rFonts w:ascii="Arial" w:hAnsi="Arial" w:cs="Arial"/>
              </w:rPr>
            </w:pPr>
            <w:r>
              <w:rPr>
                <w:rFonts w:ascii="Arial" w:hAnsi="Arial" w:cs="Arial"/>
              </w:rPr>
              <w:t>All subject specific learning outcomes (SSLOs)</w:t>
            </w:r>
          </w:p>
          <w:p w:rsidR="00C17D06" w:rsidRDefault="00C17D06" w:rsidP="005425DA">
            <w:pPr>
              <w:spacing w:after="120" w:line="240" w:lineRule="auto"/>
              <w:jc w:val="both"/>
              <w:rPr>
                <w:rFonts w:ascii="Arial" w:hAnsi="Arial" w:cs="Arial"/>
              </w:rPr>
            </w:pPr>
            <w:r>
              <w:rPr>
                <w:rFonts w:ascii="Arial" w:hAnsi="Arial" w:cs="Arial"/>
              </w:rPr>
              <w:t>All generic learning outcomes</w:t>
            </w:r>
          </w:p>
          <w:p w:rsidR="00C17D06" w:rsidRDefault="00C17D06" w:rsidP="005425DA">
            <w:pPr>
              <w:tabs>
                <w:tab w:val="left" w:pos="426"/>
              </w:tabs>
              <w:spacing w:after="120"/>
              <w:jc w:val="both"/>
              <w:rPr>
                <w:rFonts w:ascii="Arial" w:hAnsi="Arial" w:cs="Arial"/>
              </w:rPr>
            </w:pPr>
          </w:p>
          <w:p w:rsidR="00C17D06" w:rsidRPr="005E386F" w:rsidRDefault="00C17D06" w:rsidP="005425DA">
            <w:pPr>
              <w:spacing w:after="120" w:line="240" w:lineRule="auto"/>
              <w:jc w:val="both"/>
              <w:rPr>
                <w:rFonts w:ascii="Arial" w:hAnsi="Arial" w:cs="Arial"/>
              </w:rPr>
            </w:pPr>
          </w:p>
        </w:tc>
        <w:tc>
          <w:tcPr>
            <w:tcW w:w="1276" w:type="dxa"/>
          </w:tcPr>
          <w:p w:rsidR="00C17D06" w:rsidRDefault="00C17D06" w:rsidP="005425DA">
            <w:pPr>
              <w:tabs>
                <w:tab w:val="left" w:pos="426"/>
              </w:tabs>
              <w:spacing w:after="120" w:line="240" w:lineRule="auto"/>
              <w:jc w:val="center"/>
              <w:rPr>
                <w:rFonts w:ascii="Arial" w:hAnsi="Arial" w:cs="Arial"/>
              </w:rPr>
            </w:pPr>
            <w:r>
              <w:rPr>
                <w:rFonts w:ascii="Arial" w:hAnsi="Arial" w:cs="Arial"/>
              </w:rPr>
              <w:t>40%</w:t>
            </w:r>
          </w:p>
          <w:p w:rsidR="00C17D06" w:rsidRDefault="00C17D06" w:rsidP="005425DA">
            <w:pPr>
              <w:tabs>
                <w:tab w:val="left" w:pos="426"/>
              </w:tabs>
              <w:spacing w:after="120" w:line="240" w:lineRule="auto"/>
              <w:jc w:val="center"/>
              <w:rPr>
                <w:rFonts w:ascii="Arial" w:hAnsi="Arial" w:cs="Arial"/>
              </w:rPr>
            </w:pPr>
          </w:p>
          <w:p w:rsidR="00C17D06" w:rsidRDefault="00C17D06" w:rsidP="005425DA">
            <w:pPr>
              <w:tabs>
                <w:tab w:val="left" w:pos="426"/>
              </w:tabs>
              <w:spacing w:after="120" w:line="240" w:lineRule="auto"/>
              <w:jc w:val="center"/>
              <w:rPr>
                <w:rFonts w:ascii="Arial" w:hAnsi="Arial" w:cs="Arial"/>
              </w:rPr>
            </w:pPr>
          </w:p>
          <w:p w:rsidR="00C17D06" w:rsidRDefault="00C17D06" w:rsidP="005425DA">
            <w:pPr>
              <w:tabs>
                <w:tab w:val="left" w:pos="426"/>
              </w:tabs>
              <w:spacing w:after="120" w:line="240" w:lineRule="auto"/>
              <w:jc w:val="center"/>
              <w:rPr>
                <w:rFonts w:ascii="Arial" w:hAnsi="Arial" w:cs="Arial"/>
              </w:rPr>
            </w:pPr>
          </w:p>
          <w:p w:rsidR="00C17D06" w:rsidRDefault="00C17D06" w:rsidP="005425DA">
            <w:pPr>
              <w:tabs>
                <w:tab w:val="left" w:pos="426"/>
              </w:tabs>
              <w:spacing w:after="120" w:line="240" w:lineRule="auto"/>
              <w:jc w:val="center"/>
              <w:rPr>
                <w:rFonts w:ascii="Arial" w:hAnsi="Arial" w:cs="Arial"/>
              </w:rPr>
            </w:pPr>
          </w:p>
          <w:p w:rsidR="00C17D06" w:rsidRDefault="00C17D06" w:rsidP="005425DA">
            <w:pPr>
              <w:tabs>
                <w:tab w:val="left" w:pos="426"/>
              </w:tabs>
              <w:spacing w:after="120" w:line="240" w:lineRule="auto"/>
              <w:jc w:val="center"/>
              <w:rPr>
                <w:rFonts w:ascii="Arial" w:hAnsi="Arial" w:cs="Arial"/>
              </w:rPr>
            </w:pPr>
            <w:r>
              <w:rPr>
                <w:rFonts w:ascii="Arial" w:hAnsi="Arial" w:cs="Arial"/>
              </w:rPr>
              <w:t>PASS</w:t>
            </w:r>
          </w:p>
          <w:p w:rsidR="00C17D06" w:rsidRPr="00DD5915" w:rsidRDefault="00C17D06" w:rsidP="005425DA">
            <w:pPr>
              <w:tabs>
                <w:tab w:val="left" w:pos="426"/>
              </w:tabs>
              <w:spacing w:after="120" w:line="240" w:lineRule="auto"/>
              <w:jc w:val="center"/>
              <w:rPr>
                <w:rFonts w:ascii="Arial" w:hAnsi="Arial" w:cs="Arial"/>
              </w:rPr>
            </w:pPr>
          </w:p>
        </w:tc>
        <w:tc>
          <w:tcPr>
            <w:tcW w:w="2835" w:type="dxa"/>
          </w:tcPr>
          <w:p w:rsidR="00C17D06" w:rsidRDefault="00C17D06" w:rsidP="005425DA">
            <w:pPr>
              <w:tabs>
                <w:tab w:val="left" w:pos="426"/>
              </w:tabs>
              <w:spacing w:after="120" w:line="240" w:lineRule="auto"/>
              <w:jc w:val="both"/>
              <w:rPr>
                <w:rFonts w:ascii="Arial" w:hAnsi="Arial" w:cs="Arial"/>
              </w:rPr>
            </w:pPr>
            <w:r>
              <w:rPr>
                <w:rFonts w:ascii="Arial" w:hAnsi="Arial" w:cs="Arial"/>
              </w:rPr>
              <w:t>Lab report</w:t>
            </w:r>
          </w:p>
          <w:p w:rsidR="00C17D06" w:rsidRDefault="00C17D06" w:rsidP="005425DA">
            <w:pPr>
              <w:pStyle w:val="BodyText2"/>
              <w:suppressAutoHyphens/>
              <w:spacing w:line="240" w:lineRule="auto"/>
              <w:rPr>
                <w:i/>
              </w:rPr>
            </w:pPr>
          </w:p>
          <w:p w:rsidR="00C17D06" w:rsidRDefault="00C17D06" w:rsidP="005425DA">
            <w:pPr>
              <w:pStyle w:val="BodyText2"/>
              <w:suppressAutoHyphens/>
              <w:spacing w:line="240" w:lineRule="auto"/>
              <w:rPr>
                <w:rFonts w:ascii="Arial" w:hAnsi="Arial" w:cs="Arial"/>
                <w:sz w:val="22"/>
                <w:szCs w:val="22"/>
              </w:rPr>
            </w:pPr>
          </w:p>
          <w:p w:rsidR="00C17D06" w:rsidRDefault="00C17D06" w:rsidP="005425DA">
            <w:pPr>
              <w:pStyle w:val="BodyText2"/>
              <w:suppressAutoHyphens/>
              <w:spacing w:line="240" w:lineRule="auto"/>
              <w:rPr>
                <w:rFonts w:ascii="Arial" w:hAnsi="Arial" w:cs="Arial"/>
                <w:sz w:val="22"/>
                <w:szCs w:val="22"/>
              </w:rPr>
            </w:pPr>
          </w:p>
          <w:p w:rsidR="00C17D06" w:rsidRPr="000A1E1A" w:rsidRDefault="00C17D06" w:rsidP="005425DA">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C17D06" w:rsidRDefault="00C17D06" w:rsidP="005425DA">
            <w:pPr>
              <w:tabs>
                <w:tab w:val="left" w:pos="426"/>
              </w:tabs>
              <w:spacing w:after="120" w:line="240" w:lineRule="auto"/>
              <w:jc w:val="both"/>
              <w:rPr>
                <w:rFonts w:ascii="Arial" w:hAnsi="Arial" w:cs="Arial"/>
              </w:rPr>
            </w:pPr>
          </w:p>
          <w:p w:rsidR="00C17D06" w:rsidRPr="00DD5915" w:rsidRDefault="00C17D06" w:rsidP="005425DA">
            <w:pPr>
              <w:tabs>
                <w:tab w:val="left" w:pos="426"/>
              </w:tabs>
              <w:spacing w:after="120" w:line="240" w:lineRule="auto"/>
              <w:jc w:val="both"/>
              <w:rPr>
                <w:rFonts w:ascii="Arial" w:hAnsi="Arial" w:cs="Arial"/>
              </w:rPr>
            </w:pPr>
          </w:p>
        </w:tc>
      </w:tr>
      <w:tr w:rsidR="00C17D06" w:rsidRPr="00DD5915" w:rsidTr="00181EEA">
        <w:tc>
          <w:tcPr>
            <w:tcW w:w="1701" w:type="dxa"/>
          </w:tcPr>
          <w:p w:rsidR="00C17D06" w:rsidRPr="00DD5915" w:rsidRDefault="00C17D06" w:rsidP="005425DA">
            <w:pPr>
              <w:tabs>
                <w:tab w:val="left" w:pos="426"/>
              </w:tabs>
              <w:spacing w:after="120"/>
              <w:jc w:val="both"/>
              <w:rPr>
                <w:rFonts w:ascii="Arial" w:hAnsi="Arial" w:cs="Arial"/>
              </w:rPr>
            </w:pPr>
            <w:r>
              <w:rPr>
                <w:rFonts w:ascii="Arial" w:hAnsi="Arial" w:cs="Arial"/>
              </w:rPr>
              <w:lastRenderedPageBreak/>
              <w:t>Examination</w:t>
            </w:r>
          </w:p>
        </w:tc>
        <w:tc>
          <w:tcPr>
            <w:tcW w:w="2977" w:type="dxa"/>
          </w:tcPr>
          <w:p w:rsidR="00C17D06" w:rsidRDefault="00C17D06" w:rsidP="005425DA">
            <w:pPr>
              <w:tabs>
                <w:tab w:val="left" w:pos="426"/>
              </w:tabs>
              <w:spacing w:after="120"/>
              <w:jc w:val="both"/>
              <w:rPr>
                <w:rFonts w:ascii="Arial" w:hAnsi="Arial" w:cs="Arial"/>
              </w:rPr>
            </w:pPr>
            <w:r>
              <w:rPr>
                <w:rFonts w:ascii="Arial" w:hAnsi="Arial" w:cs="Arial"/>
              </w:rPr>
              <w:t>All subject specific learning outcomes (SSLOs)</w:t>
            </w:r>
          </w:p>
          <w:p w:rsidR="00C17D06" w:rsidRPr="00DD5915" w:rsidRDefault="00C17D06" w:rsidP="005425DA">
            <w:pPr>
              <w:tabs>
                <w:tab w:val="left" w:pos="426"/>
              </w:tabs>
              <w:spacing w:after="120"/>
              <w:jc w:val="both"/>
              <w:rPr>
                <w:rFonts w:ascii="Arial" w:hAnsi="Arial" w:cs="Arial"/>
              </w:rPr>
            </w:pPr>
            <w:r>
              <w:rPr>
                <w:rFonts w:ascii="Arial" w:hAnsi="Arial" w:cs="Arial"/>
              </w:rPr>
              <w:t>Generic Learning outcomes 12.4 and 12.5</w:t>
            </w:r>
          </w:p>
        </w:tc>
        <w:tc>
          <w:tcPr>
            <w:tcW w:w="1276" w:type="dxa"/>
          </w:tcPr>
          <w:p w:rsidR="00C17D06" w:rsidRPr="00DD5915" w:rsidRDefault="00C17D06" w:rsidP="005425DA">
            <w:pPr>
              <w:tabs>
                <w:tab w:val="left" w:pos="426"/>
              </w:tabs>
              <w:spacing w:after="120"/>
              <w:jc w:val="center"/>
              <w:rPr>
                <w:rFonts w:ascii="Arial" w:hAnsi="Arial" w:cs="Arial"/>
              </w:rPr>
            </w:pPr>
            <w:r>
              <w:rPr>
                <w:rFonts w:ascii="Arial" w:hAnsi="Arial" w:cs="Arial"/>
              </w:rPr>
              <w:t>60%</w:t>
            </w:r>
          </w:p>
        </w:tc>
        <w:tc>
          <w:tcPr>
            <w:tcW w:w="2835" w:type="dxa"/>
          </w:tcPr>
          <w:p w:rsidR="00C17D06" w:rsidRPr="00DD5915" w:rsidRDefault="00C17D06" w:rsidP="005425DA">
            <w:pPr>
              <w:tabs>
                <w:tab w:val="left" w:pos="426"/>
              </w:tabs>
              <w:spacing w:after="120"/>
              <w:rPr>
                <w:rFonts w:ascii="Arial" w:hAnsi="Arial" w:cs="Arial"/>
              </w:rPr>
            </w:pPr>
            <w:r>
              <w:rPr>
                <w:rFonts w:ascii="Arial" w:hAnsi="Arial" w:cs="Arial"/>
              </w:rPr>
              <w:t>3 hour examination</w:t>
            </w:r>
          </w:p>
        </w:tc>
      </w:tr>
    </w:tbl>
    <w:p w:rsidR="00C17D06" w:rsidRPr="00AA3264" w:rsidRDefault="00C17D06" w:rsidP="00C17D06">
      <w:pPr>
        <w:tabs>
          <w:tab w:val="left" w:pos="426"/>
        </w:tabs>
        <w:jc w:val="both"/>
        <w:rPr>
          <w:rFonts w:ascii="Arial" w:hAnsi="Arial" w:cs="Arial"/>
          <w:i/>
          <w:iCs/>
          <w:sz w:val="20"/>
          <w:szCs w:val="20"/>
        </w:rPr>
      </w:pPr>
      <w:r w:rsidRPr="00AA3264">
        <w:rPr>
          <w:rFonts w:ascii="Arial" w:hAnsi="Arial" w:cs="Arial"/>
        </w:rPr>
        <w:t>The pass mark for this module is 40%. The aim of the lab report assessment is to assess the practical skills of the student. Satisfactory attendance and performance at all scheduled coursework sessions is normally defined as a minimum of 80% attendance of all laboratory/workshop classes, plus lab books maintained to the required GLP standard</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E67013">
        <w:pPr>
          <w:pStyle w:val="Footer"/>
          <w:jc w:val="center"/>
        </w:pPr>
        <w:r>
          <w:fldChar w:fldCharType="begin"/>
        </w:r>
        <w:r w:rsidR="006A7FB0">
          <w:instrText xml:space="preserve"> PAGE   \* MERGEFORMAT </w:instrText>
        </w:r>
        <w:r>
          <w:fldChar w:fldCharType="separate"/>
        </w:r>
        <w:r w:rsidR="00A05BA6">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1">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7"/>
  </w:num>
  <w:num w:numId="6">
    <w:abstractNumId w:val="15"/>
  </w:num>
  <w:num w:numId="7">
    <w:abstractNumId w:val="20"/>
  </w:num>
  <w:num w:numId="8">
    <w:abstractNumId w:val="3"/>
  </w:num>
  <w:num w:numId="9">
    <w:abstractNumId w:val="18"/>
  </w:num>
  <w:num w:numId="10">
    <w:abstractNumId w:val="12"/>
  </w:num>
  <w:num w:numId="11">
    <w:abstractNumId w:val="11"/>
  </w:num>
  <w:num w:numId="12">
    <w:abstractNumId w:val="13"/>
  </w:num>
  <w:num w:numId="13">
    <w:abstractNumId w:val="1"/>
  </w:num>
  <w:num w:numId="14">
    <w:abstractNumId w:val="9"/>
  </w:num>
  <w:num w:numId="15">
    <w:abstractNumId w:val="21"/>
  </w:num>
  <w:num w:numId="16">
    <w:abstractNumId w:val="19"/>
  </w:num>
  <w:num w:numId="17">
    <w:abstractNumId w:val="4"/>
  </w:num>
  <w:num w:numId="18">
    <w:abstractNumId w:val="8"/>
  </w:num>
  <w:num w:numId="19">
    <w:abstractNumId w:val="5"/>
  </w:num>
  <w:num w:numId="20">
    <w:abstractNumId w:val="16"/>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678D3"/>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E1F45"/>
    <w:rsid w:val="002465A1"/>
    <w:rsid w:val="002534A5"/>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43C1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B2E45"/>
    <w:rsid w:val="00903DF6"/>
    <w:rsid w:val="00921CF6"/>
    <w:rsid w:val="009614FD"/>
    <w:rsid w:val="00987DB4"/>
    <w:rsid w:val="009D068C"/>
    <w:rsid w:val="00A021FE"/>
    <w:rsid w:val="00A05BA6"/>
    <w:rsid w:val="00A1270E"/>
    <w:rsid w:val="00A52DB4"/>
    <w:rsid w:val="00A629B9"/>
    <w:rsid w:val="00A74292"/>
    <w:rsid w:val="00A8555F"/>
    <w:rsid w:val="00AA3C15"/>
    <w:rsid w:val="00B03ACD"/>
    <w:rsid w:val="00B17CD2"/>
    <w:rsid w:val="00B248BA"/>
    <w:rsid w:val="00B57219"/>
    <w:rsid w:val="00B95469"/>
    <w:rsid w:val="00BC19F7"/>
    <w:rsid w:val="00BD0EF8"/>
    <w:rsid w:val="00BE2126"/>
    <w:rsid w:val="00BE3B17"/>
    <w:rsid w:val="00C04C95"/>
    <w:rsid w:val="00C12613"/>
    <w:rsid w:val="00C17D06"/>
    <w:rsid w:val="00C3744A"/>
    <w:rsid w:val="00C55545"/>
    <w:rsid w:val="00C83354"/>
    <w:rsid w:val="00CB11CE"/>
    <w:rsid w:val="00D2689A"/>
    <w:rsid w:val="00D82F9E"/>
    <w:rsid w:val="00DA64B6"/>
    <w:rsid w:val="00DC7B02"/>
    <w:rsid w:val="00DD02E6"/>
    <w:rsid w:val="00E22F03"/>
    <w:rsid w:val="00E51404"/>
    <w:rsid w:val="00E574C9"/>
    <w:rsid w:val="00E610DE"/>
    <w:rsid w:val="00E67013"/>
    <w:rsid w:val="00EF3A79"/>
    <w:rsid w:val="00F01956"/>
    <w:rsid w:val="00F21C47"/>
    <w:rsid w:val="00F301F8"/>
    <w:rsid w:val="00F336B2"/>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4D5B-FDAD-4749-8C3D-D4AFA1BF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2015-01-23T13:45:00Z</dcterms:created>
  <dcterms:modified xsi:type="dcterms:W3CDTF">2015-01-23T13:45:00Z</dcterms:modified>
</cp:coreProperties>
</file>