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5B" w:rsidRPr="00464BA7" w:rsidRDefault="0091725B" w:rsidP="008A7AAD">
      <w:pPr>
        <w:pStyle w:val="Title"/>
        <w:spacing w:after="120"/>
        <w:rPr>
          <w:rFonts w:ascii="Arial" w:hAnsi="Arial" w:cs="Arial"/>
        </w:rPr>
      </w:pPr>
      <w:r w:rsidRPr="00464BA7">
        <w:rPr>
          <w:rFonts w:ascii="Arial" w:hAnsi="Arial" w:cs="Arial"/>
        </w:rPr>
        <w:t>MODULE SPECIFICATION TEMPLATE</w:t>
      </w:r>
    </w:p>
    <w:p w:rsidR="0091725B" w:rsidRPr="00464BA7" w:rsidRDefault="0091725B" w:rsidP="008A7AAD">
      <w:pPr>
        <w:pBdr>
          <w:bottom w:val="single" w:sz="6" w:space="1" w:color="auto"/>
        </w:pBdr>
        <w:spacing w:after="120"/>
        <w:jc w:val="both"/>
        <w:rPr>
          <w:rFonts w:ascii="Arial" w:hAnsi="Arial" w:cs="Arial"/>
          <w:i/>
        </w:rPr>
      </w:pPr>
    </w:p>
    <w:p w:rsidR="007B3489" w:rsidRPr="00464BA7" w:rsidRDefault="007B3489" w:rsidP="008A7AAD">
      <w:pPr>
        <w:spacing w:after="120"/>
        <w:jc w:val="center"/>
        <w:rPr>
          <w:rFonts w:ascii="Arial" w:hAnsi="Arial" w:cs="Arial"/>
          <w:b/>
        </w:rPr>
      </w:pPr>
      <w:r w:rsidRPr="00464BA7">
        <w:rPr>
          <w:rFonts w:ascii="Arial" w:hAnsi="Arial" w:cs="Arial"/>
          <w:b/>
        </w:rPr>
        <w:t>SECTION 1: MODULE SPECIFICATIONS</w:t>
      </w:r>
    </w:p>
    <w:p w:rsidR="007B3489" w:rsidRPr="00464BA7" w:rsidRDefault="007B3489" w:rsidP="008A7AAD">
      <w:pPr>
        <w:pBdr>
          <w:bottom w:val="single" w:sz="6" w:space="1" w:color="auto"/>
        </w:pBdr>
        <w:spacing w:after="120"/>
        <w:jc w:val="both"/>
        <w:rPr>
          <w:rFonts w:ascii="Arial" w:hAnsi="Arial" w:cs="Arial"/>
          <w:i/>
        </w:rPr>
      </w:pPr>
    </w:p>
    <w:p w:rsidR="0091725B" w:rsidRDefault="008A7AAD" w:rsidP="008A7AAD">
      <w:pPr>
        <w:numPr>
          <w:ilvl w:val="0"/>
          <w:numId w:val="6"/>
        </w:numPr>
        <w:spacing w:after="120"/>
        <w:ind w:left="426" w:hanging="426"/>
        <w:jc w:val="both"/>
        <w:rPr>
          <w:rFonts w:ascii="Arial" w:hAnsi="Arial" w:cs="Arial"/>
        </w:rPr>
      </w:pPr>
      <w:r>
        <w:rPr>
          <w:rFonts w:ascii="Arial" w:hAnsi="Arial" w:cs="Arial"/>
        </w:rPr>
        <w:t>T</w:t>
      </w:r>
      <w:r w:rsidR="0091725B" w:rsidRPr="00464BA7">
        <w:rPr>
          <w:rFonts w:ascii="Arial" w:hAnsi="Arial" w:cs="Arial"/>
        </w:rPr>
        <w:t>itle of the module</w:t>
      </w:r>
    </w:p>
    <w:p w:rsidR="00290FA8" w:rsidRPr="00C6680C" w:rsidRDefault="00C6680C" w:rsidP="00290FA8">
      <w:pPr>
        <w:spacing w:after="120"/>
        <w:ind w:left="426"/>
        <w:jc w:val="both"/>
        <w:rPr>
          <w:rFonts w:ascii="Arial" w:hAnsi="Arial" w:cs="Arial"/>
          <w:b/>
          <w:color w:val="000000"/>
        </w:rPr>
      </w:pPr>
      <w:r w:rsidRPr="00C6680C">
        <w:rPr>
          <w:rFonts w:ascii="Arial" w:hAnsi="Arial" w:cs="Arial"/>
          <w:b/>
          <w:iCs/>
          <w:color w:val="000000"/>
        </w:rPr>
        <w:t>Pharmacy Practice 2 (PHAM1009)</w:t>
      </w:r>
      <w:r w:rsidR="0008292D" w:rsidRPr="00C6680C">
        <w:rPr>
          <w:rFonts w:ascii="Arial" w:hAnsi="Arial" w:cs="Arial"/>
          <w:b/>
          <w:iCs/>
          <w:color w:val="000000"/>
        </w:rPr>
        <w:t>.</w:t>
      </w:r>
    </w:p>
    <w:p w:rsidR="007B3489" w:rsidRDefault="004A63A1" w:rsidP="008A7AAD">
      <w:pPr>
        <w:numPr>
          <w:ilvl w:val="0"/>
          <w:numId w:val="6"/>
        </w:numPr>
        <w:spacing w:after="120"/>
        <w:ind w:left="426" w:hanging="426"/>
        <w:jc w:val="both"/>
        <w:rPr>
          <w:rFonts w:ascii="Arial" w:hAnsi="Arial" w:cs="Arial"/>
        </w:rPr>
      </w:pPr>
      <w:r>
        <w:rPr>
          <w:rFonts w:ascii="Arial" w:hAnsi="Arial" w:cs="Arial"/>
        </w:rPr>
        <w:t>School</w:t>
      </w:r>
      <w:r w:rsidR="0091725B" w:rsidRPr="00464BA7">
        <w:rPr>
          <w:rFonts w:ascii="Arial" w:hAnsi="Arial" w:cs="Arial"/>
        </w:rPr>
        <w:t xml:space="preserve"> which will be responsible for management of the module</w:t>
      </w:r>
    </w:p>
    <w:p w:rsidR="00290FA8" w:rsidRPr="00C6680C" w:rsidRDefault="00C6680C" w:rsidP="00290FA8">
      <w:pPr>
        <w:spacing w:after="120"/>
        <w:ind w:firstLine="426"/>
        <w:rPr>
          <w:rFonts w:ascii="Arial" w:hAnsi="Arial" w:cs="Arial"/>
          <w:b/>
          <w:iCs/>
          <w:color w:val="000000"/>
        </w:rPr>
      </w:pPr>
      <w:r w:rsidRPr="00C6680C">
        <w:rPr>
          <w:rFonts w:ascii="Arial" w:hAnsi="Arial" w:cs="Arial"/>
          <w:b/>
          <w:iCs/>
          <w:color w:val="000000"/>
        </w:rPr>
        <w:t>Medway School of Pharmacy</w:t>
      </w:r>
    </w:p>
    <w:p w:rsidR="0091725B" w:rsidRDefault="0091725B" w:rsidP="008A7AAD">
      <w:pPr>
        <w:numPr>
          <w:ilvl w:val="0"/>
          <w:numId w:val="6"/>
        </w:numPr>
        <w:spacing w:after="120"/>
        <w:ind w:left="426" w:hanging="426"/>
        <w:jc w:val="both"/>
        <w:rPr>
          <w:rFonts w:ascii="Arial" w:hAnsi="Arial" w:cs="Arial"/>
        </w:rPr>
      </w:pPr>
      <w:r w:rsidRPr="00464BA7">
        <w:rPr>
          <w:rFonts w:ascii="Arial" w:hAnsi="Arial" w:cs="Arial"/>
        </w:rPr>
        <w:t xml:space="preserve">Start </w:t>
      </w:r>
      <w:r w:rsidR="008A7AAD">
        <w:rPr>
          <w:rFonts w:ascii="Arial" w:hAnsi="Arial" w:cs="Arial"/>
        </w:rPr>
        <w:t>d</w:t>
      </w:r>
      <w:r w:rsidRPr="00464BA7">
        <w:rPr>
          <w:rFonts w:ascii="Arial" w:hAnsi="Arial" w:cs="Arial"/>
        </w:rPr>
        <w:t xml:space="preserve">ate of the </w:t>
      </w:r>
      <w:r w:rsidR="008A7AAD">
        <w:rPr>
          <w:rFonts w:ascii="Arial" w:hAnsi="Arial" w:cs="Arial"/>
        </w:rPr>
        <w:t>m</w:t>
      </w:r>
      <w:r w:rsidRPr="00464BA7">
        <w:rPr>
          <w:rFonts w:ascii="Arial" w:hAnsi="Arial" w:cs="Arial"/>
        </w:rPr>
        <w:t>odule</w:t>
      </w:r>
    </w:p>
    <w:p w:rsidR="00290FA8" w:rsidRPr="00C6680C" w:rsidRDefault="00C6680C" w:rsidP="00290FA8">
      <w:pPr>
        <w:spacing w:after="120"/>
        <w:ind w:firstLine="426"/>
        <w:rPr>
          <w:rFonts w:ascii="Arial" w:hAnsi="Arial" w:cs="Arial"/>
          <w:b/>
          <w:iCs/>
          <w:color w:val="000000"/>
        </w:rPr>
      </w:pPr>
      <w:r w:rsidRPr="00C6680C">
        <w:rPr>
          <w:rFonts w:ascii="Arial" w:hAnsi="Arial" w:cs="Arial"/>
          <w:b/>
          <w:iCs/>
          <w:color w:val="000000"/>
        </w:rPr>
        <w:t>Autumn 2011</w:t>
      </w:r>
      <w:r w:rsidR="00290FA8" w:rsidRPr="00C6680C">
        <w:rPr>
          <w:rFonts w:ascii="Arial" w:hAnsi="Arial" w:cs="Arial"/>
          <w:b/>
          <w:iCs/>
          <w:color w:val="000000"/>
        </w:rPr>
        <w:t xml:space="preserve"> </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The cohort of students (onwards) to which the module will be applicable.</w:t>
      </w:r>
    </w:p>
    <w:p w:rsidR="003473CE" w:rsidRPr="00C6680C" w:rsidRDefault="00C6680C" w:rsidP="0008292D">
      <w:pPr>
        <w:spacing w:after="120"/>
        <w:ind w:left="426"/>
        <w:rPr>
          <w:rFonts w:ascii="Arial" w:hAnsi="Arial" w:cs="Arial"/>
          <w:b/>
          <w:iCs/>
          <w:color w:val="000000"/>
        </w:rPr>
      </w:pPr>
      <w:r w:rsidRPr="00C6680C">
        <w:rPr>
          <w:rFonts w:ascii="Arial" w:hAnsi="Arial" w:cs="Arial"/>
          <w:b/>
          <w:iCs/>
          <w:color w:val="000000"/>
        </w:rPr>
        <w:t>Stage 2 of the Masters in Pharmacy (MPharm) programme</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The number of students expected to take the module</w:t>
      </w:r>
    </w:p>
    <w:p w:rsidR="003473CE" w:rsidRPr="00C6680C" w:rsidRDefault="003B72AE" w:rsidP="0008292D">
      <w:pPr>
        <w:spacing w:after="120"/>
        <w:ind w:left="426"/>
        <w:rPr>
          <w:rFonts w:ascii="Arial" w:hAnsi="Arial" w:cs="Arial"/>
          <w:b/>
          <w:iCs/>
          <w:color w:val="000000"/>
        </w:rPr>
      </w:pPr>
      <w:r>
        <w:rPr>
          <w:rFonts w:ascii="Arial" w:hAnsi="Arial" w:cs="Arial"/>
          <w:b/>
          <w:iCs/>
          <w:color w:val="000000"/>
        </w:rPr>
        <w:t>160-200</w:t>
      </w:r>
      <w:r w:rsidR="003473CE" w:rsidRPr="00C6680C">
        <w:rPr>
          <w:rFonts w:ascii="Arial" w:hAnsi="Arial" w:cs="Arial"/>
          <w:b/>
          <w:iCs/>
          <w:color w:val="000000"/>
        </w:rPr>
        <w:t>.</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Modules to be withdrawn on the introduction of this proposed module and consultation with other relevant Schools and Faculties regarding the withdrawal</w:t>
      </w:r>
    </w:p>
    <w:p w:rsidR="003473CE" w:rsidRPr="00C6680C" w:rsidRDefault="00C6680C" w:rsidP="0008292D">
      <w:pPr>
        <w:spacing w:after="120"/>
        <w:ind w:left="426"/>
        <w:rPr>
          <w:rFonts w:ascii="Arial" w:hAnsi="Arial" w:cs="Arial"/>
          <w:b/>
          <w:iCs/>
          <w:color w:val="000000"/>
        </w:rPr>
      </w:pPr>
      <w:r w:rsidRPr="00C6680C">
        <w:rPr>
          <w:rFonts w:ascii="Arial" w:hAnsi="Arial" w:cs="Arial"/>
          <w:b/>
          <w:iCs/>
          <w:color w:val="000000"/>
        </w:rPr>
        <w:t>None</w:t>
      </w:r>
      <w:r w:rsidR="003473CE" w:rsidRPr="00C6680C">
        <w:rPr>
          <w:rFonts w:ascii="Arial" w:hAnsi="Arial" w:cs="Arial"/>
          <w:b/>
          <w:iCs/>
          <w:color w:val="000000"/>
        </w:rPr>
        <w:t>.</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The level of the module (eg Certificate [C], Intermediate [I], Honours [H] or Postgraduate [M])</w:t>
      </w:r>
    </w:p>
    <w:p w:rsidR="003473CE" w:rsidRPr="00C6680C" w:rsidRDefault="00C6680C" w:rsidP="0008292D">
      <w:pPr>
        <w:spacing w:after="120"/>
        <w:ind w:left="426"/>
        <w:rPr>
          <w:rFonts w:ascii="Arial" w:hAnsi="Arial" w:cs="Arial"/>
          <w:b/>
          <w:iCs/>
          <w:color w:val="000000"/>
        </w:rPr>
      </w:pPr>
      <w:r w:rsidRPr="00C6680C">
        <w:rPr>
          <w:rFonts w:ascii="Arial" w:hAnsi="Arial" w:cs="Arial"/>
          <w:b/>
          <w:iCs/>
          <w:color w:val="000000"/>
        </w:rPr>
        <w:t>Intermediate</w:t>
      </w:r>
      <w:r w:rsidR="003473CE" w:rsidRPr="00C6680C">
        <w:rPr>
          <w:rFonts w:ascii="Arial" w:hAnsi="Arial" w:cs="Arial"/>
          <w:b/>
          <w:iCs/>
          <w:color w:val="000000"/>
        </w:rPr>
        <w:t>.</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 xml:space="preserve">The number of credits which the module represents </w:t>
      </w:r>
    </w:p>
    <w:p w:rsidR="003473CE" w:rsidRPr="0008292D" w:rsidRDefault="003473CE" w:rsidP="0008292D">
      <w:pPr>
        <w:spacing w:after="120"/>
        <w:ind w:left="426"/>
        <w:rPr>
          <w:rFonts w:ascii="Arial" w:hAnsi="Arial" w:cs="Arial"/>
          <w:i/>
        </w:rPr>
      </w:pPr>
      <w:r w:rsidRPr="0008292D">
        <w:rPr>
          <w:rFonts w:ascii="Arial" w:hAnsi="Arial" w:cs="Arial"/>
          <w:b/>
          <w:i/>
        </w:rPr>
        <w:t>Note</w:t>
      </w:r>
      <w:r w:rsidRPr="0008292D">
        <w:rPr>
          <w:rFonts w:ascii="Arial" w:hAnsi="Arial" w:cs="Arial"/>
          <w:i/>
        </w:rPr>
        <w:t>: undergraduate full-time students take modules amounting to 120 credits per year and postgraduate full-time students take modules amounting to 180 credits per year for a Masters award</w:t>
      </w:r>
    </w:p>
    <w:p w:rsidR="003473CE" w:rsidRPr="00C6680C" w:rsidRDefault="00C6680C" w:rsidP="0008292D">
      <w:pPr>
        <w:spacing w:after="120"/>
        <w:ind w:firstLine="426"/>
        <w:rPr>
          <w:rFonts w:ascii="Arial" w:hAnsi="Arial" w:cs="Arial"/>
          <w:b/>
          <w:bCs/>
          <w:color w:val="000000"/>
        </w:rPr>
      </w:pPr>
      <w:r w:rsidRPr="00C6680C">
        <w:rPr>
          <w:rFonts w:ascii="Arial" w:hAnsi="Arial" w:cs="Arial"/>
          <w:b/>
          <w:bCs/>
          <w:color w:val="000000"/>
        </w:rPr>
        <w:t>30 credits</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Which term(s) the module is to be taught in (or other teaching pattern)</w:t>
      </w:r>
    </w:p>
    <w:p w:rsidR="003473CE" w:rsidRPr="00C6680C" w:rsidRDefault="00C6680C" w:rsidP="0008292D">
      <w:pPr>
        <w:spacing w:after="120"/>
        <w:ind w:left="426"/>
        <w:rPr>
          <w:rFonts w:ascii="Arial" w:hAnsi="Arial" w:cs="Arial"/>
          <w:b/>
          <w:iCs/>
          <w:color w:val="000000"/>
        </w:rPr>
      </w:pPr>
      <w:r w:rsidRPr="00C6680C">
        <w:rPr>
          <w:rFonts w:ascii="Arial" w:hAnsi="Arial" w:cs="Arial"/>
          <w:b/>
          <w:iCs/>
          <w:color w:val="000000"/>
        </w:rPr>
        <w:t>Terms 1 and 2</w:t>
      </w:r>
    </w:p>
    <w:p w:rsidR="003473CE" w:rsidRPr="0008292D" w:rsidRDefault="003473CE" w:rsidP="0008292D">
      <w:pPr>
        <w:numPr>
          <w:ilvl w:val="0"/>
          <w:numId w:val="6"/>
        </w:numPr>
        <w:spacing w:after="120"/>
        <w:ind w:left="426" w:hanging="426"/>
        <w:jc w:val="both"/>
        <w:rPr>
          <w:rFonts w:ascii="Arial" w:hAnsi="Arial" w:cs="Arial"/>
        </w:rPr>
      </w:pPr>
      <w:r w:rsidRPr="0008292D">
        <w:rPr>
          <w:rFonts w:ascii="Arial" w:hAnsi="Arial" w:cs="Arial"/>
        </w:rPr>
        <w:t>Prerequisite and co-requisite modules</w:t>
      </w:r>
    </w:p>
    <w:p w:rsidR="00E442C2" w:rsidRPr="00E442C2" w:rsidRDefault="00E442C2" w:rsidP="00E442C2">
      <w:pPr>
        <w:spacing w:after="120"/>
        <w:ind w:left="426"/>
        <w:jc w:val="both"/>
        <w:rPr>
          <w:rFonts w:ascii="Arial" w:hAnsi="Arial"/>
          <w:b/>
        </w:rPr>
      </w:pPr>
      <w:r w:rsidRPr="00E442C2">
        <w:rPr>
          <w:rFonts w:ascii="Arial" w:hAnsi="Arial" w:cs="Arial"/>
          <w:b/>
          <w:bCs/>
        </w:rPr>
        <w:t>A successful completion of all modules at stage 1</w:t>
      </w:r>
      <w:r w:rsidRPr="00E442C2">
        <w:rPr>
          <w:rFonts w:ascii="Arial" w:hAnsi="Arial"/>
          <w:b/>
        </w:rPr>
        <w:t>, or graduation from the Foundation Degree in Pharmacy Practice. Co-requisite modules are MDM2, PDDA3, and PDDA4. A minority of students are granted direct entry to PP2 module as part of their direct entry to Stage 2 of the MPharm programme</w:t>
      </w:r>
    </w:p>
    <w:p w:rsidR="003473CE" w:rsidRPr="00C80804" w:rsidRDefault="003473CE" w:rsidP="00C80804">
      <w:pPr>
        <w:numPr>
          <w:ilvl w:val="0"/>
          <w:numId w:val="6"/>
        </w:numPr>
        <w:spacing w:after="120"/>
        <w:ind w:left="426" w:hanging="426"/>
        <w:jc w:val="both"/>
        <w:rPr>
          <w:rFonts w:ascii="Arial" w:hAnsi="Arial" w:cs="Arial"/>
        </w:rPr>
      </w:pPr>
      <w:r w:rsidRPr="00C80804">
        <w:rPr>
          <w:rFonts w:ascii="Arial" w:hAnsi="Arial" w:cs="Arial"/>
        </w:rPr>
        <w:t>The programmes of study to which the module contributes</w:t>
      </w:r>
    </w:p>
    <w:p w:rsidR="00E442C2" w:rsidRPr="00E442C2" w:rsidRDefault="00E442C2" w:rsidP="00C80804">
      <w:pPr>
        <w:spacing w:after="120"/>
        <w:ind w:left="426"/>
        <w:rPr>
          <w:rFonts w:ascii="Arial" w:hAnsi="Arial" w:cs="Arial"/>
          <w:b/>
          <w:iCs/>
          <w:color w:val="000000"/>
        </w:rPr>
      </w:pPr>
      <w:r w:rsidRPr="00E442C2">
        <w:rPr>
          <w:rFonts w:ascii="Arial" w:hAnsi="Arial" w:cs="Arial"/>
          <w:b/>
          <w:iCs/>
          <w:color w:val="000000"/>
        </w:rPr>
        <w:t>Master of Pharmacy (MPharm)</w:t>
      </w:r>
    </w:p>
    <w:p w:rsidR="003473CE" w:rsidRDefault="003473CE" w:rsidP="00C80804">
      <w:pPr>
        <w:numPr>
          <w:ilvl w:val="0"/>
          <w:numId w:val="6"/>
        </w:numPr>
        <w:spacing w:after="120"/>
        <w:ind w:left="426" w:hanging="426"/>
        <w:jc w:val="both"/>
        <w:rPr>
          <w:rFonts w:ascii="Arial" w:hAnsi="Arial" w:cs="Arial"/>
        </w:rPr>
      </w:pPr>
      <w:r w:rsidRPr="00C80804">
        <w:rPr>
          <w:rFonts w:ascii="Arial" w:hAnsi="Arial" w:cs="Arial"/>
        </w:rPr>
        <w:t>The intended subject specific learning outcomes and, as appropriate, their relationship to programme learning outcomes</w:t>
      </w:r>
    </w:p>
    <w:p w:rsidR="00E442C2" w:rsidRPr="00E442C2" w:rsidRDefault="00E442C2" w:rsidP="00E442C2">
      <w:pPr>
        <w:jc w:val="both"/>
        <w:rPr>
          <w:rFonts w:ascii="Arial" w:hAnsi="Arial"/>
          <w:b/>
        </w:rPr>
      </w:pPr>
      <w:r w:rsidRPr="00E442C2">
        <w:rPr>
          <w:rFonts w:ascii="Arial" w:hAnsi="Arial"/>
          <w:b/>
        </w:rPr>
        <w:t>Aims</w:t>
      </w:r>
    </w:p>
    <w:p w:rsidR="00E442C2" w:rsidRPr="00E442C2" w:rsidRDefault="00E442C2" w:rsidP="00E442C2">
      <w:pPr>
        <w:jc w:val="both"/>
        <w:rPr>
          <w:rFonts w:ascii="Arial" w:hAnsi="Arial"/>
          <w:b/>
        </w:rPr>
      </w:pPr>
      <w:r w:rsidRPr="00E442C2">
        <w:rPr>
          <w:rFonts w:ascii="Arial" w:hAnsi="Arial"/>
          <w:b/>
        </w:rPr>
        <w:t xml:space="preserve">The aims of this module are to integrate the ethical, legal, professional and social issues relevant to professional practice and the patient-pharmacist relationship. The module furthers an awareness of patients as individuals in order for the pharmacist to meet healthcare needs as appropriate. </w:t>
      </w:r>
    </w:p>
    <w:p w:rsidR="00E442C2" w:rsidRPr="00E442C2" w:rsidRDefault="00E442C2" w:rsidP="00E442C2">
      <w:pPr>
        <w:jc w:val="both"/>
        <w:rPr>
          <w:rFonts w:ascii="Arial" w:hAnsi="Arial"/>
          <w:b/>
        </w:rPr>
      </w:pPr>
    </w:p>
    <w:p w:rsidR="00E442C2" w:rsidRPr="00E442C2" w:rsidRDefault="00E442C2" w:rsidP="00E442C2">
      <w:pPr>
        <w:jc w:val="both"/>
        <w:rPr>
          <w:rFonts w:ascii="Arial" w:hAnsi="Arial"/>
          <w:b/>
        </w:rPr>
      </w:pPr>
      <w:r w:rsidRPr="00E442C2">
        <w:rPr>
          <w:rFonts w:ascii="Arial" w:hAnsi="Arial"/>
          <w:b/>
        </w:rPr>
        <w:t>Learning Outcomes</w:t>
      </w:r>
    </w:p>
    <w:p w:rsidR="00E442C2" w:rsidRPr="00E442C2" w:rsidRDefault="00E442C2" w:rsidP="00E442C2">
      <w:pPr>
        <w:suppressAutoHyphens/>
        <w:jc w:val="both"/>
        <w:rPr>
          <w:rFonts w:ascii="Arial" w:hAnsi="Arial"/>
          <w:b/>
          <w:spacing w:val="-2"/>
        </w:rPr>
      </w:pPr>
      <w:r w:rsidRPr="00E442C2">
        <w:rPr>
          <w:rFonts w:ascii="Arial" w:hAnsi="Arial"/>
          <w:b/>
          <w:spacing w:val="-2"/>
        </w:rPr>
        <w:t>On successful completion of this module, students will have demonstrated:</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lastRenderedPageBreak/>
        <w:t xml:space="preserve">An increasing understanding of the ethical and legal responsibilities of the pharmacist, including their accountability in relation to supply, dispensing, medical and non-medical prescribing of medicines and appliances. </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t xml:space="preserve">Application of verbal and non-verbal communication skills appropriate to the situation. </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t xml:space="preserve">An understanding of the patient as an individual including awareness of factors that may influence health behaviour such as age, gender, ethnicity, faith, illness and cultural background. </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t xml:space="preserve">An understanding of the roles of other health and social care professionals in relation to improving patient outcomes. </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t xml:space="preserve">An understanding of consultation models based upon concordance to discuss issues related to adherence and medicine taking. </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t xml:space="preserve">An understanding of patient assessment with respect to patient history taking and responding to symptoms. </w:t>
      </w:r>
    </w:p>
    <w:p w:rsidR="003B72AE" w:rsidRPr="005949F7" w:rsidRDefault="003B72AE" w:rsidP="003B72AE">
      <w:pPr>
        <w:pStyle w:val="ListParagraph"/>
        <w:numPr>
          <w:ilvl w:val="0"/>
          <w:numId w:val="10"/>
        </w:numPr>
        <w:autoSpaceDE w:val="0"/>
        <w:autoSpaceDN w:val="0"/>
        <w:adjustRightInd w:val="0"/>
        <w:rPr>
          <w:rFonts w:ascii="Arial" w:hAnsi="Arial" w:cs="Arial"/>
          <w:color w:val="000000"/>
        </w:rPr>
      </w:pPr>
      <w:r w:rsidRPr="005949F7">
        <w:rPr>
          <w:rFonts w:ascii="Arial" w:hAnsi="Arial" w:cs="Arial"/>
          <w:color w:val="000000"/>
        </w:rPr>
        <w:t>Demonstrate the ability to undertake more complex pharmaceutical calculations without a calculator</w:t>
      </w:r>
    </w:p>
    <w:p w:rsidR="00E442C2" w:rsidRPr="00E442C2" w:rsidRDefault="00E442C2" w:rsidP="00E442C2">
      <w:pPr>
        <w:ind w:left="360"/>
        <w:jc w:val="both"/>
        <w:rPr>
          <w:rFonts w:ascii="Arial" w:hAnsi="Arial"/>
          <w:b/>
        </w:rPr>
      </w:pPr>
    </w:p>
    <w:p w:rsidR="00E442C2" w:rsidRPr="00E442C2" w:rsidRDefault="00E442C2" w:rsidP="00E442C2">
      <w:pPr>
        <w:jc w:val="both"/>
        <w:rPr>
          <w:rFonts w:ascii="Arial" w:hAnsi="Arial"/>
          <w:b/>
        </w:rPr>
      </w:pPr>
      <w:r w:rsidRPr="00E442C2">
        <w:rPr>
          <w:rFonts w:ascii="Arial" w:hAnsi="Arial"/>
          <w:b/>
        </w:rPr>
        <w:t xml:space="preserve">The PP2 learning outcomes are as designed to help students to further develop the skills and knowledge they need as future health professionals and fit into the programme aims for the MPharm programme. Programme aims (1) (3) (4) (5) (6) (8) &amp; (9). They also fit with the following programme learning specific outcomes: (16) (17) (18) (20-22) (25-37) (44-47) (51) (54)(56) </w:t>
      </w:r>
    </w:p>
    <w:p w:rsidR="00E442C2" w:rsidRPr="00C80804" w:rsidRDefault="00E442C2" w:rsidP="00E442C2">
      <w:pPr>
        <w:spacing w:after="120"/>
        <w:jc w:val="both"/>
        <w:rPr>
          <w:rFonts w:ascii="Arial" w:hAnsi="Arial" w:cs="Arial"/>
        </w:rPr>
      </w:pPr>
    </w:p>
    <w:p w:rsidR="003473CE" w:rsidRPr="00C80804" w:rsidRDefault="003473CE" w:rsidP="00C80804">
      <w:pPr>
        <w:numPr>
          <w:ilvl w:val="0"/>
          <w:numId w:val="6"/>
        </w:numPr>
        <w:spacing w:after="120"/>
        <w:ind w:left="426" w:hanging="426"/>
        <w:jc w:val="both"/>
        <w:rPr>
          <w:rFonts w:ascii="Arial" w:hAnsi="Arial" w:cs="Arial"/>
        </w:rPr>
      </w:pPr>
      <w:r w:rsidRPr="00C80804">
        <w:rPr>
          <w:rFonts w:ascii="Arial" w:hAnsi="Arial" w:cs="Arial"/>
        </w:rPr>
        <w:t>The intended generic learning outcomes and, as appropriate, their relationship to programme learning outcomes</w:t>
      </w:r>
    </w:p>
    <w:p w:rsidR="003473CE" w:rsidRDefault="00E442C2" w:rsidP="00C80804">
      <w:pPr>
        <w:spacing w:after="120"/>
        <w:ind w:left="426"/>
        <w:rPr>
          <w:rFonts w:ascii="Arial" w:hAnsi="Arial"/>
          <w:b/>
        </w:rPr>
      </w:pPr>
      <w:r w:rsidRPr="00E442C2">
        <w:rPr>
          <w:rFonts w:ascii="Arial" w:hAnsi="Arial"/>
          <w:b/>
        </w:rPr>
        <w:t>Professional values attitudes and behaviours; communication skills; building inter- and intra-professional relationships; increasing awareness of the legal and ethic</w:t>
      </w:r>
      <w:r w:rsidR="007D423F">
        <w:rPr>
          <w:rFonts w:ascii="Arial" w:hAnsi="Arial"/>
          <w:b/>
        </w:rPr>
        <w:t>al</w:t>
      </w:r>
      <w:r w:rsidRPr="00E442C2">
        <w:rPr>
          <w:rFonts w:ascii="Arial" w:hAnsi="Arial"/>
          <w:b/>
        </w:rPr>
        <w:t xml:space="preserve"> requirements of being a pharmacist. Practicing dispensing in a simulated environment. An ability to accurately perform pharmaceutical calculations. These skills achieved in PP2 are linked to the transferable skills identified in the programme learning outcomes numbers (57-60) (62-66) (69-70). </w:t>
      </w:r>
    </w:p>
    <w:p w:rsidR="00E442C2" w:rsidRPr="00E442C2" w:rsidRDefault="00E442C2" w:rsidP="00C80804">
      <w:pPr>
        <w:spacing w:after="120"/>
        <w:ind w:left="426"/>
        <w:rPr>
          <w:rFonts w:ascii="Arial" w:hAnsi="Arial" w:cs="Arial"/>
          <w:b/>
          <w:i/>
          <w:iCs/>
          <w:color w:val="0000FF"/>
        </w:rPr>
      </w:pPr>
      <w:bookmarkStart w:id="0" w:name="_GoBack"/>
      <w:bookmarkEnd w:id="0"/>
    </w:p>
    <w:p w:rsidR="003473CE" w:rsidRPr="00C80804" w:rsidRDefault="003473CE" w:rsidP="00C80804">
      <w:pPr>
        <w:numPr>
          <w:ilvl w:val="0"/>
          <w:numId w:val="6"/>
        </w:numPr>
        <w:spacing w:after="120"/>
        <w:ind w:left="426" w:hanging="426"/>
        <w:jc w:val="both"/>
        <w:rPr>
          <w:rFonts w:ascii="Arial" w:hAnsi="Arial" w:cs="Arial"/>
        </w:rPr>
      </w:pPr>
      <w:r w:rsidRPr="00C80804">
        <w:rPr>
          <w:rFonts w:ascii="Arial" w:hAnsi="Arial" w:cs="Arial"/>
        </w:rPr>
        <w:t>A synopsis of the curriculum</w:t>
      </w:r>
    </w:p>
    <w:p w:rsidR="007D423F" w:rsidRDefault="007D423F" w:rsidP="007D423F">
      <w:pPr>
        <w:jc w:val="both"/>
        <w:rPr>
          <w:rFonts w:ascii="Arial" w:hAnsi="Arial"/>
          <w:b/>
        </w:rPr>
      </w:pPr>
      <w:r>
        <w:rPr>
          <w:rFonts w:ascii="Arial" w:hAnsi="Arial"/>
          <w:b/>
        </w:rPr>
        <w:t>Indicative Content: A Framework for practice</w:t>
      </w:r>
    </w:p>
    <w:p w:rsidR="007D423F" w:rsidRDefault="007D423F" w:rsidP="007D423F">
      <w:pPr>
        <w:numPr>
          <w:ilvl w:val="0"/>
          <w:numId w:val="13"/>
        </w:numPr>
        <w:jc w:val="both"/>
        <w:rPr>
          <w:rFonts w:ascii="Arial" w:hAnsi="Arial"/>
        </w:rPr>
      </w:pPr>
      <w:r>
        <w:rPr>
          <w:rFonts w:ascii="Arial" w:hAnsi="Arial"/>
        </w:rPr>
        <w:t>The NHS pharmacy contract</w:t>
      </w:r>
    </w:p>
    <w:p w:rsidR="007D423F" w:rsidRDefault="007D423F" w:rsidP="007D423F">
      <w:pPr>
        <w:numPr>
          <w:ilvl w:val="0"/>
          <w:numId w:val="13"/>
        </w:numPr>
        <w:rPr>
          <w:rFonts w:ascii="Arial" w:hAnsi="Arial"/>
        </w:rPr>
      </w:pPr>
      <w:r>
        <w:rPr>
          <w:rFonts w:ascii="Arial" w:hAnsi="Arial"/>
        </w:rPr>
        <w:t>Prescribing, supply and administration of medicines, including pharmaceutical calculations.</w:t>
      </w:r>
    </w:p>
    <w:p w:rsidR="007D423F" w:rsidRDefault="007D423F" w:rsidP="007D423F">
      <w:pPr>
        <w:numPr>
          <w:ilvl w:val="0"/>
          <w:numId w:val="13"/>
        </w:numPr>
        <w:jc w:val="both"/>
        <w:rPr>
          <w:rFonts w:ascii="Arial" w:hAnsi="Arial"/>
        </w:rPr>
      </w:pPr>
      <w:r>
        <w:rPr>
          <w:rFonts w:ascii="Arial" w:hAnsi="Arial"/>
        </w:rPr>
        <w:t>Ethical challenges in practice</w:t>
      </w:r>
    </w:p>
    <w:p w:rsidR="007D423F" w:rsidRDefault="007D423F" w:rsidP="007D423F">
      <w:pPr>
        <w:numPr>
          <w:ilvl w:val="0"/>
          <w:numId w:val="13"/>
        </w:numPr>
        <w:jc w:val="both"/>
        <w:rPr>
          <w:rFonts w:ascii="Arial" w:hAnsi="Arial"/>
          <w:b/>
        </w:rPr>
      </w:pPr>
      <w:r>
        <w:rPr>
          <w:rFonts w:ascii="Arial" w:hAnsi="Arial"/>
        </w:rPr>
        <w:t>Patient confidentiality and consent</w:t>
      </w:r>
    </w:p>
    <w:p w:rsidR="007D423F" w:rsidRDefault="007D423F" w:rsidP="007D423F">
      <w:pPr>
        <w:jc w:val="both"/>
        <w:rPr>
          <w:rFonts w:ascii="Arial" w:hAnsi="Arial"/>
          <w:b/>
        </w:rPr>
      </w:pPr>
      <w:r>
        <w:rPr>
          <w:rFonts w:ascii="Arial" w:hAnsi="Arial"/>
          <w:b/>
        </w:rPr>
        <w:t>Communicating and individualising Care</w:t>
      </w:r>
    </w:p>
    <w:p w:rsidR="007D423F" w:rsidRDefault="007D423F" w:rsidP="007D423F">
      <w:pPr>
        <w:numPr>
          <w:ilvl w:val="0"/>
          <w:numId w:val="12"/>
        </w:numPr>
        <w:jc w:val="both"/>
        <w:rPr>
          <w:rFonts w:ascii="Arial" w:hAnsi="Arial"/>
        </w:rPr>
      </w:pPr>
      <w:r>
        <w:rPr>
          <w:rFonts w:ascii="Arial" w:hAnsi="Arial"/>
        </w:rPr>
        <w:t>Communication and consultation skills</w:t>
      </w:r>
    </w:p>
    <w:p w:rsidR="007D423F" w:rsidRDefault="007D423F" w:rsidP="007D423F">
      <w:pPr>
        <w:numPr>
          <w:ilvl w:val="0"/>
          <w:numId w:val="12"/>
        </w:numPr>
        <w:jc w:val="both"/>
        <w:rPr>
          <w:rFonts w:ascii="Arial" w:hAnsi="Arial"/>
        </w:rPr>
      </w:pPr>
      <w:r>
        <w:rPr>
          <w:rFonts w:ascii="Arial" w:hAnsi="Arial"/>
        </w:rPr>
        <w:t>Concordance, and compliance (adherence)</w:t>
      </w:r>
    </w:p>
    <w:p w:rsidR="007D423F" w:rsidRDefault="007D423F" w:rsidP="007D423F">
      <w:pPr>
        <w:numPr>
          <w:ilvl w:val="0"/>
          <w:numId w:val="12"/>
        </w:numPr>
        <w:jc w:val="both"/>
        <w:rPr>
          <w:rFonts w:ascii="Arial" w:hAnsi="Arial"/>
        </w:rPr>
      </w:pPr>
      <w:r>
        <w:rPr>
          <w:rFonts w:ascii="Arial" w:hAnsi="Arial"/>
        </w:rPr>
        <w:t>Age, gender, ethnicity, faith and cultural background</w:t>
      </w:r>
    </w:p>
    <w:p w:rsidR="007D423F" w:rsidRDefault="007D423F" w:rsidP="007D423F">
      <w:pPr>
        <w:jc w:val="both"/>
        <w:rPr>
          <w:rFonts w:ascii="Arial" w:hAnsi="Arial"/>
          <w:b/>
        </w:rPr>
      </w:pPr>
      <w:r>
        <w:rPr>
          <w:rFonts w:ascii="Arial" w:hAnsi="Arial"/>
          <w:b/>
        </w:rPr>
        <w:t>Patient Assessment and treatment</w:t>
      </w:r>
    </w:p>
    <w:p w:rsidR="007D423F" w:rsidRDefault="007D423F" w:rsidP="007D423F">
      <w:pPr>
        <w:numPr>
          <w:ilvl w:val="0"/>
          <w:numId w:val="12"/>
        </w:numPr>
        <w:jc w:val="both"/>
        <w:rPr>
          <w:rFonts w:ascii="Arial" w:hAnsi="Arial"/>
        </w:rPr>
      </w:pPr>
      <w:r>
        <w:rPr>
          <w:rFonts w:ascii="Arial" w:hAnsi="Arial"/>
        </w:rPr>
        <w:t xml:space="preserve">Taking a medication history </w:t>
      </w:r>
    </w:p>
    <w:p w:rsidR="007D423F" w:rsidRDefault="007D423F" w:rsidP="007D423F">
      <w:pPr>
        <w:numPr>
          <w:ilvl w:val="0"/>
          <w:numId w:val="12"/>
        </w:numPr>
        <w:jc w:val="both"/>
        <w:rPr>
          <w:rFonts w:ascii="Arial" w:hAnsi="Arial"/>
        </w:rPr>
      </w:pPr>
      <w:r>
        <w:rPr>
          <w:rFonts w:ascii="Arial" w:hAnsi="Arial"/>
        </w:rPr>
        <w:t>Responding to symptoms</w:t>
      </w:r>
    </w:p>
    <w:p w:rsidR="007D423F" w:rsidRDefault="007D423F" w:rsidP="007D423F">
      <w:pPr>
        <w:numPr>
          <w:ilvl w:val="0"/>
          <w:numId w:val="12"/>
        </w:numPr>
        <w:jc w:val="both"/>
        <w:rPr>
          <w:rFonts w:ascii="Arial" w:hAnsi="Arial"/>
        </w:rPr>
      </w:pPr>
      <w:r>
        <w:rPr>
          <w:rFonts w:ascii="Arial" w:hAnsi="Arial"/>
        </w:rPr>
        <w:t>Patient case histories</w:t>
      </w:r>
    </w:p>
    <w:p w:rsidR="007D423F" w:rsidRDefault="007D423F" w:rsidP="007D423F">
      <w:pPr>
        <w:numPr>
          <w:ilvl w:val="0"/>
          <w:numId w:val="12"/>
        </w:numPr>
        <w:jc w:val="both"/>
        <w:rPr>
          <w:rFonts w:ascii="Arial" w:hAnsi="Arial"/>
        </w:rPr>
      </w:pPr>
      <w:r>
        <w:rPr>
          <w:rFonts w:ascii="Arial" w:hAnsi="Arial"/>
        </w:rPr>
        <w:t xml:space="preserve">Complimentary therapies </w:t>
      </w:r>
    </w:p>
    <w:p w:rsidR="007D423F" w:rsidRDefault="007D423F" w:rsidP="007D423F">
      <w:pPr>
        <w:numPr>
          <w:ilvl w:val="0"/>
          <w:numId w:val="12"/>
        </w:numPr>
        <w:jc w:val="both"/>
        <w:rPr>
          <w:rFonts w:ascii="Arial" w:hAnsi="Arial"/>
        </w:rPr>
      </w:pPr>
      <w:r>
        <w:rPr>
          <w:rFonts w:ascii="Arial" w:hAnsi="Arial"/>
        </w:rPr>
        <w:t>Adverse drug reactions (ADRs) and drug interactions</w:t>
      </w:r>
    </w:p>
    <w:p w:rsidR="007D423F" w:rsidRDefault="007D423F" w:rsidP="007D423F">
      <w:pPr>
        <w:numPr>
          <w:ilvl w:val="0"/>
          <w:numId w:val="12"/>
        </w:numPr>
        <w:jc w:val="both"/>
        <w:rPr>
          <w:rFonts w:ascii="Arial" w:hAnsi="Arial"/>
        </w:rPr>
      </w:pPr>
    </w:p>
    <w:p w:rsidR="003473CE" w:rsidRDefault="003473CE" w:rsidP="00C80804">
      <w:pPr>
        <w:numPr>
          <w:ilvl w:val="0"/>
          <w:numId w:val="6"/>
        </w:numPr>
        <w:spacing w:after="120"/>
        <w:ind w:left="426" w:hanging="426"/>
        <w:jc w:val="both"/>
        <w:rPr>
          <w:rFonts w:ascii="Arial" w:hAnsi="Arial" w:cs="Arial"/>
        </w:rPr>
      </w:pPr>
      <w:r w:rsidRPr="00C80804">
        <w:rPr>
          <w:rFonts w:ascii="Arial" w:hAnsi="Arial" w:cs="Arial"/>
        </w:rPr>
        <w:t xml:space="preserve">Indicative Reading List </w:t>
      </w:r>
    </w:p>
    <w:tbl>
      <w:tblPr>
        <w:tblpPr w:leftFromText="180" w:rightFromText="180" w:vertAnchor="page" w:horzAnchor="margin" w:tblpY="6314"/>
        <w:tblW w:w="90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97"/>
        <w:gridCol w:w="1803"/>
        <w:gridCol w:w="900"/>
        <w:gridCol w:w="2700"/>
        <w:gridCol w:w="1800"/>
      </w:tblGrid>
      <w:tr w:rsidR="007D423F" w:rsidTr="007D423F">
        <w:trPr>
          <w:tblHeader/>
        </w:trPr>
        <w:tc>
          <w:tcPr>
            <w:tcW w:w="1797" w:type="dxa"/>
            <w:tcBorders>
              <w:top w:val="single" w:sz="4" w:space="0" w:color="auto"/>
              <w:left w:val="single" w:sz="4" w:space="0" w:color="auto"/>
              <w:bottom w:val="single" w:sz="4" w:space="0" w:color="auto"/>
              <w:right w:val="single" w:sz="4" w:space="0" w:color="auto"/>
            </w:tcBorders>
            <w:shd w:val="clear" w:color="auto" w:fill="E0E0E0"/>
          </w:tcPr>
          <w:p w:rsidR="007D423F" w:rsidRDefault="007D423F" w:rsidP="007D423F">
            <w:r>
              <w:t>ISBN Number</w:t>
            </w:r>
          </w:p>
        </w:tc>
        <w:tc>
          <w:tcPr>
            <w:tcW w:w="1803" w:type="dxa"/>
            <w:tcBorders>
              <w:top w:val="single" w:sz="4" w:space="0" w:color="auto"/>
              <w:left w:val="single" w:sz="4" w:space="0" w:color="auto"/>
              <w:bottom w:val="single" w:sz="4" w:space="0" w:color="auto"/>
              <w:right w:val="single" w:sz="4" w:space="0" w:color="auto"/>
            </w:tcBorders>
            <w:shd w:val="clear" w:color="auto" w:fill="E0E0E0"/>
          </w:tcPr>
          <w:p w:rsidR="007D423F" w:rsidRDefault="007D423F" w:rsidP="007D423F">
            <w:r>
              <w:t>Author</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7D423F" w:rsidRDefault="007D423F" w:rsidP="007D423F">
            <w:r>
              <w:t>Date</w:t>
            </w: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7D423F" w:rsidRDefault="007D423F" w:rsidP="007D423F">
            <w:r>
              <w:t>Title</w:t>
            </w:r>
          </w:p>
          <w:p w:rsidR="007D423F" w:rsidRDefault="007D423F" w:rsidP="007D423F"/>
        </w:tc>
        <w:tc>
          <w:tcPr>
            <w:tcW w:w="1800" w:type="dxa"/>
            <w:tcBorders>
              <w:top w:val="single" w:sz="4" w:space="0" w:color="auto"/>
              <w:left w:val="single" w:sz="4" w:space="0" w:color="auto"/>
              <w:bottom w:val="single" w:sz="4" w:space="0" w:color="auto"/>
              <w:right w:val="single" w:sz="4" w:space="0" w:color="auto"/>
            </w:tcBorders>
            <w:shd w:val="clear" w:color="auto" w:fill="E0E0E0"/>
          </w:tcPr>
          <w:p w:rsidR="007D423F" w:rsidRDefault="007D423F" w:rsidP="007D423F">
            <w:r>
              <w:t>Publisher</w:t>
            </w:r>
          </w:p>
        </w:tc>
      </w:tr>
      <w:tr w:rsidR="007D423F" w:rsidTr="007D423F">
        <w:trPr>
          <w:tblHeader/>
        </w:trPr>
        <w:tc>
          <w:tcPr>
            <w:tcW w:w="1797" w:type="dxa"/>
            <w:tcBorders>
              <w:top w:val="single" w:sz="4" w:space="0" w:color="auto"/>
              <w:left w:val="single" w:sz="4" w:space="0" w:color="auto"/>
              <w:bottom w:val="single" w:sz="4" w:space="0" w:color="auto"/>
              <w:right w:val="single" w:sz="4" w:space="0" w:color="auto"/>
            </w:tcBorders>
            <w:shd w:val="clear" w:color="auto" w:fill="auto"/>
          </w:tcPr>
          <w:p w:rsidR="007D423F" w:rsidRDefault="007D423F" w:rsidP="003B72AE">
            <w:r>
              <w:lastRenderedPageBreak/>
              <w:t>1900603578</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7D423F" w:rsidRDefault="007D423F" w:rsidP="007D423F">
            <w:r>
              <w:t>Bonner, M. Wright, D. George, 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423F" w:rsidRDefault="007D423F" w:rsidP="007D423F">
            <w:r>
              <w:t>2010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D423F" w:rsidRDefault="007D423F" w:rsidP="007D423F">
            <w:r>
              <w:t>Practical Pharmaceutical Calculations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423F" w:rsidRDefault="007D423F" w:rsidP="007D423F">
            <w:r>
              <w:t>Radcliffe</w:t>
            </w:r>
          </w:p>
        </w:tc>
      </w:tr>
      <w:tr w:rsidR="007D423F" w:rsidTr="007D423F">
        <w:tc>
          <w:tcPr>
            <w:tcW w:w="1797" w:type="dxa"/>
            <w:tcBorders>
              <w:top w:val="single" w:sz="4" w:space="0" w:color="auto"/>
              <w:left w:val="single" w:sz="4" w:space="0" w:color="auto"/>
              <w:bottom w:val="single" w:sz="4" w:space="0" w:color="auto"/>
              <w:right w:val="single" w:sz="4" w:space="0" w:color="auto"/>
            </w:tcBorders>
          </w:tcPr>
          <w:p w:rsidR="007D423F" w:rsidRDefault="007D423F" w:rsidP="007D423F">
            <w:r>
              <w:t>0853698272</w:t>
            </w:r>
          </w:p>
        </w:tc>
        <w:tc>
          <w:tcPr>
            <w:tcW w:w="1803" w:type="dxa"/>
            <w:tcBorders>
              <w:top w:val="single" w:sz="4" w:space="0" w:color="auto"/>
              <w:left w:val="single" w:sz="4" w:space="0" w:color="auto"/>
              <w:bottom w:val="single" w:sz="4" w:space="0" w:color="auto"/>
              <w:right w:val="single" w:sz="4" w:space="0" w:color="auto"/>
            </w:tcBorders>
          </w:tcPr>
          <w:p w:rsidR="007D423F" w:rsidRDefault="007D423F" w:rsidP="007D423F">
            <w:r>
              <w:t>Appelbe, G.E. &amp; Wingfield J.</w:t>
            </w:r>
          </w:p>
        </w:tc>
        <w:tc>
          <w:tcPr>
            <w:tcW w:w="900" w:type="dxa"/>
            <w:tcBorders>
              <w:top w:val="single" w:sz="4" w:space="0" w:color="auto"/>
              <w:left w:val="single" w:sz="4" w:space="0" w:color="auto"/>
              <w:bottom w:val="single" w:sz="4" w:space="0" w:color="auto"/>
              <w:right w:val="single" w:sz="4" w:space="0" w:color="auto"/>
            </w:tcBorders>
          </w:tcPr>
          <w:p w:rsidR="007D423F" w:rsidRDefault="007D423F" w:rsidP="007D423F">
            <w:r>
              <w:t>2009</w:t>
            </w:r>
          </w:p>
        </w:tc>
        <w:tc>
          <w:tcPr>
            <w:tcW w:w="2700" w:type="dxa"/>
            <w:tcBorders>
              <w:top w:val="single" w:sz="4" w:space="0" w:color="auto"/>
              <w:left w:val="single" w:sz="4" w:space="0" w:color="auto"/>
              <w:bottom w:val="single" w:sz="4" w:space="0" w:color="auto"/>
              <w:right w:val="single" w:sz="4" w:space="0" w:color="auto"/>
            </w:tcBorders>
          </w:tcPr>
          <w:p w:rsidR="007D423F" w:rsidRDefault="007D423F" w:rsidP="007D423F">
            <w:r>
              <w:t>Dale &amp; Appelbe’s Pharmacy Law and Ethics, 9th  Ed.</w:t>
            </w:r>
          </w:p>
        </w:tc>
        <w:tc>
          <w:tcPr>
            <w:tcW w:w="1800" w:type="dxa"/>
            <w:tcBorders>
              <w:top w:val="single" w:sz="4" w:space="0" w:color="auto"/>
              <w:left w:val="single" w:sz="4" w:space="0" w:color="auto"/>
              <w:bottom w:val="single" w:sz="4" w:space="0" w:color="auto"/>
              <w:right w:val="single" w:sz="4" w:space="0" w:color="auto"/>
            </w:tcBorders>
          </w:tcPr>
          <w:p w:rsidR="007D423F" w:rsidRDefault="007D423F" w:rsidP="007D423F">
            <w:r>
              <w:t>Pharmaceutical Press</w:t>
            </w:r>
          </w:p>
        </w:tc>
      </w:tr>
      <w:tr w:rsidR="007D423F" w:rsidTr="007D423F">
        <w:tc>
          <w:tcPr>
            <w:tcW w:w="1797" w:type="dxa"/>
            <w:tcBorders>
              <w:top w:val="single" w:sz="4" w:space="0" w:color="auto"/>
              <w:left w:val="single" w:sz="4" w:space="0" w:color="auto"/>
              <w:bottom w:val="single" w:sz="4" w:space="0" w:color="auto"/>
              <w:right w:val="single" w:sz="4" w:space="0" w:color="auto"/>
            </w:tcBorders>
          </w:tcPr>
          <w:p w:rsidR="007D423F" w:rsidRDefault="007D423F" w:rsidP="007D423F">
            <w:r>
              <w:t>1405180795</w:t>
            </w:r>
          </w:p>
        </w:tc>
        <w:tc>
          <w:tcPr>
            <w:tcW w:w="1803" w:type="dxa"/>
            <w:tcBorders>
              <w:top w:val="single" w:sz="4" w:space="0" w:color="auto"/>
              <w:left w:val="single" w:sz="4" w:space="0" w:color="auto"/>
              <w:bottom w:val="single" w:sz="4" w:space="0" w:color="auto"/>
              <w:right w:val="single" w:sz="4" w:space="0" w:color="auto"/>
            </w:tcBorders>
          </w:tcPr>
          <w:p w:rsidR="007D423F" w:rsidRDefault="007D423F" w:rsidP="007D423F">
            <w:r>
              <w:t>Blenkinsopp, A. Paxton, P. &amp; Blenkinsopp, J.</w:t>
            </w:r>
          </w:p>
        </w:tc>
        <w:tc>
          <w:tcPr>
            <w:tcW w:w="900" w:type="dxa"/>
            <w:tcBorders>
              <w:top w:val="single" w:sz="4" w:space="0" w:color="auto"/>
              <w:left w:val="single" w:sz="4" w:space="0" w:color="auto"/>
              <w:bottom w:val="single" w:sz="4" w:space="0" w:color="auto"/>
              <w:right w:val="single" w:sz="4" w:space="0" w:color="auto"/>
            </w:tcBorders>
          </w:tcPr>
          <w:p w:rsidR="007D423F" w:rsidRDefault="007D423F" w:rsidP="007D423F">
            <w:r>
              <w:t>2008</w:t>
            </w:r>
          </w:p>
        </w:tc>
        <w:tc>
          <w:tcPr>
            <w:tcW w:w="2700" w:type="dxa"/>
            <w:tcBorders>
              <w:top w:val="single" w:sz="4" w:space="0" w:color="auto"/>
              <w:left w:val="single" w:sz="4" w:space="0" w:color="auto"/>
              <w:bottom w:val="single" w:sz="4" w:space="0" w:color="auto"/>
              <w:right w:val="single" w:sz="4" w:space="0" w:color="auto"/>
            </w:tcBorders>
          </w:tcPr>
          <w:p w:rsidR="007D423F" w:rsidRDefault="007D423F" w:rsidP="007D423F">
            <w:r>
              <w:t>Symptoms in the Pharmacy, 6th Edition</w:t>
            </w:r>
          </w:p>
        </w:tc>
        <w:tc>
          <w:tcPr>
            <w:tcW w:w="1800" w:type="dxa"/>
            <w:tcBorders>
              <w:top w:val="single" w:sz="4" w:space="0" w:color="auto"/>
              <w:left w:val="single" w:sz="4" w:space="0" w:color="auto"/>
              <w:bottom w:val="single" w:sz="4" w:space="0" w:color="auto"/>
              <w:right w:val="single" w:sz="4" w:space="0" w:color="auto"/>
            </w:tcBorders>
          </w:tcPr>
          <w:p w:rsidR="007D423F" w:rsidRDefault="007D423F" w:rsidP="007D423F">
            <w:r>
              <w:t>Blackwell Publishing</w:t>
            </w:r>
          </w:p>
        </w:tc>
      </w:tr>
      <w:tr w:rsidR="007D423F" w:rsidTr="007D423F">
        <w:tc>
          <w:tcPr>
            <w:tcW w:w="1797" w:type="dxa"/>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0853699316</w:t>
            </w:r>
          </w:p>
        </w:tc>
        <w:tc>
          <w:tcPr>
            <w:tcW w:w="1803" w:type="dxa"/>
            <w:tcBorders>
              <w:top w:val="single" w:sz="4" w:space="0" w:color="auto"/>
              <w:left w:val="single" w:sz="4" w:space="0" w:color="auto"/>
              <w:bottom w:val="single" w:sz="4" w:space="0" w:color="auto"/>
              <w:right w:val="single" w:sz="4" w:space="0" w:color="auto"/>
            </w:tcBorders>
          </w:tcPr>
          <w:p w:rsidR="007D423F" w:rsidRDefault="007D423F" w:rsidP="007D423F">
            <w:r>
              <w:t>BMA /RPS</w:t>
            </w:r>
          </w:p>
        </w:tc>
        <w:tc>
          <w:tcPr>
            <w:tcW w:w="900" w:type="dxa"/>
            <w:tcBorders>
              <w:top w:val="single" w:sz="4" w:space="0" w:color="auto"/>
              <w:left w:val="single" w:sz="4" w:space="0" w:color="auto"/>
              <w:bottom w:val="single" w:sz="4" w:space="0" w:color="auto"/>
              <w:right w:val="single" w:sz="4" w:space="0" w:color="auto"/>
            </w:tcBorders>
          </w:tcPr>
          <w:p w:rsidR="007D423F" w:rsidRDefault="007D423F" w:rsidP="007D423F">
            <w:r>
              <w:t>2011</w:t>
            </w:r>
          </w:p>
        </w:tc>
        <w:tc>
          <w:tcPr>
            <w:tcW w:w="2700" w:type="dxa"/>
            <w:tcBorders>
              <w:top w:val="single" w:sz="4" w:space="0" w:color="auto"/>
              <w:left w:val="single" w:sz="4" w:space="0" w:color="auto"/>
              <w:bottom w:val="single" w:sz="4" w:space="0" w:color="auto"/>
              <w:right w:val="single" w:sz="4" w:space="0" w:color="auto"/>
            </w:tcBorders>
          </w:tcPr>
          <w:p w:rsidR="007D423F" w:rsidRDefault="007D423F" w:rsidP="007D423F">
            <w:r>
              <w:t xml:space="preserve">British National Formulary, 62nd </w:t>
            </w:r>
            <w:r w:rsidR="003B72AE">
              <w:t xml:space="preserve">or later </w:t>
            </w:r>
            <w:r>
              <w:t>Edition</w:t>
            </w:r>
          </w:p>
        </w:tc>
        <w:tc>
          <w:tcPr>
            <w:tcW w:w="1800" w:type="dxa"/>
            <w:tcBorders>
              <w:top w:val="single" w:sz="4" w:space="0" w:color="auto"/>
              <w:left w:val="single" w:sz="4" w:space="0" w:color="auto"/>
              <w:bottom w:val="single" w:sz="4" w:space="0" w:color="auto"/>
              <w:right w:val="single" w:sz="4" w:space="0" w:color="auto"/>
            </w:tcBorders>
          </w:tcPr>
          <w:p w:rsidR="007D423F" w:rsidRDefault="007D423F" w:rsidP="007D423F">
            <w:r>
              <w:t>Pharmaceutical Press</w:t>
            </w:r>
          </w:p>
        </w:tc>
      </w:tr>
      <w:tr w:rsidR="007D423F" w:rsidTr="007D423F">
        <w:tc>
          <w:tcPr>
            <w:tcW w:w="1797" w:type="dxa"/>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0853699577</w:t>
            </w:r>
          </w:p>
        </w:tc>
        <w:tc>
          <w:tcPr>
            <w:tcW w:w="1803" w:type="dxa"/>
            <w:tcBorders>
              <w:top w:val="single" w:sz="4" w:space="0" w:color="auto"/>
              <w:left w:val="single" w:sz="4" w:space="0" w:color="auto"/>
              <w:bottom w:val="single" w:sz="4" w:space="0" w:color="auto"/>
              <w:right w:val="single" w:sz="4" w:space="0" w:color="auto"/>
            </w:tcBorders>
          </w:tcPr>
          <w:p w:rsidR="007D423F" w:rsidRDefault="007D423F" w:rsidP="007D423F">
            <w:r>
              <w:t>RPS</w:t>
            </w:r>
          </w:p>
        </w:tc>
        <w:tc>
          <w:tcPr>
            <w:tcW w:w="900" w:type="dxa"/>
            <w:tcBorders>
              <w:top w:val="single" w:sz="4" w:space="0" w:color="auto"/>
              <w:left w:val="single" w:sz="4" w:space="0" w:color="auto"/>
              <w:bottom w:val="single" w:sz="4" w:space="0" w:color="auto"/>
              <w:right w:val="single" w:sz="4" w:space="0" w:color="auto"/>
            </w:tcBorders>
          </w:tcPr>
          <w:p w:rsidR="007D423F" w:rsidRDefault="007D423F" w:rsidP="007D423F">
            <w:r>
              <w:t>2011</w:t>
            </w:r>
          </w:p>
        </w:tc>
        <w:tc>
          <w:tcPr>
            <w:tcW w:w="2700" w:type="dxa"/>
            <w:tcBorders>
              <w:top w:val="single" w:sz="4" w:space="0" w:color="auto"/>
              <w:left w:val="single" w:sz="4" w:space="0" w:color="auto"/>
              <w:bottom w:val="single" w:sz="4" w:space="0" w:color="auto"/>
              <w:right w:val="single" w:sz="4" w:space="0" w:color="auto"/>
            </w:tcBorders>
          </w:tcPr>
          <w:p w:rsidR="007D423F" w:rsidRDefault="007D423F" w:rsidP="003B72AE">
            <w:r>
              <w:t>Medicines, Ethics and Practice Guide, 3</w:t>
            </w:r>
            <w:r w:rsidR="003B72AE">
              <w:t>6</w:t>
            </w:r>
            <w:r>
              <w:t>th edition.</w:t>
            </w:r>
          </w:p>
        </w:tc>
        <w:tc>
          <w:tcPr>
            <w:tcW w:w="1800" w:type="dxa"/>
            <w:tcBorders>
              <w:top w:val="single" w:sz="4" w:space="0" w:color="auto"/>
              <w:left w:val="single" w:sz="4" w:space="0" w:color="auto"/>
              <w:bottom w:val="single" w:sz="4" w:space="0" w:color="auto"/>
              <w:right w:val="single" w:sz="4" w:space="0" w:color="auto"/>
            </w:tcBorders>
          </w:tcPr>
          <w:p w:rsidR="007D423F" w:rsidRDefault="007D423F" w:rsidP="007D423F">
            <w:r>
              <w:t>Pharmaceutical Press</w:t>
            </w:r>
          </w:p>
        </w:tc>
      </w:tr>
      <w:tr w:rsidR="007D423F" w:rsidTr="007D423F">
        <w:trPr>
          <w:cantSplit/>
        </w:trPr>
        <w:tc>
          <w:tcPr>
            <w:tcW w:w="9000" w:type="dxa"/>
            <w:gridSpan w:val="5"/>
            <w:tcBorders>
              <w:top w:val="single" w:sz="4" w:space="0" w:color="auto"/>
              <w:left w:val="nil"/>
              <w:bottom w:val="single" w:sz="4" w:space="0" w:color="auto"/>
              <w:right w:val="nil"/>
            </w:tcBorders>
          </w:tcPr>
          <w:p w:rsidR="007D423F" w:rsidRDefault="007D423F" w:rsidP="007D423F">
            <w:pPr>
              <w:rPr>
                <w:lang w:val="en-US"/>
              </w:rPr>
            </w:pPr>
          </w:p>
        </w:tc>
      </w:tr>
      <w:tr w:rsidR="007D423F" w:rsidTr="007D423F">
        <w:trPr>
          <w:cantSplit/>
        </w:trPr>
        <w:tc>
          <w:tcPr>
            <w:tcW w:w="9000" w:type="dxa"/>
            <w:gridSpan w:val="5"/>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Suggested Reading</w:t>
            </w:r>
          </w:p>
        </w:tc>
      </w:tr>
      <w:tr w:rsidR="007D423F" w:rsidTr="007D423F">
        <w:tc>
          <w:tcPr>
            <w:tcW w:w="1797" w:type="dxa"/>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0702029955</w:t>
            </w:r>
          </w:p>
        </w:tc>
        <w:tc>
          <w:tcPr>
            <w:tcW w:w="1803" w:type="dxa"/>
            <w:tcBorders>
              <w:top w:val="single" w:sz="4" w:space="0" w:color="auto"/>
              <w:left w:val="single" w:sz="4" w:space="0" w:color="auto"/>
              <w:bottom w:val="single" w:sz="4" w:space="0" w:color="auto"/>
              <w:right w:val="single" w:sz="4" w:space="0" w:color="auto"/>
            </w:tcBorders>
          </w:tcPr>
          <w:p w:rsidR="007D423F" w:rsidRDefault="007D423F" w:rsidP="007D423F">
            <w:r>
              <w:t>Rutter, P</w:t>
            </w:r>
          </w:p>
        </w:tc>
        <w:tc>
          <w:tcPr>
            <w:tcW w:w="900" w:type="dxa"/>
            <w:tcBorders>
              <w:top w:val="single" w:sz="4" w:space="0" w:color="auto"/>
              <w:left w:val="single" w:sz="4" w:space="0" w:color="auto"/>
              <w:bottom w:val="single" w:sz="4" w:space="0" w:color="auto"/>
              <w:right w:val="single" w:sz="4" w:space="0" w:color="auto"/>
            </w:tcBorders>
          </w:tcPr>
          <w:p w:rsidR="007D423F" w:rsidRDefault="007D423F" w:rsidP="007D423F">
            <w:r>
              <w:t>2008</w:t>
            </w:r>
          </w:p>
        </w:tc>
        <w:tc>
          <w:tcPr>
            <w:tcW w:w="2700" w:type="dxa"/>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Community Pharmacy: Symptoms, Diagnosis and Treatment 2</w:t>
            </w:r>
            <w:r>
              <w:rPr>
                <w:vertAlign w:val="superscript"/>
                <w:lang w:val="en-US"/>
              </w:rPr>
              <w:t>nd</w:t>
            </w:r>
            <w:r>
              <w:rPr>
                <w:lang w:val="en-US"/>
              </w:rPr>
              <w:t xml:space="preserve"> edition</w:t>
            </w:r>
          </w:p>
        </w:tc>
        <w:tc>
          <w:tcPr>
            <w:tcW w:w="1800" w:type="dxa"/>
            <w:tcBorders>
              <w:top w:val="single" w:sz="4" w:space="0" w:color="auto"/>
              <w:left w:val="single" w:sz="4" w:space="0" w:color="auto"/>
              <w:bottom w:val="single" w:sz="4" w:space="0" w:color="auto"/>
              <w:right w:val="single" w:sz="4" w:space="0" w:color="auto"/>
            </w:tcBorders>
          </w:tcPr>
          <w:p w:rsidR="007D423F" w:rsidRDefault="007D423F" w:rsidP="007D423F">
            <w:r>
              <w:t>Elsevier</w:t>
            </w:r>
          </w:p>
        </w:tc>
      </w:tr>
      <w:tr w:rsidR="007D423F" w:rsidTr="007D423F">
        <w:tc>
          <w:tcPr>
            <w:tcW w:w="1797" w:type="dxa"/>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0853696896</w:t>
            </w:r>
          </w:p>
        </w:tc>
        <w:tc>
          <w:tcPr>
            <w:tcW w:w="1803" w:type="dxa"/>
            <w:tcBorders>
              <w:top w:val="single" w:sz="4" w:space="0" w:color="auto"/>
              <w:left w:val="single" w:sz="4" w:space="0" w:color="auto"/>
              <w:bottom w:val="single" w:sz="4" w:space="0" w:color="auto"/>
              <w:right w:val="single" w:sz="4" w:space="0" w:color="auto"/>
            </w:tcBorders>
          </w:tcPr>
          <w:p w:rsidR="007D423F" w:rsidRDefault="007D423F" w:rsidP="007D423F">
            <w:r>
              <w:t>Wingfield J and Badcott, D</w:t>
            </w:r>
          </w:p>
        </w:tc>
        <w:tc>
          <w:tcPr>
            <w:tcW w:w="900" w:type="dxa"/>
            <w:tcBorders>
              <w:top w:val="single" w:sz="4" w:space="0" w:color="auto"/>
              <w:left w:val="single" w:sz="4" w:space="0" w:color="auto"/>
              <w:bottom w:val="single" w:sz="4" w:space="0" w:color="auto"/>
              <w:right w:val="single" w:sz="4" w:space="0" w:color="auto"/>
            </w:tcBorders>
          </w:tcPr>
          <w:p w:rsidR="007D423F" w:rsidRDefault="007D423F" w:rsidP="007D423F">
            <w:r>
              <w:t>2007</w:t>
            </w:r>
          </w:p>
        </w:tc>
        <w:tc>
          <w:tcPr>
            <w:tcW w:w="2700" w:type="dxa"/>
            <w:tcBorders>
              <w:top w:val="single" w:sz="4" w:space="0" w:color="auto"/>
              <w:left w:val="single" w:sz="4" w:space="0" w:color="auto"/>
              <w:bottom w:val="single" w:sz="4" w:space="0" w:color="auto"/>
              <w:right w:val="single" w:sz="4" w:space="0" w:color="auto"/>
            </w:tcBorders>
          </w:tcPr>
          <w:p w:rsidR="007D423F" w:rsidRDefault="007D423F" w:rsidP="007D423F">
            <w:r>
              <w:rPr>
                <w:lang w:val="en-US"/>
              </w:rPr>
              <w:t>Pharmacy Ethics and Decision Making</w:t>
            </w:r>
          </w:p>
        </w:tc>
        <w:tc>
          <w:tcPr>
            <w:tcW w:w="1800" w:type="dxa"/>
            <w:tcBorders>
              <w:top w:val="single" w:sz="4" w:space="0" w:color="auto"/>
              <w:left w:val="single" w:sz="4" w:space="0" w:color="auto"/>
              <w:bottom w:val="single" w:sz="4" w:space="0" w:color="auto"/>
              <w:right w:val="single" w:sz="4" w:space="0" w:color="auto"/>
            </w:tcBorders>
          </w:tcPr>
          <w:p w:rsidR="007D423F" w:rsidRDefault="007D423F" w:rsidP="007D423F">
            <w:r>
              <w:t>Pharmaceutical Press</w:t>
            </w:r>
          </w:p>
        </w:tc>
      </w:tr>
    </w:tbl>
    <w:p w:rsidR="007D423F" w:rsidRPr="00C80804" w:rsidRDefault="007D423F" w:rsidP="007D423F">
      <w:pPr>
        <w:spacing w:after="120"/>
        <w:jc w:val="both"/>
        <w:rPr>
          <w:rFonts w:ascii="Arial" w:hAnsi="Arial" w:cs="Arial"/>
        </w:rPr>
      </w:pPr>
    </w:p>
    <w:p w:rsidR="003473CE" w:rsidRDefault="003473CE" w:rsidP="00C80804">
      <w:pPr>
        <w:numPr>
          <w:ilvl w:val="0"/>
          <w:numId w:val="6"/>
        </w:numPr>
        <w:spacing w:after="120"/>
        <w:ind w:left="426" w:hanging="426"/>
        <w:jc w:val="both"/>
        <w:rPr>
          <w:rFonts w:ascii="Arial" w:hAnsi="Arial" w:cs="Arial"/>
        </w:rPr>
      </w:pPr>
      <w:r w:rsidRPr="00C80804">
        <w:rPr>
          <w:rFonts w:ascii="Arial" w:hAnsi="Arial" w:cs="Arial"/>
        </w:rPr>
        <w:t>Learning and Teaching Methods, including the nature and number of contact hours and the total study hours which will be expected of students, and how these relate to achievement of the intended learning outcomes</w:t>
      </w:r>
    </w:p>
    <w:p w:rsidR="003B72AE" w:rsidRPr="008B6298" w:rsidRDefault="003B72AE" w:rsidP="008B6298">
      <w:pPr>
        <w:spacing w:after="120"/>
        <w:jc w:val="both"/>
        <w:rPr>
          <w:rFonts w:ascii="Arial" w:hAnsi="Arial" w:cs="Arial"/>
          <w:b/>
        </w:rPr>
      </w:pPr>
      <w:r w:rsidRPr="008B6298">
        <w:rPr>
          <w:rFonts w:ascii="Arial" w:hAnsi="Arial" w:cs="Arial"/>
          <w:b/>
        </w:rPr>
        <w:t>Summary of Learning and Teaching Methods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417"/>
        <w:gridCol w:w="1065"/>
        <w:gridCol w:w="1294"/>
        <w:gridCol w:w="1109"/>
        <w:gridCol w:w="1294"/>
        <w:gridCol w:w="925"/>
        <w:gridCol w:w="925"/>
      </w:tblGrid>
      <w:tr w:rsidR="007D423F" w:rsidTr="00B10799">
        <w:trPr>
          <w:trHeight w:val="704"/>
        </w:trPr>
        <w:tc>
          <w:tcPr>
            <w:tcW w:w="1031" w:type="dxa"/>
            <w:shd w:val="clear" w:color="auto" w:fill="E0E0E0"/>
          </w:tcPr>
          <w:p w:rsidR="007D423F" w:rsidRDefault="007D423F" w:rsidP="00B10799">
            <w:pPr>
              <w:jc w:val="both"/>
              <w:rPr>
                <w:b/>
                <w:sz w:val="22"/>
              </w:rPr>
            </w:pPr>
            <w:r>
              <w:rPr>
                <w:b/>
                <w:sz w:val="22"/>
              </w:rPr>
              <w:t>Lecture</w:t>
            </w:r>
          </w:p>
        </w:tc>
        <w:tc>
          <w:tcPr>
            <w:tcW w:w="1417" w:type="dxa"/>
            <w:shd w:val="clear" w:color="auto" w:fill="E0E0E0"/>
          </w:tcPr>
          <w:p w:rsidR="007D423F" w:rsidRDefault="007D423F" w:rsidP="00B10799">
            <w:pPr>
              <w:jc w:val="both"/>
              <w:rPr>
                <w:b/>
                <w:sz w:val="22"/>
              </w:rPr>
            </w:pPr>
            <w:r>
              <w:rPr>
                <w:b/>
                <w:sz w:val="22"/>
              </w:rPr>
              <w:t>Workshops/ dispensing labs</w:t>
            </w:r>
          </w:p>
        </w:tc>
        <w:tc>
          <w:tcPr>
            <w:tcW w:w="1065" w:type="dxa"/>
            <w:shd w:val="clear" w:color="auto" w:fill="E0E0E0"/>
          </w:tcPr>
          <w:p w:rsidR="007D423F" w:rsidRDefault="007D423F" w:rsidP="00B10799">
            <w:pPr>
              <w:jc w:val="both"/>
              <w:rPr>
                <w:b/>
                <w:sz w:val="22"/>
              </w:rPr>
            </w:pPr>
            <w:r>
              <w:rPr>
                <w:b/>
                <w:sz w:val="22"/>
              </w:rPr>
              <w:t>Seminar</w:t>
            </w:r>
          </w:p>
        </w:tc>
        <w:tc>
          <w:tcPr>
            <w:tcW w:w="1294" w:type="dxa"/>
            <w:shd w:val="clear" w:color="auto" w:fill="E0E0E0"/>
          </w:tcPr>
          <w:p w:rsidR="007D423F" w:rsidRDefault="007D423F" w:rsidP="00B10799">
            <w:pPr>
              <w:jc w:val="both"/>
              <w:rPr>
                <w:b/>
                <w:sz w:val="22"/>
              </w:rPr>
            </w:pPr>
            <w:r>
              <w:rPr>
                <w:b/>
                <w:sz w:val="22"/>
              </w:rPr>
              <w:t>Practice Pharmacy Placement</w:t>
            </w:r>
          </w:p>
        </w:tc>
        <w:tc>
          <w:tcPr>
            <w:tcW w:w="1109" w:type="dxa"/>
            <w:shd w:val="clear" w:color="auto" w:fill="E0E0E0"/>
          </w:tcPr>
          <w:p w:rsidR="007D423F" w:rsidRDefault="007D423F" w:rsidP="00B10799">
            <w:pPr>
              <w:jc w:val="both"/>
              <w:rPr>
                <w:b/>
                <w:sz w:val="22"/>
              </w:rPr>
            </w:pPr>
            <w:r>
              <w:rPr>
                <w:b/>
                <w:sz w:val="22"/>
              </w:rPr>
              <w:t xml:space="preserve">Private Study </w:t>
            </w:r>
          </w:p>
        </w:tc>
        <w:tc>
          <w:tcPr>
            <w:tcW w:w="1294" w:type="dxa"/>
            <w:shd w:val="clear" w:color="auto" w:fill="E0E0E0"/>
          </w:tcPr>
          <w:p w:rsidR="007D423F" w:rsidRDefault="007D423F" w:rsidP="00B10799">
            <w:pPr>
              <w:jc w:val="both"/>
              <w:rPr>
                <w:b/>
                <w:sz w:val="22"/>
              </w:rPr>
            </w:pPr>
            <w:r>
              <w:rPr>
                <w:b/>
                <w:sz w:val="22"/>
              </w:rPr>
              <w:t>MSCL</w:t>
            </w:r>
          </w:p>
        </w:tc>
        <w:tc>
          <w:tcPr>
            <w:tcW w:w="925" w:type="dxa"/>
            <w:shd w:val="clear" w:color="auto" w:fill="E0E0E0"/>
          </w:tcPr>
          <w:p w:rsidR="007D423F" w:rsidRDefault="007D423F" w:rsidP="00B10799">
            <w:pPr>
              <w:jc w:val="both"/>
              <w:rPr>
                <w:b/>
                <w:sz w:val="22"/>
              </w:rPr>
            </w:pPr>
            <w:r>
              <w:rPr>
                <w:b/>
                <w:sz w:val="22"/>
              </w:rPr>
              <w:t>Formal assessment</w:t>
            </w:r>
          </w:p>
        </w:tc>
        <w:tc>
          <w:tcPr>
            <w:tcW w:w="925" w:type="dxa"/>
            <w:shd w:val="clear" w:color="auto" w:fill="E0E0E0"/>
          </w:tcPr>
          <w:p w:rsidR="007D423F" w:rsidRDefault="007D423F" w:rsidP="00B10799">
            <w:pPr>
              <w:jc w:val="both"/>
              <w:rPr>
                <w:b/>
                <w:sz w:val="22"/>
              </w:rPr>
            </w:pPr>
            <w:r>
              <w:rPr>
                <w:b/>
                <w:sz w:val="22"/>
              </w:rPr>
              <w:t xml:space="preserve">Total hours </w:t>
            </w:r>
          </w:p>
        </w:tc>
      </w:tr>
      <w:tr w:rsidR="007D423F" w:rsidTr="00B10799">
        <w:trPr>
          <w:trHeight w:val="375"/>
        </w:trPr>
        <w:tc>
          <w:tcPr>
            <w:tcW w:w="1031" w:type="dxa"/>
          </w:tcPr>
          <w:p w:rsidR="007D423F" w:rsidRDefault="007D423F" w:rsidP="00B10799">
            <w:pPr>
              <w:spacing w:before="40" w:after="40"/>
              <w:jc w:val="center"/>
            </w:pPr>
            <w:r>
              <w:t>32</w:t>
            </w:r>
          </w:p>
        </w:tc>
        <w:tc>
          <w:tcPr>
            <w:tcW w:w="1417" w:type="dxa"/>
          </w:tcPr>
          <w:p w:rsidR="007D423F" w:rsidRDefault="007D423F" w:rsidP="00B10799">
            <w:pPr>
              <w:spacing w:before="40" w:after="40"/>
              <w:jc w:val="center"/>
            </w:pPr>
            <w:r>
              <w:t>48</w:t>
            </w:r>
          </w:p>
        </w:tc>
        <w:tc>
          <w:tcPr>
            <w:tcW w:w="1065" w:type="dxa"/>
          </w:tcPr>
          <w:p w:rsidR="007D423F" w:rsidRDefault="007D423F" w:rsidP="00B10799">
            <w:pPr>
              <w:spacing w:before="40" w:after="40"/>
              <w:jc w:val="center"/>
            </w:pPr>
            <w:r>
              <w:t>8</w:t>
            </w:r>
          </w:p>
        </w:tc>
        <w:tc>
          <w:tcPr>
            <w:tcW w:w="1294" w:type="dxa"/>
          </w:tcPr>
          <w:p w:rsidR="007D423F" w:rsidRDefault="007D423F" w:rsidP="00B10799">
            <w:pPr>
              <w:spacing w:before="40" w:after="40"/>
              <w:jc w:val="center"/>
            </w:pPr>
            <w:r>
              <w:t>48</w:t>
            </w:r>
          </w:p>
        </w:tc>
        <w:tc>
          <w:tcPr>
            <w:tcW w:w="1109" w:type="dxa"/>
          </w:tcPr>
          <w:p w:rsidR="007D423F" w:rsidRDefault="007D423F" w:rsidP="00B10799">
            <w:pPr>
              <w:spacing w:before="40" w:after="40"/>
              <w:jc w:val="center"/>
            </w:pPr>
            <w:r>
              <w:t>78</w:t>
            </w:r>
          </w:p>
        </w:tc>
        <w:tc>
          <w:tcPr>
            <w:tcW w:w="1294" w:type="dxa"/>
          </w:tcPr>
          <w:p w:rsidR="007D423F" w:rsidRDefault="007D423F" w:rsidP="00B10799">
            <w:pPr>
              <w:spacing w:before="40" w:after="40"/>
              <w:jc w:val="center"/>
            </w:pPr>
            <w:r>
              <w:t>80</w:t>
            </w:r>
          </w:p>
        </w:tc>
        <w:tc>
          <w:tcPr>
            <w:tcW w:w="925" w:type="dxa"/>
          </w:tcPr>
          <w:p w:rsidR="007D423F" w:rsidRDefault="007D423F" w:rsidP="00B10799">
            <w:pPr>
              <w:spacing w:before="40" w:after="40"/>
              <w:jc w:val="center"/>
            </w:pPr>
            <w:r>
              <w:t>6</w:t>
            </w:r>
          </w:p>
        </w:tc>
        <w:tc>
          <w:tcPr>
            <w:tcW w:w="925" w:type="dxa"/>
          </w:tcPr>
          <w:p w:rsidR="007D423F" w:rsidRDefault="007D423F" w:rsidP="00B10799">
            <w:pPr>
              <w:spacing w:before="40" w:after="40"/>
              <w:jc w:val="center"/>
            </w:pPr>
            <w:r>
              <w:t>300</w:t>
            </w:r>
          </w:p>
        </w:tc>
      </w:tr>
    </w:tbl>
    <w:p w:rsidR="007D423F" w:rsidRDefault="007D423F" w:rsidP="00C80804">
      <w:pPr>
        <w:spacing w:after="120"/>
        <w:ind w:left="426"/>
        <w:rPr>
          <w:rFonts w:ascii="Arial" w:hAnsi="Arial" w:cs="Arial"/>
          <w:i/>
          <w:iCs/>
          <w:color w:val="0000F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08"/>
        <w:gridCol w:w="1662"/>
        <w:gridCol w:w="1485"/>
        <w:gridCol w:w="1956"/>
      </w:tblGrid>
      <w:tr w:rsidR="007D423F" w:rsidTr="00B10799">
        <w:tc>
          <w:tcPr>
            <w:tcW w:w="2628" w:type="dxa"/>
            <w:shd w:val="pct15" w:color="auto" w:fill="FFFFFF"/>
          </w:tcPr>
          <w:p w:rsidR="007D423F" w:rsidRDefault="007D423F" w:rsidP="00B10799">
            <w:pPr>
              <w:jc w:val="both"/>
              <w:rPr>
                <w:b/>
              </w:rPr>
            </w:pPr>
            <w:r>
              <w:rPr>
                <w:b/>
              </w:rPr>
              <w:t>Activity</w:t>
            </w:r>
          </w:p>
          <w:p w:rsidR="007D423F" w:rsidRDefault="007D423F" w:rsidP="00B10799">
            <w:pPr>
              <w:jc w:val="both"/>
              <w:rPr>
                <w:b/>
              </w:rPr>
            </w:pPr>
          </w:p>
        </w:tc>
        <w:tc>
          <w:tcPr>
            <w:tcW w:w="1308" w:type="dxa"/>
            <w:shd w:val="pct15" w:color="auto" w:fill="FFFFFF"/>
          </w:tcPr>
          <w:p w:rsidR="007D423F" w:rsidRDefault="007D423F" w:rsidP="00B10799">
            <w:pPr>
              <w:jc w:val="both"/>
              <w:rPr>
                <w:b/>
              </w:rPr>
            </w:pPr>
            <w:r>
              <w:rPr>
                <w:b/>
              </w:rPr>
              <w:t>Lectures</w:t>
            </w:r>
          </w:p>
        </w:tc>
        <w:tc>
          <w:tcPr>
            <w:tcW w:w="1662" w:type="dxa"/>
            <w:shd w:val="pct15" w:color="auto" w:fill="FFFFFF"/>
          </w:tcPr>
          <w:p w:rsidR="007D423F" w:rsidRDefault="007D423F" w:rsidP="00B10799">
            <w:pPr>
              <w:jc w:val="both"/>
              <w:rPr>
                <w:b/>
              </w:rPr>
            </w:pPr>
            <w:r>
              <w:rPr>
                <w:b/>
              </w:rPr>
              <w:t>Workshops</w:t>
            </w:r>
          </w:p>
        </w:tc>
        <w:tc>
          <w:tcPr>
            <w:tcW w:w="1485" w:type="dxa"/>
            <w:shd w:val="pct15" w:color="auto" w:fill="FFFFFF"/>
          </w:tcPr>
          <w:p w:rsidR="007D423F" w:rsidRDefault="007D423F" w:rsidP="00B10799">
            <w:pPr>
              <w:jc w:val="both"/>
              <w:rPr>
                <w:b/>
              </w:rPr>
            </w:pPr>
            <w:r>
              <w:rPr>
                <w:b/>
              </w:rPr>
              <w:t>MSCL/CAL</w:t>
            </w:r>
          </w:p>
        </w:tc>
        <w:tc>
          <w:tcPr>
            <w:tcW w:w="1956" w:type="dxa"/>
            <w:shd w:val="pct15" w:color="auto" w:fill="FFFFFF"/>
          </w:tcPr>
          <w:p w:rsidR="007D423F" w:rsidRDefault="007D423F" w:rsidP="00B10799">
            <w:pPr>
              <w:jc w:val="both"/>
              <w:rPr>
                <w:b/>
              </w:rPr>
            </w:pPr>
            <w:r>
              <w:rPr>
                <w:b/>
              </w:rPr>
              <w:t>Total hours</w:t>
            </w:r>
          </w:p>
        </w:tc>
      </w:tr>
      <w:tr w:rsidR="007D423F" w:rsidTr="00B10799">
        <w:tc>
          <w:tcPr>
            <w:tcW w:w="2628" w:type="dxa"/>
          </w:tcPr>
          <w:p w:rsidR="007D423F" w:rsidRDefault="007D423F" w:rsidP="00B10799">
            <w:pPr>
              <w:jc w:val="both"/>
            </w:pPr>
            <w:r>
              <w:t>Individualising care</w:t>
            </w:r>
          </w:p>
        </w:tc>
        <w:tc>
          <w:tcPr>
            <w:tcW w:w="1308" w:type="dxa"/>
          </w:tcPr>
          <w:p w:rsidR="007D423F" w:rsidRDefault="007D423F" w:rsidP="00B10799">
            <w:pPr>
              <w:jc w:val="center"/>
            </w:pPr>
            <w:r>
              <w:t>8</w:t>
            </w:r>
          </w:p>
        </w:tc>
        <w:tc>
          <w:tcPr>
            <w:tcW w:w="1662" w:type="dxa"/>
          </w:tcPr>
          <w:p w:rsidR="007D423F" w:rsidRDefault="007D423F" w:rsidP="00B10799">
            <w:pPr>
              <w:jc w:val="center"/>
            </w:pPr>
            <w:r>
              <w:t>1x3h</w:t>
            </w:r>
          </w:p>
        </w:tc>
        <w:tc>
          <w:tcPr>
            <w:tcW w:w="1485" w:type="dxa"/>
          </w:tcPr>
          <w:p w:rsidR="007D423F" w:rsidRDefault="007D423F" w:rsidP="00B10799">
            <w:pPr>
              <w:jc w:val="center"/>
            </w:pPr>
            <w:r>
              <w:t>16</w:t>
            </w:r>
          </w:p>
        </w:tc>
        <w:tc>
          <w:tcPr>
            <w:tcW w:w="1956" w:type="dxa"/>
          </w:tcPr>
          <w:p w:rsidR="007D423F" w:rsidRDefault="007D423F" w:rsidP="00B10799">
            <w:pPr>
              <w:jc w:val="center"/>
              <w:rPr>
                <w:b/>
              </w:rPr>
            </w:pPr>
            <w:r>
              <w:rPr>
                <w:b/>
              </w:rPr>
              <w:t>27</w:t>
            </w:r>
          </w:p>
          <w:p w:rsidR="007D423F" w:rsidRDefault="007D423F" w:rsidP="00B10799">
            <w:pPr>
              <w:jc w:val="center"/>
              <w:rPr>
                <w:b/>
              </w:rPr>
            </w:pPr>
          </w:p>
        </w:tc>
      </w:tr>
      <w:tr w:rsidR="007D423F" w:rsidTr="00B10799">
        <w:tc>
          <w:tcPr>
            <w:tcW w:w="2628" w:type="dxa"/>
          </w:tcPr>
          <w:p w:rsidR="007D423F" w:rsidRDefault="007D423F" w:rsidP="00B10799">
            <w:r>
              <w:t>Patient assessment and treatment</w:t>
            </w:r>
          </w:p>
        </w:tc>
        <w:tc>
          <w:tcPr>
            <w:tcW w:w="1308" w:type="dxa"/>
          </w:tcPr>
          <w:p w:rsidR="007D423F" w:rsidRDefault="007D423F" w:rsidP="00B10799">
            <w:pPr>
              <w:jc w:val="center"/>
            </w:pPr>
            <w:r>
              <w:t>10</w:t>
            </w:r>
          </w:p>
        </w:tc>
        <w:tc>
          <w:tcPr>
            <w:tcW w:w="1662" w:type="dxa"/>
          </w:tcPr>
          <w:p w:rsidR="007D423F" w:rsidRDefault="007D423F" w:rsidP="00B10799">
            <w:pPr>
              <w:jc w:val="center"/>
            </w:pPr>
            <w:r>
              <w:t>2x3h</w:t>
            </w:r>
          </w:p>
        </w:tc>
        <w:tc>
          <w:tcPr>
            <w:tcW w:w="1485" w:type="dxa"/>
          </w:tcPr>
          <w:p w:rsidR="007D423F" w:rsidRDefault="007D423F" w:rsidP="00B10799">
            <w:pPr>
              <w:jc w:val="center"/>
            </w:pPr>
            <w:r>
              <w:t>24</w:t>
            </w:r>
          </w:p>
        </w:tc>
        <w:tc>
          <w:tcPr>
            <w:tcW w:w="1956" w:type="dxa"/>
          </w:tcPr>
          <w:p w:rsidR="007D423F" w:rsidRDefault="007D423F" w:rsidP="00B10799">
            <w:pPr>
              <w:jc w:val="center"/>
              <w:rPr>
                <w:b/>
              </w:rPr>
            </w:pPr>
            <w:r>
              <w:rPr>
                <w:b/>
              </w:rPr>
              <w:t>40</w:t>
            </w:r>
          </w:p>
        </w:tc>
      </w:tr>
      <w:tr w:rsidR="007D423F" w:rsidTr="00B10799">
        <w:tc>
          <w:tcPr>
            <w:tcW w:w="2628" w:type="dxa"/>
          </w:tcPr>
          <w:p w:rsidR="007D423F" w:rsidRDefault="007D423F" w:rsidP="00B10799">
            <w:r>
              <w:t>A framework for practice, inc’ dispensing labs</w:t>
            </w:r>
          </w:p>
        </w:tc>
        <w:tc>
          <w:tcPr>
            <w:tcW w:w="1308" w:type="dxa"/>
            <w:tcBorders>
              <w:bottom w:val="single" w:sz="4" w:space="0" w:color="auto"/>
            </w:tcBorders>
          </w:tcPr>
          <w:p w:rsidR="007D423F" w:rsidRDefault="007D423F" w:rsidP="00B10799">
            <w:pPr>
              <w:jc w:val="center"/>
            </w:pPr>
            <w:r>
              <w:t>14</w:t>
            </w:r>
          </w:p>
        </w:tc>
        <w:tc>
          <w:tcPr>
            <w:tcW w:w="1662" w:type="dxa"/>
            <w:tcBorders>
              <w:bottom w:val="single" w:sz="4" w:space="0" w:color="auto"/>
            </w:tcBorders>
          </w:tcPr>
          <w:p w:rsidR="007D423F" w:rsidRDefault="007D423F" w:rsidP="00B10799">
            <w:pPr>
              <w:jc w:val="center"/>
            </w:pPr>
            <w:r>
              <w:t>13x3h</w:t>
            </w:r>
          </w:p>
        </w:tc>
        <w:tc>
          <w:tcPr>
            <w:tcW w:w="1485" w:type="dxa"/>
            <w:tcBorders>
              <w:bottom w:val="single" w:sz="4" w:space="0" w:color="auto"/>
            </w:tcBorders>
          </w:tcPr>
          <w:p w:rsidR="007D423F" w:rsidRDefault="007D423F" w:rsidP="00B10799">
            <w:pPr>
              <w:jc w:val="center"/>
            </w:pPr>
            <w:r>
              <w:t>40</w:t>
            </w:r>
          </w:p>
        </w:tc>
        <w:tc>
          <w:tcPr>
            <w:tcW w:w="1956" w:type="dxa"/>
          </w:tcPr>
          <w:p w:rsidR="007D423F" w:rsidRDefault="007D423F" w:rsidP="00B10799">
            <w:pPr>
              <w:jc w:val="center"/>
              <w:rPr>
                <w:b/>
              </w:rPr>
            </w:pPr>
            <w:r>
              <w:rPr>
                <w:b/>
              </w:rPr>
              <w:t>93</w:t>
            </w:r>
          </w:p>
        </w:tc>
      </w:tr>
      <w:tr w:rsidR="007D423F" w:rsidTr="00B10799">
        <w:tc>
          <w:tcPr>
            <w:tcW w:w="2628" w:type="dxa"/>
          </w:tcPr>
          <w:p w:rsidR="007D423F" w:rsidRDefault="007D423F" w:rsidP="00B10799">
            <w:pPr>
              <w:jc w:val="both"/>
            </w:pPr>
            <w:r>
              <w:t>Seminars</w:t>
            </w:r>
          </w:p>
        </w:tc>
        <w:tc>
          <w:tcPr>
            <w:tcW w:w="4455" w:type="dxa"/>
            <w:gridSpan w:val="3"/>
            <w:shd w:val="clear" w:color="auto" w:fill="FFFFFF"/>
          </w:tcPr>
          <w:p w:rsidR="007D423F" w:rsidRDefault="007D423F" w:rsidP="00B10799">
            <w:pPr>
              <w:jc w:val="center"/>
            </w:pPr>
          </w:p>
        </w:tc>
        <w:tc>
          <w:tcPr>
            <w:tcW w:w="1956" w:type="dxa"/>
          </w:tcPr>
          <w:p w:rsidR="007D423F" w:rsidRDefault="007D423F" w:rsidP="00B10799">
            <w:pPr>
              <w:jc w:val="center"/>
              <w:rPr>
                <w:b/>
              </w:rPr>
            </w:pPr>
            <w:r>
              <w:rPr>
                <w:b/>
              </w:rPr>
              <w:t>8</w:t>
            </w:r>
          </w:p>
          <w:p w:rsidR="007D423F" w:rsidRDefault="007D423F" w:rsidP="00B10799">
            <w:pPr>
              <w:jc w:val="center"/>
              <w:rPr>
                <w:b/>
              </w:rPr>
            </w:pPr>
          </w:p>
        </w:tc>
      </w:tr>
      <w:tr w:rsidR="007D423F" w:rsidTr="00B10799">
        <w:tc>
          <w:tcPr>
            <w:tcW w:w="2628" w:type="dxa"/>
          </w:tcPr>
          <w:p w:rsidR="007D423F" w:rsidRDefault="007D423F" w:rsidP="00B10799">
            <w:pPr>
              <w:jc w:val="both"/>
            </w:pPr>
            <w:r>
              <w:t>Placements</w:t>
            </w:r>
          </w:p>
        </w:tc>
        <w:tc>
          <w:tcPr>
            <w:tcW w:w="4455" w:type="dxa"/>
            <w:gridSpan w:val="3"/>
            <w:shd w:val="clear" w:color="auto" w:fill="FFFFFF"/>
          </w:tcPr>
          <w:p w:rsidR="007D423F" w:rsidRDefault="007D423F" w:rsidP="00B10799">
            <w:pPr>
              <w:jc w:val="center"/>
            </w:pPr>
          </w:p>
        </w:tc>
        <w:tc>
          <w:tcPr>
            <w:tcW w:w="1956" w:type="dxa"/>
          </w:tcPr>
          <w:p w:rsidR="007D423F" w:rsidRDefault="007D423F" w:rsidP="00B10799">
            <w:pPr>
              <w:jc w:val="center"/>
              <w:rPr>
                <w:b/>
              </w:rPr>
            </w:pPr>
            <w:r>
              <w:rPr>
                <w:b/>
              </w:rPr>
              <w:t>48</w:t>
            </w:r>
          </w:p>
          <w:p w:rsidR="007D423F" w:rsidRDefault="007D423F" w:rsidP="00B10799">
            <w:pPr>
              <w:jc w:val="center"/>
              <w:rPr>
                <w:b/>
              </w:rPr>
            </w:pPr>
          </w:p>
        </w:tc>
      </w:tr>
      <w:tr w:rsidR="007D423F" w:rsidTr="00B10799">
        <w:tc>
          <w:tcPr>
            <w:tcW w:w="2628" w:type="dxa"/>
          </w:tcPr>
          <w:p w:rsidR="007D423F" w:rsidRDefault="007D423F" w:rsidP="00B10799">
            <w:pPr>
              <w:jc w:val="both"/>
            </w:pPr>
            <w:r>
              <w:t>Private study</w:t>
            </w:r>
          </w:p>
        </w:tc>
        <w:tc>
          <w:tcPr>
            <w:tcW w:w="4455" w:type="dxa"/>
            <w:gridSpan w:val="3"/>
            <w:shd w:val="clear" w:color="auto" w:fill="FFFFFF"/>
          </w:tcPr>
          <w:p w:rsidR="007D423F" w:rsidRDefault="007D423F" w:rsidP="00B10799">
            <w:pPr>
              <w:jc w:val="center"/>
            </w:pPr>
          </w:p>
        </w:tc>
        <w:tc>
          <w:tcPr>
            <w:tcW w:w="1956" w:type="dxa"/>
          </w:tcPr>
          <w:p w:rsidR="007D423F" w:rsidRDefault="007D423F" w:rsidP="00B10799">
            <w:pPr>
              <w:jc w:val="center"/>
              <w:rPr>
                <w:b/>
              </w:rPr>
            </w:pPr>
            <w:r>
              <w:rPr>
                <w:b/>
              </w:rPr>
              <w:t>78</w:t>
            </w:r>
          </w:p>
          <w:p w:rsidR="007D423F" w:rsidRDefault="007D423F" w:rsidP="00B10799">
            <w:pPr>
              <w:jc w:val="center"/>
              <w:rPr>
                <w:b/>
              </w:rPr>
            </w:pPr>
          </w:p>
        </w:tc>
      </w:tr>
      <w:tr w:rsidR="007D423F" w:rsidTr="00B10799">
        <w:trPr>
          <w:trHeight w:val="774"/>
        </w:trPr>
        <w:tc>
          <w:tcPr>
            <w:tcW w:w="2628" w:type="dxa"/>
          </w:tcPr>
          <w:p w:rsidR="007D423F" w:rsidRDefault="007D423F" w:rsidP="00B10799">
            <w:r>
              <w:t>Formal assessment including Dispensing exam</w:t>
            </w:r>
          </w:p>
        </w:tc>
        <w:tc>
          <w:tcPr>
            <w:tcW w:w="4455" w:type="dxa"/>
            <w:gridSpan w:val="3"/>
            <w:shd w:val="clear" w:color="auto" w:fill="FFFFFF"/>
          </w:tcPr>
          <w:p w:rsidR="007D423F" w:rsidRDefault="007D423F" w:rsidP="00B10799">
            <w:pPr>
              <w:jc w:val="center"/>
            </w:pPr>
          </w:p>
        </w:tc>
        <w:tc>
          <w:tcPr>
            <w:tcW w:w="1956" w:type="dxa"/>
          </w:tcPr>
          <w:p w:rsidR="007D423F" w:rsidRDefault="007D423F" w:rsidP="00B10799">
            <w:pPr>
              <w:jc w:val="center"/>
              <w:rPr>
                <w:b/>
              </w:rPr>
            </w:pPr>
            <w:r>
              <w:rPr>
                <w:b/>
              </w:rPr>
              <w:t>6</w:t>
            </w:r>
          </w:p>
        </w:tc>
      </w:tr>
      <w:tr w:rsidR="007D423F" w:rsidTr="00B10799">
        <w:tc>
          <w:tcPr>
            <w:tcW w:w="2628" w:type="dxa"/>
          </w:tcPr>
          <w:p w:rsidR="007D423F" w:rsidRDefault="007D423F" w:rsidP="00B10799">
            <w:pPr>
              <w:jc w:val="both"/>
              <w:rPr>
                <w:b/>
              </w:rPr>
            </w:pPr>
            <w:r>
              <w:rPr>
                <w:b/>
              </w:rPr>
              <w:t>Total hours</w:t>
            </w:r>
          </w:p>
        </w:tc>
        <w:tc>
          <w:tcPr>
            <w:tcW w:w="1308" w:type="dxa"/>
            <w:shd w:val="clear" w:color="auto" w:fill="FFFFFF"/>
          </w:tcPr>
          <w:p w:rsidR="007D423F" w:rsidRDefault="007D423F" w:rsidP="00B10799">
            <w:pPr>
              <w:jc w:val="center"/>
              <w:rPr>
                <w:b/>
              </w:rPr>
            </w:pPr>
            <w:r>
              <w:rPr>
                <w:b/>
              </w:rPr>
              <w:t>32</w:t>
            </w:r>
          </w:p>
        </w:tc>
        <w:tc>
          <w:tcPr>
            <w:tcW w:w="1662" w:type="dxa"/>
            <w:shd w:val="clear" w:color="auto" w:fill="FFFFFF"/>
          </w:tcPr>
          <w:p w:rsidR="007D423F" w:rsidRDefault="007D423F" w:rsidP="00B10799">
            <w:pPr>
              <w:jc w:val="center"/>
              <w:rPr>
                <w:b/>
              </w:rPr>
            </w:pPr>
            <w:r>
              <w:rPr>
                <w:b/>
              </w:rPr>
              <w:t>48</w:t>
            </w:r>
          </w:p>
        </w:tc>
        <w:tc>
          <w:tcPr>
            <w:tcW w:w="1485" w:type="dxa"/>
            <w:shd w:val="clear" w:color="auto" w:fill="FFFFFF"/>
          </w:tcPr>
          <w:p w:rsidR="007D423F" w:rsidRDefault="007D423F" w:rsidP="00B10799">
            <w:pPr>
              <w:jc w:val="center"/>
              <w:rPr>
                <w:b/>
              </w:rPr>
            </w:pPr>
            <w:r>
              <w:rPr>
                <w:b/>
              </w:rPr>
              <w:t>80</w:t>
            </w:r>
          </w:p>
        </w:tc>
        <w:tc>
          <w:tcPr>
            <w:tcW w:w="1956" w:type="dxa"/>
          </w:tcPr>
          <w:p w:rsidR="007D423F" w:rsidRDefault="007D423F" w:rsidP="00B10799">
            <w:pPr>
              <w:jc w:val="center"/>
              <w:rPr>
                <w:b/>
              </w:rPr>
            </w:pPr>
            <w:r>
              <w:rPr>
                <w:b/>
              </w:rPr>
              <w:t>300</w:t>
            </w:r>
          </w:p>
          <w:p w:rsidR="007D423F" w:rsidRDefault="007D423F" w:rsidP="00B10799">
            <w:pPr>
              <w:jc w:val="center"/>
              <w:rPr>
                <w:b/>
              </w:rPr>
            </w:pPr>
          </w:p>
        </w:tc>
      </w:tr>
    </w:tbl>
    <w:p w:rsidR="0009110F" w:rsidRDefault="0009110F" w:rsidP="003B72AE">
      <w:pPr>
        <w:spacing w:after="120"/>
        <w:jc w:val="both"/>
        <w:rPr>
          <w:rFonts w:ascii="Arial" w:hAnsi="Arial"/>
        </w:rPr>
      </w:pPr>
      <w:r>
        <w:rPr>
          <w:rFonts w:ascii="Arial" w:hAnsi="Arial"/>
        </w:rPr>
        <w:t>A Framework for Practice</w:t>
      </w:r>
    </w:p>
    <w:p w:rsidR="003B72AE" w:rsidRDefault="003B72AE" w:rsidP="003B72AE">
      <w:pPr>
        <w:spacing w:after="120"/>
        <w:jc w:val="both"/>
        <w:rPr>
          <w:rFonts w:ascii="Arial" w:hAnsi="Arial"/>
        </w:rPr>
      </w:pPr>
      <w:r>
        <w:rPr>
          <w:rFonts w:ascii="Arial" w:hAnsi="Arial"/>
        </w:rPr>
        <w:t>The framework for pharmacy practice involves gaining knowledge about professional values attitudes and behaviours and working in a simulated environment to improve knowledge about the use of medicines and the legal and ethical requirements of a pharmacist including the requirements for prescriptions. (LO</w:t>
      </w:r>
      <w:r w:rsidR="0009110F">
        <w:rPr>
          <w:rFonts w:ascii="Arial" w:hAnsi="Arial"/>
        </w:rPr>
        <w:t>1, LO7, LO4)</w:t>
      </w:r>
      <w:r>
        <w:rPr>
          <w:rFonts w:ascii="Arial" w:hAnsi="Arial"/>
        </w:rPr>
        <w:t xml:space="preserve">  </w:t>
      </w:r>
    </w:p>
    <w:p w:rsidR="0009110F" w:rsidRDefault="0009110F" w:rsidP="003B72AE">
      <w:pPr>
        <w:spacing w:after="120"/>
        <w:jc w:val="both"/>
        <w:rPr>
          <w:rFonts w:ascii="Arial" w:hAnsi="Arial"/>
        </w:rPr>
      </w:pPr>
      <w:r>
        <w:rPr>
          <w:rFonts w:ascii="Arial" w:hAnsi="Arial"/>
        </w:rPr>
        <w:t>Communicating and individualising care</w:t>
      </w:r>
    </w:p>
    <w:p w:rsidR="0009110F" w:rsidRDefault="003B72AE" w:rsidP="003B72AE">
      <w:pPr>
        <w:spacing w:after="120"/>
        <w:jc w:val="both"/>
        <w:rPr>
          <w:rFonts w:ascii="Arial" w:hAnsi="Arial"/>
        </w:rPr>
      </w:pPr>
      <w:r>
        <w:rPr>
          <w:rFonts w:ascii="Arial" w:hAnsi="Arial"/>
        </w:rPr>
        <w:lastRenderedPageBreak/>
        <w:t>The learning about communications, behavioural change, communication theories and experiential learning from placements will help students to develop their communication skills; building inter- and intra-professional relationships</w:t>
      </w:r>
      <w:r w:rsidR="0009110F">
        <w:rPr>
          <w:rFonts w:ascii="Arial" w:hAnsi="Arial"/>
        </w:rPr>
        <w:t>.(LO2, LO3)</w:t>
      </w:r>
    </w:p>
    <w:p w:rsidR="0009110F" w:rsidRDefault="0009110F" w:rsidP="003B72AE">
      <w:pPr>
        <w:spacing w:after="120"/>
        <w:jc w:val="both"/>
        <w:rPr>
          <w:rFonts w:ascii="Arial" w:hAnsi="Arial"/>
        </w:rPr>
      </w:pPr>
      <w:r>
        <w:rPr>
          <w:rFonts w:ascii="Arial" w:hAnsi="Arial"/>
        </w:rPr>
        <w:t>Patient assessment and treatment:</w:t>
      </w:r>
    </w:p>
    <w:p w:rsidR="003B72AE" w:rsidRDefault="0009110F" w:rsidP="003B72AE">
      <w:pPr>
        <w:spacing w:after="120"/>
        <w:jc w:val="both"/>
        <w:rPr>
          <w:rFonts w:ascii="Arial" w:hAnsi="Arial"/>
        </w:rPr>
      </w:pPr>
      <w:r>
        <w:rPr>
          <w:rFonts w:ascii="Arial" w:hAnsi="Arial"/>
        </w:rPr>
        <w:t>This builds on communicating and individualising care giving students the knowledge and skills to assess patients. This will enable the</w:t>
      </w:r>
      <w:r w:rsidR="003B72AE">
        <w:rPr>
          <w:rFonts w:ascii="Arial" w:hAnsi="Arial"/>
        </w:rPr>
        <w:t>m to undertake patient assessment and treatment and to individualise patient care</w:t>
      </w:r>
      <w:r>
        <w:rPr>
          <w:rFonts w:ascii="Arial" w:hAnsi="Arial"/>
        </w:rPr>
        <w:t xml:space="preserve"> in theoretical and simulated environments</w:t>
      </w:r>
      <w:r w:rsidR="003B72AE">
        <w:rPr>
          <w:rFonts w:ascii="Arial" w:hAnsi="Arial"/>
        </w:rPr>
        <w:t>.</w:t>
      </w:r>
      <w:r>
        <w:rPr>
          <w:rFonts w:ascii="Arial" w:hAnsi="Arial"/>
        </w:rPr>
        <w:t xml:space="preserve"> (LO5, LO6)</w:t>
      </w:r>
      <w:r w:rsidR="003B72AE">
        <w:rPr>
          <w:rFonts w:ascii="Arial" w:hAnsi="Arial"/>
        </w:rPr>
        <w:t xml:space="preserve"> </w:t>
      </w:r>
    </w:p>
    <w:p w:rsidR="003B72AE" w:rsidRDefault="003B72AE" w:rsidP="003B72AE">
      <w:pPr>
        <w:spacing w:after="120"/>
        <w:jc w:val="both"/>
        <w:rPr>
          <w:rFonts w:ascii="Arial" w:hAnsi="Arial"/>
        </w:rPr>
      </w:pPr>
      <w:r>
        <w:rPr>
          <w:rFonts w:ascii="Arial" w:hAnsi="Arial"/>
        </w:rPr>
        <w:t xml:space="preserve">An ability to accurately perform pharmaceutical calculations without a calculator is a key skill for practising pharmacists, a requirement for professional registration and will, therefore, underpin individualising patient care, and the framework for professional practice. </w:t>
      </w:r>
      <w:r w:rsidR="0009110F">
        <w:rPr>
          <w:rFonts w:ascii="Arial" w:hAnsi="Arial"/>
        </w:rPr>
        <w:t>(LO7)</w:t>
      </w:r>
    </w:p>
    <w:p w:rsidR="003473CE" w:rsidRDefault="003473CE" w:rsidP="00C80804">
      <w:pPr>
        <w:spacing w:after="120"/>
        <w:ind w:left="426"/>
        <w:rPr>
          <w:rFonts w:ascii="Arial" w:hAnsi="Arial" w:cs="Arial"/>
          <w:i/>
          <w:iCs/>
          <w:color w:val="0000FF"/>
        </w:rPr>
      </w:pPr>
    </w:p>
    <w:p w:rsidR="003473CE" w:rsidRPr="00C80804" w:rsidRDefault="003473CE" w:rsidP="00C80804">
      <w:pPr>
        <w:numPr>
          <w:ilvl w:val="0"/>
          <w:numId w:val="6"/>
        </w:numPr>
        <w:spacing w:after="120"/>
        <w:ind w:left="426" w:hanging="426"/>
        <w:jc w:val="both"/>
        <w:rPr>
          <w:rFonts w:ascii="Arial" w:hAnsi="Arial" w:cs="Arial"/>
        </w:rPr>
      </w:pPr>
      <w:r w:rsidRPr="00C80804">
        <w:rPr>
          <w:rFonts w:ascii="Arial" w:hAnsi="Arial" w:cs="Arial"/>
        </w:rPr>
        <w:t>Assessment methods and how these relate to testing achievement of the intended learning outcomes</w:t>
      </w:r>
    </w:p>
    <w:tbl>
      <w:tblPr>
        <w:tblW w:w="9073" w:type="dxa"/>
        <w:tblInd w:w="-114" w:type="dxa"/>
        <w:tblLayout w:type="fixed"/>
        <w:tblCellMar>
          <w:left w:w="28" w:type="dxa"/>
          <w:right w:w="28" w:type="dxa"/>
        </w:tblCellMar>
        <w:tblLook w:val="0000" w:firstRow="0" w:lastRow="0" w:firstColumn="0" w:lastColumn="0" w:noHBand="0" w:noVBand="0"/>
      </w:tblPr>
      <w:tblGrid>
        <w:gridCol w:w="1418"/>
        <w:gridCol w:w="1134"/>
        <w:gridCol w:w="1276"/>
        <w:gridCol w:w="5245"/>
      </w:tblGrid>
      <w:tr w:rsidR="002C138A" w:rsidTr="00B10799">
        <w:tc>
          <w:tcPr>
            <w:tcW w:w="1418" w:type="dxa"/>
            <w:tcBorders>
              <w:top w:val="single" w:sz="6" w:space="0" w:color="auto"/>
              <w:left w:val="single" w:sz="4" w:space="0" w:color="auto"/>
              <w:bottom w:val="single" w:sz="6" w:space="0" w:color="auto"/>
            </w:tcBorders>
            <w:shd w:val="clear" w:color="auto" w:fill="E0E0E0"/>
          </w:tcPr>
          <w:p w:rsidR="002C138A" w:rsidRDefault="002C138A" w:rsidP="00B10799">
            <w:pPr>
              <w:tabs>
                <w:tab w:val="left" w:pos="-720"/>
              </w:tabs>
              <w:suppressAutoHyphens/>
              <w:spacing w:before="66" w:after="112"/>
              <w:rPr>
                <w:rFonts w:ascii="Arial" w:hAnsi="Arial"/>
                <w:b/>
                <w:spacing w:val="-2"/>
              </w:rPr>
            </w:pPr>
            <w:r>
              <w:rPr>
                <w:rFonts w:ascii="Arial" w:hAnsi="Arial"/>
                <w:b/>
                <w:spacing w:val="-2"/>
              </w:rPr>
              <w:t>Methods of assessment</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2C138A" w:rsidRDefault="002C138A" w:rsidP="00B10799">
            <w:pPr>
              <w:tabs>
                <w:tab w:val="left" w:pos="-720"/>
              </w:tabs>
              <w:suppressAutoHyphens/>
              <w:spacing w:before="66" w:after="112"/>
              <w:jc w:val="center"/>
              <w:rPr>
                <w:rFonts w:ascii="Arial" w:hAnsi="Arial"/>
                <w:b/>
                <w:spacing w:val="-2"/>
              </w:rPr>
            </w:pPr>
            <w:r>
              <w:rPr>
                <w:rFonts w:ascii="Arial" w:hAnsi="Arial"/>
                <w:b/>
                <w:spacing w:val="-2"/>
              </w:rPr>
              <w:t>Learning outcomes assessed</w:t>
            </w:r>
          </w:p>
        </w:tc>
        <w:tc>
          <w:tcPr>
            <w:tcW w:w="1276" w:type="dxa"/>
            <w:tcBorders>
              <w:top w:val="single" w:sz="6" w:space="0" w:color="auto"/>
              <w:left w:val="single" w:sz="6" w:space="0" w:color="auto"/>
              <w:bottom w:val="single" w:sz="6" w:space="0" w:color="auto"/>
            </w:tcBorders>
            <w:shd w:val="clear" w:color="auto" w:fill="E0E0E0"/>
          </w:tcPr>
          <w:p w:rsidR="002C138A" w:rsidRDefault="002C138A" w:rsidP="00B10799">
            <w:pPr>
              <w:tabs>
                <w:tab w:val="left" w:pos="-720"/>
              </w:tabs>
              <w:suppressAutoHyphens/>
              <w:spacing w:before="66" w:after="112"/>
              <w:jc w:val="center"/>
              <w:rPr>
                <w:rFonts w:ascii="Arial" w:hAnsi="Arial"/>
                <w:b/>
                <w:spacing w:val="-2"/>
              </w:rPr>
            </w:pPr>
            <w:r>
              <w:rPr>
                <w:rFonts w:ascii="Arial" w:hAnsi="Arial"/>
                <w:b/>
                <w:spacing w:val="-2"/>
              </w:rPr>
              <w:t xml:space="preserve">Weighting </w:t>
            </w:r>
          </w:p>
        </w:tc>
        <w:tc>
          <w:tcPr>
            <w:tcW w:w="5245" w:type="dxa"/>
            <w:tcBorders>
              <w:top w:val="single" w:sz="6" w:space="0" w:color="auto"/>
              <w:left w:val="single" w:sz="6" w:space="0" w:color="auto"/>
              <w:bottom w:val="single" w:sz="6" w:space="0" w:color="auto"/>
              <w:right w:val="single" w:sz="4" w:space="0" w:color="auto"/>
            </w:tcBorders>
            <w:shd w:val="clear" w:color="auto" w:fill="E0E0E0"/>
          </w:tcPr>
          <w:p w:rsidR="002C138A" w:rsidRDefault="002C138A" w:rsidP="00B10799">
            <w:pPr>
              <w:jc w:val="center"/>
              <w:rPr>
                <w:rFonts w:ascii="Arial" w:hAnsi="Arial"/>
                <w:b/>
              </w:rPr>
            </w:pPr>
            <w:r>
              <w:rPr>
                <w:rFonts w:ascii="Arial" w:hAnsi="Arial"/>
                <w:b/>
              </w:rPr>
              <w:t>Outline details</w:t>
            </w:r>
          </w:p>
        </w:tc>
      </w:tr>
      <w:tr w:rsidR="002C138A" w:rsidTr="00B10799">
        <w:tc>
          <w:tcPr>
            <w:tcW w:w="1418" w:type="dxa"/>
            <w:tcBorders>
              <w:top w:val="single" w:sz="6" w:space="0" w:color="auto"/>
              <w:left w:val="single" w:sz="4" w:space="0" w:color="auto"/>
              <w:bottom w:val="single" w:sz="4" w:space="0" w:color="auto"/>
            </w:tcBorders>
          </w:tcPr>
          <w:p w:rsidR="002C138A" w:rsidRDefault="002C138A" w:rsidP="00B10799">
            <w:pPr>
              <w:tabs>
                <w:tab w:val="left" w:pos="-720"/>
              </w:tabs>
              <w:suppressAutoHyphens/>
              <w:rPr>
                <w:rFonts w:ascii="Arial" w:hAnsi="Arial"/>
                <w:b/>
                <w:spacing w:val="-3"/>
              </w:rPr>
            </w:pPr>
            <w:r>
              <w:rPr>
                <w:rFonts w:ascii="Arial" w:hAnsi="Arial"/>
                <w:b/>
                <w:spacing w:val="-3"/>
              </w:rPr>
              <w:t>Continuous assessment</w:t>
            </w:r>
          </w:p>
        </w:tc>
        <w:tc>
          <w:tcPr>
            <w:tcW w:w="1134" w:type="dxa"/>
            <w:tcBorders>
              <w:top w:val="single" w:sz="6" w:space="0" w:color="auto"/>
              <w:left w:val="single" w:sz="6" w:space="0" w:color="auto"/>
              <w:bottom w:val="single" w:sz="4" w:space="0" w:color="auto"/>
              <w:right w:val="single" w:sz="6" w:space="0" w:color="auto"/>
            </w:tcBorders>
          </w:tcPr>
          <w:p w:rsidR="002C138A" w:rsidRDefault="002C138A" w:rsidP="00B10799">
            <w:pPr>
              <w:tabs>
                <w:tab w:val="left" w:pos="-720"/>
              </w:tabs>
              <w:suppressAutoHyphens/>
              <w:jc w:val="center"/>
              <w:rPr>
                <w:rFonts w:ascii="Arial" w:hAnsi="Arial"/>
                <w:spacing w:val="-3"/>
              </w:rPr>
            </w:pPr>
            <w:r>
              <w:rPr>
                <w:rFonts w:ascii="Arial" w:hAnsi="Arial"/>
                <w:spacing w:val="-3"/>
              </w:rPr>
              <w:t>1-6</w:t>
            </w:r>
          </w:p>
          <w:p w:rsidR="002C138A" w:rsidRDefault="002C138A" w:rsidP="00B10799">
            <w:pPr>
              <w:tabs>
                <w:tab w:val="left" w:pos="-720"/>
              </w:tabs>
              <w:suppressAutoHyphens/>
              <w:jc w:val="center"/>
              <w:rPr>
                <w:rFonts w:ascii="Arial" w:hAnsi="Arial"/>
                <w:spacing w:val="-3"/>
              </w:rPr>
            </w:pPr>
          </w:p>
          <w:p w:rsidR="002C138A" w:rsidRDefault="002C138A" w:rsidP="00B10799">
            <w:pPr>
              <w:tabs>
                <w:tab w:val="left" w:pos="-720"/>
              </w:tabs>
              <w:suppressAutoHyphens/>
              <w:jc w:val="center"/>
              <w:rPr>
                <w:rFonts w:ascii="Arial" w:hAnsi="Arial"/>
                <w:spacing w:val="-3"/>
              </w:rPr>
            </w:pPr>
          </w:p>
          <w:p w:rsidR="002C138A" w:rsidRDefault="002C138A" w:rsidP="00B10799">
            <w:pPr>
              <w:tabs>
                <w:tab w:val="left" w:pos="-720"/>
              </w:tabs>
              <w:suppressAutoHyphens/>
              <w:jc w:val="center"/>
              <w:rPr>
                <w:rFonts w:ascii="Arial" w:hAnsi="Arial"/>
                <w:spacing w:val="-3"/>
              </w:rPr>
            </w:pPr>
          </w:p>
        </w:tc>
        <w:tc>
          <w:tcPr>
            <w:tcW w:w="1276" w:type="dxa"/>
            <w:tcBorders>
              <w:top w:val="single" w:sz="6" w:space="0" w:color="auto"/>
              <w:left w:val="single" w:sz="6" w:space="0" w:color="auto"/>
              <w:bottom w:val="single" w:sz="4" w:space="0" w:color="auto"/>
            </w:tcBorders>
          </w:tcPr>
          <w:p w:rsidR="002C138A" w:rsidRDefault="002C138A" w:rsidP="00B10799">
            <w:pPr>
              <w:tabs>
                <w:tab w:val="left" w:pos="-720"/>
              </w:tabs>
              <w:suppressAutoHyphens/>
              <w:jc w:val="center"/>
              <w:rPr>
                <w:rFonts w:ascii="Arial" w:hAnsi="Arial"/>
                <w:b/>
                <w:spacing w:val="-3"/>
              </w:rPr>
            </w:pPr>
            <w:r>
              <w:rPr>
                <w:rFonts w:ascii="Arial" w:hAnsi="Arial"/>
                <w:b/>
                <w:spacing w:val="-3"/>
              </w:rPr>
              <w:t>PASS required</w:t>
            </w:r>
          </w:p>
          <w:p w:rsidR="002C138A" w:rsidRDefault="002C138A" w:rsidP="00B10799">
            <w:pPr>
              <w:tabs>
                <w:tab w:val="left" w:pos="-720"/>
              </w:tabs>
              <w:suppressAutoHyphens/>
              <w:jc w:val="center"/>
              <w:rPr>
                <w:rFonts w:ascii="Arial" w:hAnsi="Arial"/>
                <w:b/>
                <w:spacing w:val="-3"/>
              </w:rPr>
            </w:pPr>
          </w:p>
          <w:p w:rsidR="002C138A" w:rsidRDefault="002C138A" w:rsidP="00B10799">
            <w:pPr>
              <w:tabs>
                <w:tab w:val="left" w:pos="-720"/>
              </w:tabs>
              <w:suppressAutoHyphens/>
              <w:jc w:val="center"/>
              <w:rPr>
                <w:rFonts w:ascii="Arial" w:hAnsi="Arial"/>
                <w:b/>
                <w:spacing w:val="-3"/>
              </w:rPr>
            </w:pPr>
          </w:p>
          <w:p w:rsidR="002C138A" w:rsidRDefault="002C138A" w:rsidP="00B10799">
            <w:pPr>
              <w:tabs>
                <w:tab w:val="left" w:pos="-720"/>
              </w:tabs>
              <w:suppressAutoHyphens/>
              <w:jc w:val="center"/>
              <w:rPr>
                <w:rFonts w:ascii="Arial" w:hAnsi="Arial"/>
                <w:spacing w:val="-3"/>
              </w:rPr>
            </w:pPr>
            <w:r>
              <w:rPr>
                <w:rFonts w:ascii="Arial" w:hAnsi="Arial"/>
                <w:spacing w:val="-3"/>
              </w:rPr>
              <w:t>40%</w:t>
            </w:r>
          </w:p>
          <w:p w:rsidR="002C138A" w:rsidRDefault="002C138A" w:rsidP="00B10799">
            <w:pPr>
              <w:tabs>
                <w:tab w:val="left" w:pos="-720"/>
              </w:tabs>
              <w:suppressAutoHyphens/>
              <w:jc w:val="center"/>
              <w:rPr>
                <w:rFonts w:ascii="Arial" w:hAnsi="Arial"/>
                <w:spacing w:val="-3"/>
              </w:rPr>
            </w:pPr>
          </w:p>
          <w:p w:rsidR="002C138A" w:rsidRDefault="002C138A" w:rsidP="00B10799">
            <w:pPr>
              <w:tabs>
                <w:tab w:val="left" w:pos="-720"/>
              </w:tabs>
              <w:suppressAutoHyphens/>
              <w:jc w:val="center"/>
              <w:rPr>
                <w:rFonts w:ascii="Arial" w:hAnsi="Arial"/>
                <w:spacing w:val="-3"/>
              </w:rPr>
            </w:pPr>
          </w:p>
          <w:p w:rsidR="002C138A" w:rsidRDefault="002C138A" w:rsidP="00B10799">
            <w:pPr>
              <w:tabs>
                <w:tab w:val="left" w:pos="-720"/>
              </w:tabs>
              <w:suppressAutoHyphens/>
              <w:jc w:val="center"/>
              <w:rPr>
                <w:rFonts w:ascii="Arial" w:hAnsi="Arial"/>
                <w:spacing w:val="-3"/>
              </w:rPr>
            </w:pPr>
          </w:p>
          <w:p w:rsidR="002C138A" w:rsidRDefault="002C138A" w:rsidP="00B10799">
            <w:pPr>
              <w:tabs>
                <w:tab w:val="left" w:pos="-720"/>
              </w:tabs>
              <w:suppressAutoHyphens/>
              <w:jc w:val="center"/>
              <w:rPr>
                <w:rFonts w:ascii="Arial" w:hAnsi="Arial"/>
                <w:spacing w:val="-3"/>
              </w:rPr>
            </w:pPr>
            <w:r>
              <w:rPr>
                <w:rFonts w:ascii="Arial" w:hAnsi="Arial"/>
                <w:spacing w:val="-3"/>
              </w:rPr>
              <w:t>PASS required</w:t>
            </w:r>
          </w:p>
        </w:tc>
        <w:tc>
          <w:tcPr>
            <w:tcW w:w="5245" w:type="dxa"/>
            <w:tcBorders>
              <w:top w:val="single" w:sz="6" w:space="0" w:color="auto"/>
              <w:left w:val="single" w:sz="6" w:space="0" w:color="auto"/>
              <w:bottom w:val="single" w:sz="4" w:space="0" w:color="auto"/>
              <w:right w:val="single" w:sz="4" w:space="0" w:color="auto"/>
            </w:tcBorders>
          </w:tcPr>
          <w:p w:rsidR="002C138A" w:rsidRDefault="002C138A" w:rsidP="00B10799">
            <w:pPr>
              <w:rPr>
                <w:rFonts w:ascii="Arial" w:hAnsi="Arial"/>
              </w:rPr>
            </w:pPr>
            <w:r>
              <w:rPr>
                <w:rFonts w:ascii="Arial" w:hAnsi="Arial"/>
              </w:rPr>
              <w:t xml:space="preserve">Satisfactory attendance and performance at all scheduled coursework sessions which are workshops, dispensing laboratories, placements and seminars* </w:t>
            </w:r>
          </w:p>
          <w:p w:rsidR="002C138A" w:rsidRDefault="002C138A" w:rsidP="00B10799">
            <w:pPr>
              <w:pStyle w:val="Header"/>
              <w:tabs>
                <w:tab w:val="clear" w:pos="4153"/>
                <w:tab w:val="clear" w:pos="8306"/>
              </w:tabs>
              <w:rPr>
                <w:lang w:val="en-GB"/>
              </w:rPr>
            </w:pPr>
          </w:p>
          <w:p w:rsidR="002C138A" w:rsidRDefault="002C138A" w:rsidP="00B10799">
            <w:pPr>
              <w:rPr>
                <w:rFonts w:ascii="Arial" w:hAnsi="Arial"/>
              </w:rPr>
            </w:pPr>
            <w:r>
              <w:rPr>
                <w:rFonts w:ascii="Arial" w:hAnsi="Arial"/>
              </w:rPr>
              <w:t>Interim assessments: MCQ (1x10%)</w:t>
            </w:r>
          </w:p>
          <w:p w:rsidR="002C138A" w:rsidRDefault="002C138A" w:rsidP="00B10799">
            <w:pPr>
              <w:rPr>
                <w:rFonts w:ascii="Arial" w:hAnsi="Arial"/>
              </w:rPr>
            </w:pPr>
            <w:r>
              <w:rPr>
                <w:rFonts w:ascii="Arial" w:hAnsi="Arial"/>
              </w:rPr>
              <w:t>Written assessment: (1 x 10%)</w:t>
            </w:r>
          </w:p>
          <w:p w:rsidR="002C138A" w:rsidRDefault="002C138A" w:rsidP="00B10799">
            <w:pPr>
              <w:rPr>
                <w:rFonts w:ascii="Arial" w:hAnsi="Arial"/>
              </w:rPr>
            </w:pPr>
            <w:r>
              <w:rPr>
                <w:rFonts w:ascii="Arial" w:hAnsi="Arial"/>
              </w:rPr>
              <w:t>1 hr Practical dispensing exam (1 x 20%)</w:t>
            </w:r>
          </w:p>
          <w:p w:rsidR="002C138A" w:rsidRDefault="002C138A" w:rsidP="00B10799">
            <w:pPr>
              <w:rPr>
                <w:rFonts w:ascii="Arial" w:hAnsi="Arial"/>
              </w:rPr>
            </w:pPr>
          </w:p>
          <w:p w:rsidR="002C138A" w:rsidRDefault="002C138A" w:rsidP="00B10799">
            <w:pPr>
              <w:rPr>
                <w:rFonts w:ascii="Arial" w:hAnsi="Arial"/>
              </w:rPr>
            </w:pPr>
            <w:r>
              <w:rPr>
                <w:rFonts w:ascii="Arial" w:hAnsi="Arial"/>
              </w:rPr>
              <w:t>MyFolio entry completed</w:t>
            </w:r>
          </w:p>
          <w:p w:rsidR="002C138A" w:rsidRDefault="002C138A" w:rsidP="00B10799">
            <w:pPr>
              <w:rPr>
                <w:rFonts w:ascii="Arial" w:hAnsi="Arial"/>
              </w:rPr>
            </w:pPr>
          </w:p>
        </w:tc>
      </w:tr>
      <w:tr w:rsidR="002C138A" w:rsidTr="00B10799">
        <w:tc>
          <w:tcPr>
            <w:tcW w:w="1418" w:type="dxa"/>
            <w:tcBorders>
              <w:top w:val="single" w:sz="6" w:space="0" w:color="auto"/>
              <w:left w:val="single" w:sz="4" w:space="0" w:color="auto"/>
              <w:bottom w:val="single" w:sz="4" w:space="0" w:color="auto"/>
            </w:tcBorders>
          </w:tcPr>
          <w:p w:rsidR="002C138A" w:rsidRDefault="002C138A" w:rsidP="00B10799">
            <w:pPr>
              <w:tabs>
                <w:tab w:val="left" w:pos="-720"/>
              </w:tabs>
              <w:suppressAutoHyphens/>
              <w:rPr>
                <w:rFonts w:ascii="Arial" w:hAnsi="Arial"/>
                <w:b/>
                <w:spacing w:val="-3"/>
              </w:rPr>
            </w:pPr>
            <w:r>
              <w:rPr>
                <w:rFonts w:ascii="Arial" w:hAnsi="Arial"/>
                <w:b/>
                <w:spacing w:val="-3"/>
              </w:rPr>
              <w:t>Dispensing Exams</w:t>
            </w:r>
          </w:p>
        </w:tc>
        <w:tc>
          <w:tcPr>
            <w:tcW w:w="1134" w:type="dxa"/>
            <w:tcBorders>
              <w:top w:val="single" w:sz="6" w:space="0" w:color="auto"/>
              <w:left w:val="single" w:sz="6" w:space="0" w:color="auto"/>
              <w:bottom w:val="single" w:sz="4" w:space="0" w:color="auto"/>
              <w:right w:val="single" w:sz="6" w:space="0" w:color="auto"/>
            </w:tcBorders>
          </w:tcPr>
          <w:p w:rsidR="002C138A" w:rsidRDefault="002C138A" w:rsidP="00B10799">
            <w:pPr>
              <w:tabs>
                <w:tab w:val="left" w:pos="-720"/>
              </w:tabs>
              <w:suppressAutoHyphens/>
              <w:jc w:val="center"/>
              <w:rPr>
                <w:rFonts w:ascii="Arial" w:hAnsi="Arial"/>
                <w:spacing w:val="-3"/>
              </w:rPr>
            </w:pPr>
            <w:r>
              <w:rPr>
                <w:rFonts w:ascii="Arial" w:hAnsi="Arial"/>
                <w:spacing w:val="-3"/>
              </w:rPr>
              <w:t>1-6</w:t>
            </w:r>
          </w:p>
        </w:tc>
        <w:tc>
          <w:tcPr>
            <w:tcW w:w="1276" w:type="dxa"/>
            <w:tcBorders>
              <w:top w:val="single" w:sz="6" w:space="0" w:color="auto"/>
              <w:left w:val="single" w:sz="6" w:space="0" w:color="auto"/>
              <w:bottom w:val="single" w:sz="4" w:space="0" w:color="auto"/>
            </w:tcBorders>
          </w:tcPr>
          <w:p w:rsidR="002C138A" w:rsidRDefault="002C138A" w:rsidP="00B10799">
            <w:pPr>
              <w:tabs>
                <w:tab w:val="left" w:pos="-720"/>
              </w:tabs>
              <w:suppressAutoHyphens/>
              <w:jc w:val="center"/>
              <w:rPr>
                <w:rFonts w:ascii="Arial" w:hAnsi="Arial"/>
                <w:spacing w:val="-3"/>
              </w:rPr>
            </w:pPr>
            <w:r>
              <w:rPr>
                <w:rFonts w:ascii="Arial" w:hAnsi="Arial"/>
                <w:spacing w:val="-3"/>
              </w:rPr>
              <w:t>PASS</w:t>
            </w:r>
          </w:p>
        </w:tc>
        <w:tc>
          <w:tcPr>
            <w:tcW w:w="5245" w:type="dxa"/>
            <w:tcBorders>
              <w:top w:val="single" w:sz="6" w:space="0" w:color="auto"/>
              <w:left w:val="single" w:sz="6" w:space="0" w:color="auto"/>
              <w:bottom w:val="single" w:sz="4" w:space="0" w:color="auto"/>
              <w:right w:val="single" w:sz="4" w:space="0" w:color="auto"/>
            </w:tcBorders>
          </w:tcPr>
          <w:p w:rsidR="002C138A" w:rsidRDefault="002C138A" w:rsidP="00B10799">
            <w:pPr>
              <w:rPr>
                <w:rFonts w:ascii="Arial" w:hAnsi="Arial"/>
              </w:rPr>
            </w:pPr>
            <w:r>
              <w:rPr>
                <w:rFonts w:ascii="Arial" w:hAnsi="Arial"/>
              </w:rPr>
              <w:t>1 x 1 hour pharmaceutical calculations paper</w:t>
            </w:r>
          </w:p>
          <w:p w:rsidR="002C138A" w:rsidRDefault="002C138A" w:rsidP="00B10799">
            <w:pPr>
              <w:rPr>
                <w:rFonts w:ascii="Arial" w:hAnsi="Arial"/>
              </w:rPr>
            </w:pPr>
          </w:p>
        </w:tc>
      </w:tr>
      <w:tr w:rsidR="002C138A" w:rsidTr="00B10799">
        <w:tc>
          <w:tcPr>
            <w:tcW w:w="1418" w:type="dxa"/>
            <w:tcBorders>
              <w:top w:val="single" w:sz="4" w:space="0" w:color="auto"/>
              <w:left w:val="single" w:sz="4" w:space="0" w:color="auto"/>
              <w:bottom w:val="single" w:sz="4" w:space="0" w:color="auto"/>
            </w:tcBorders>
          </w:tcPr>
          <w:p w:rsidR="002C138A" w:rsidRDefault="002C138A" w:rsidP="00B10799">
            <w:pPr>
              <w:tabs>
                <w:tab w:val="left" w:pos="-720"/>
              </w:tabs>
              <w:suppressAutoHyphens/>
              <w:rPr>
                <w:rFonts w:ascii="Arial" w:hAnsi="Arial"/>
                <w:b/>
                <w:spacing w:val="-3"/>
              </w:rPr>
            </w:pPr>
            <w:r>
              <w:rPr>
                <w:rFonts w:ascii="Arial" w:hAnsi="Arial"/>
                <w:b/>
                <w:spacing w:val="-3"/>
              </w:rPr>
              <w:t>Examination</w:t>
            </w:r>
          </w:p>
        </w:tc>
        <w:tc>
          <w:tcPr>
            <w:tcW w:w="1134" w:type="dxa"/>
            <w:tcBorders>
              <w:top w:val="single" w:sz="4" w:space="0" w:color="auto"/>
              <w:left w:val="single" w:sz="6" w:space="0" w:color="auto"/>
              <w:bottom w:val="single" w:sz="4" w:space="0" w:color="auto"/>
              <w:right w:val="single" w:sz="6" w:space="0" w:color="auto"/>
            </w:tcBorders>
          </w:tcPr>
          <w:p w:rsidR="002C138A" w:rsidRDefault="002C138A" w:rsidP="00B10799">
            <w:pPr>
              <w:tabs>
                <w:tab w:val="left" w:pos="-720"/>
              </w:tabs>
              <w:suppressAutoHyphens/>
              <w:jc w:val="center"/>
              <w:rPr>
                <w:rFonts w:ascii="Arial" w:hAnsi="Arial"/>
                <w:spacing w:val="-3"/>
              </w:rPr>
            </w:pPr>
            <w:r>
              <w:rPr>
                <w:rFonts w:ascii="Arial" w:hAnsi="Arial"/>
                <w:spacing w:val="-3"/>
              </w:rPr>
              <w:t>1- 6</w:t>
            </w:r>
          </w:p>
          <w:p w:rsidR="002C138A" w:rsidRDefault="002C138A" w:rsidP="00B10799">
            <w:pPr>
              <w:tabs>
                <w:tab w:val="left" w:pos="-720"/>
              </w:tabs>
              <w:suppressAutoHyphens/>
              <w:jc w:val="center"/>
              <w:rPr>
                <w:rFonts w:ascii="Arial" w:hAnsi="Arial"/>
                <w:spacing w:val="-3"/>
              </w:rPr>
            </w:pPr>
          </w:p>
        </w:tc>
        <w:tc>
          <w:tcPr>
            <w:tcW w:w="1276" w:type="dxa"/>
            <w:tcBorders>
              <w:top w:val="single" w:sz="4" w:space="0" w:color="auto"/>
              <w:left w:val="single" w:sz="6" w:space="0" w:color="auto"/>
              <w:bottom w:val="single" w:sz="4" w:space="0" w:color="auto"/>
            </w:tcBorders>
          </w:tcPr>
          <w:p w:rsidR="002C138A" w:rsidRDefault="002C138A" w:rsidP="00B10799">
            <w:pPr>
              <w:tabs>
                <w:tab w:val="left" w:pos="-720"/>
              </w:tabs>
              <w:suppressAutoHyphens/>
              <w:jc w:val="center"/>
              <w:rPr>
                <w:rFonts w:ascii="Arial" w:hAnsi="Arial"/>
                <w:spacing w:val="-3"/>
              </w:rPr>
            </w:pPr>
            <w:r>
              <w:rPr>
                <w:rFonts w:ascii="Arial" w:hAnsi="Arial"/>
                <w:spacing w:val="-3"/>
              </w:rPr>
              <w:t>60%</w:t>
            </w:r>
          </w:p>
        </w:tc>
        <w:tc>
          <w:tcPr>
            <w:tcW w:w="5245" w:type="dxa"/>
            <w:tcBorders>
              <w:top w:val="single" w:sz="4" w:space="0" w:color="auto"/>
              <w:left w:val="single" w:sz="6" w:space="0" w:color="auto"/>
              <w:bottom w:val="single" w:sz="4" w:space="0" w:color="auto"/>
              <w:right w:val="single" w:sz="4" w:space="0" w:color="auto"/>
            </w:tcBorders>
          </w:tcPr>
          <w:p w:rsidR="002C138A" w:rsidRDefault="002C138A" w:rsidP="00B10799">
            <w:pPr>
              <w:rPr>
                <w:rFonts w:ascii="Arial" w:hAnsi="Arial"/>
              </w:rPr>
            </w:pPr>
            <w:r>
              <w:rPr>
                <w:rFonts w:ascii="Arial" w:hAnsi="Arial"/>
              </w:rPr>
              <w:t xml:space="preserve">1 x 3 hour examination </w:t>
            </w:r>
          </w:p>
        </w:tc>
      </w:tr>
    </w:tbl>
    <w:p w:rsidR="00B20CCC" w:rsidRPr="00B842DD" w:rsidRDefault="00B20CCC" w:rsidP="00B20CCC">
      <w:pPr>
        <w:jc w:val="both"/>
        <w:rPr>
          <w:rFonts w:ascii="Arial" w:hAnsi="Arial" w:cs="Arial"/>
        </w:rPr>
      </w:pPr>
      <w:r w:rsidRPr="00B842DD">
        <w:rPr>
          <w:rFonts w:ascii="Arial" w:hAnsi="Arial" w:cs="Arial"/>
        </w:rPr>
        <w:t xml:space="preserve">The pass mark for this module is </w:t>
      </w:r>
      <w:r w:rsidRPr="00B842DD">
        <w:rPr>
          <w:rFonts w:ascii="Arial" w:hAnsi="Arial" w:cs="Arial"/>
          <w:b/>
        </w:rPr>
        <w:t xml:space="preserve">50% overall </w:t>
      </w:r>
      <w:r w:rsidRPr="00B842DD">
        <w:rPr>
          <w:rFonts w:ascii="Arial" w:hAnsi="Arial" w:cs="Arial"/>
        </w:rPr>
        <w:t>with a minimum of 45% in each of the assessed elements</w:t>
      </w:r>
      <w:r>
        <w:rPr>
          <w:rFonts w:ascii="Arial" w:hAnsi="Arial" w:cs="Arial"/>
        </w:rPr>
        <w:t xml:space="preserve"> (coursework and examination)</w:t>
      </w:r>
      <w:r w:rsidRPr="00B842DD">
        <w:rPr>
          <w:rFonts w:ascii="Arial" w:hAnsi="Arial" w:cs="Arial"/>
        </w:rPr>
        <w:t>.</w:t>
      </w:r>
    </w:p>
    <w:p w:rsidR="00B20CCC" w:rsidRPr="00B842DD" w:rsidRDefault="00B20CCC" w:rsidP="00B20CCC">
      <w:pPr>
        <w:jc w:val="both"/>
        <w:rPr>
          <w:rFonts w:ascii="Arial" w:hAnsi="Arial" w:cs="Arial"/>
        </w:rPr>
      </w:pPr>
      <w:r w:rsidRPr="00B842DD">
        <w:rPr>
          <w:rFonts w:ascii="Arial" w:hAnsi="Arial" w:cs="Arial"/>
        </w:rPr>
        <w:t xml:space="preserve"> </w:t>
      </w:r>
    </w:p>
    <w:p w:rsidR="00B20CCC" w:rsidRDefault="00B20CCC" w:rsidP="00B20CCC">
      <w:pPr>
        <w:jc w:val="both"/>
        <w:rPr>
          <w:rFonts w:ascii="Arial" w:hAnsi="Arial"/>
        </w:rPr>
      </w:pPr>
      <w:r>
        <w:rPr>
          <w:rFonts w:ascii="Arial" w:hAnsi="Arial"/>
        </w:rPr>
        <w:t>Written assessment</w:t>
      </w:r>
    </w:p>
    <w:p w:rsidR="00B20CCC" w:rsidRDefault="00B20CCC" w:rsidP="00B20CCC">
      <w:pPr>
        <w:jc w:val="both"/>
        <w:rPr>
          <w:rFonts w:ascii="Arial" w:hAnsi="Arial"/>
        </w:rPr>
      </w:pPr>
      <w:r>
        <w:rPr>
          <w:rFonts w:ascii="Arial" w:hAnsi="Arial"/>
        </w:rPr>
        <w:t>Students will be given ONE formative attempt at the written assessment and provided with feedback prior to the summative assessment.</w:t>
      </w:r>
    </w:p>
    <w:p w:rsidR="00B20CCC" w:rsidRDefault="00B20CCC" w:rsidP="00B20CCC">
      <w:pPr>
        <w:jc w:val="both"/>
        <w:rPr>
          <w:rFonts w:ascii="Arial" w:hAnsi="Arial"/>
        </w:rPr>
      </w:pPr>
    </w:p>
    <w:p w:rsidR="00B20CCC" w:rsidRDefault="00B20CCC" w:rsidP="00B20CCC">
      <w:pPr>
        <w:jc w:val="both"/>
        <w:rPr>
          <w:rFonts w:ascii="Arial" w:hAnsi="Arial"/>
        </w:rPr>
      </w:pPr>
      <w:r>
        <w:rPr>
          <w:rFonts w:ascii="Arial" w:hAnsi="Arial"/>
        </w:rPr>
        <w:t>Dispensing exam</w:t>
      </w:r>
    </w:p>
    <w:p w:rsidR="00B20CCC" w:rsidRDefault="00B20CCC" w:rsidP="00B20CCC">
      <w:pPr>
        <w:jc w:val="both"/>
        <w:rPr>
          <w:rFonts w:ascii="Arial" w:hAnsi="Arial"/>
        </w:rPr>
      </w:pPr>
      <w:r>
        <w:rPr>
          <w:rFonts w:ascii="Arial" w:hAnsi="Arial"/>
        </w:rPr>
        <w:t>Students will be given ONE formative attempt at the practical dispensing exam and provided with feedback prior to the summative assessment. Whilst the dispensing exam is graded, students making a serious dispensing error which leads to potential harm to the patient will automatically fail the dispensing exam.</w:t>
      </w:r>
    </w:p>
    <w:p w:rsidR="00B20CCC" w:rsidRDefault="00B20CCC" w:rsidP="00B20CCC">
      <w:pPr>
        <w:jc w:val="both"/>
        <w:rPr>
          <w:rFonts w:ascii="Arial" w:hAnsi="Arial"/>
        </w:rPr>
      </w:pPr>
    </w:p>
    <w:p w:rsidR="00B20CCC" w:rsidRDefault="00B20CCC" w:rsidP="00B20CCC">
      <w:pPr>
        <w:jc w:val="both"/>
        <w:rPr>
          <w:rFonts w:ascii="Arial" w:hAnsi="Arial"/>
        </w:rPr>
      </w:pPr>
      <w:r>
        <w:rPr>
          <w:rFonts w:ascii="Arial" w:hAnsi="Arial"/>
        </w:rPr>
        <w:t xml:space="preserve">Pharmaceutical calculations paper: Students must attain 70% to gain a pass. </w:t>
      </w:r>
    </w:p>
    <w:p w:rsidR="00B20CCC" w:rsidRDefault="00B20CCC" w:rsidP="00B20CCC">
      <w:pPr>
        <w:jc w:val="both"/>
        <w:rPr>
          <w:rFonts w:ascii="Arial" w:hAnsi="Arial"/>
        </w:rPr>
      </w:pPr>
      <w:r>
        <w:rPr>
          <w:rFonts w:ascii="Arial" w:hAnsi="Arial"/>
        </w:rPr>
        <w:t xml:space="preserve">This is mandatory for progression to stage 3 i.e. this is a Pass / Fail grading at 70% </w:t>
      </w:r>
    </w:p>
    <w:p w:rsidR="00B20CCC" w:rsidRDefault="00B20CCC" w:rsidP="00B20CCC">
      <w:pPr>
        <w:jc w:val="both"/>
        <w:rPr>
          <w:rFonts w:ascii="Arial" w:hAnsi="Arial"/>
        </w:rPr>
      </w:pPr>
      <w:r>
        <w:rPr>
          <w:rFonts w:ascii="Arial" w:hAnsi="Arial"/>
        </w:rPr>
        <w:t>Students will be given 2 attempts prior to the exam board, with the option of a third and final attempt at the discretion of the exam board</w:t>
      </w:r>
    </w:p>
    <w:p w:rsidR="00B20CCC" w:rsidRDefault="00B20CCC" w:rsidP="00B20CCC">
      <w:pPr>
        <w:jc w:val="both"/>
        <w:rPr>
          <w:rFonts w:ascii="Arial" w:hAnsi="Arial"/>
        </w:rPr>
      </w:pPr>
    </w:p>
    <w:p w:rsidR="00B20CCC" w:rsidRDefault="00B20CCC" w:rsidP="00B20CCC">
      <w:pPr>
        <w:jc w:val="both"/>
        <w:rPr>
          <w:rFonts w:ascii="Arial" w:hAnsi="Arial"/>
        </w:rPr>
      </w:pPr>
      <w:r>
        <w:rPr>
          <w:rFonts w:ascii="Arial" w:hAnsi="Arial"/>
        </w:rPr>
        <w:t xml:space="preserve">Additionally lab books / worksheets/ placement handbooks must be maintained to the required standard. </w:t>
      </w:r>
    </w:p>
    <w:p w:rsidR="00B20CCC" w:rsidRDefault="00B20CCC" w:rsidP="00B20CCC">
      <w:pPr>
        <w:jc w:val="both"/>
        <w:rPr>
          <w:rFonts w:ascii="Arial" w:hAnsi="Arial"/>
        </w:rPr>
      </w:pPr>
    </w:p>
    <w:p w:rsidR="00B20CCC" w:rsidRDefault="00B20CCC" w:rsidP="00B20CCC">
      <w:pPr>
        <w:jc w:val="both"/>
        <w:rPr>
          <w:rFonts w:ascii="Arial" w:hAnsi="Arial"/>
        </w:rPr>
      </w:pPr>
      <w:r>
        <w:rPr>
          <w:rFonts w:ascii="Arial" w:hAnsi="Arial"/>
        </w:rPr>
        <w:t xml:space="preserve">It should also be noted that neither compensation nor condonement may be applied to this course. </w:t>
      </w:r>
    </w:p>
    <w:p w:rsidR="00B20CCC" w:rsidRDefault="00B20CCC" w:rsidP="00B20CCC">
      <w:pPr>
        <w:jc w:val="both"/>
        <w:rPr>
          <w:rFonts w:ascii="Arial" w:hAnsi="Arial"/>
        </w:rPr>
      </w:pPr>
    </w:p>
    <w:p w:rsidR="00B20CCC" w:rsidRDefault="00B20CCC" w:rsidP="00B20CCC">
      <w:pPr>
        <w:jc w:val="both"/>
        <w:rPr>
          <w:rFonts w:ascii="Arial" w:hAnsi="Arial"/>
        </w:rPr>
      </w:pPr>
      <w:r>
        <w:rPr>
          <w:rFonts w:ascii="Arial" w:hAnsi="Arial"/>
        </w:rPr>
        <w:t xml:space="preserve">The pass mark of 50% is required by the professional regulator for all professional modules in the MPharm programme. </w:t>
      </w:r>
    </w:p>
    <w:p w:rsidR="00B20CCC" w:rsidRDefault="00B20CCC" w:rsidP="00B20CCC">
      <w:pPr>
        <w:jc w:val="both"/>
        <w:rPr>
          <w:rFonts w:ascii="Arial" w:hAnsi="Arial"/>
        </w:rPr>
      </w:pPr>
    </w:p>
    <w:p w:rsidR="00B20CCC" w:rsidRDefault="00B20CCC" w:rsidP="00B20CCC">
      <w:pPr>
        <w:jc w:val="both"/>
        <w:rPr>
          <w:rFonts w:ascii="Arial" w:hAnsi="Arial"/>
        </w:rPr>
      </w:pPr>
      <w:r>
        <w:rPr>
          <w:rFonts w:ascii="Arial" w:hAnsi="Arial"/>
        </w:rPr>
        <w:t xml:space="preserve">The 70% assessment mark in calculations mirrors the mark required to pass the registration examination and is used to help us prepare students and test them at a level to </w:t>
      </w:r>
      <w:r w:rsidRPr="001F5F2B">
        <w:rPr>
          <w:rFonts w:ascii="Arial" w:hAnsi="Arial"/>
        </w:rPr>
        <w:t xml:space="preserve">help them develop the ability to accurately perform calculations in the time pressured conditions they will face when aiming to register as a pharmacist.  </w:t>
      </w:r>
    </w:p>
    <w:p w:rsidR="002C138A" w:rsidRPr="001F5F2B" w:rsidRDefault="002C138A" w:rsidP="002C138A">
      <w:pPr>
        <w:tabs>
          <w:tab w:val="left" w:pos="426"/>
        </w:tabs>
        <w:spacing w:after="120"/>
        <w:jc w:val="both"/>
        <w:rPr>
          <w:rFonts w:ascii="Arial" w:hAnsi="Arial"/>
        </w:rPr>
      </w:pPr>
      <w:r w:rsidRPr="001F5F2B">
        <w:rPr>
          <w:rFonts w:ascii="Arial" w:hAnsi="Arial"/>
        </w:rPr>
        <w:t xml:space="preserve">* Satisfactory attendance and performance at all scheduled coursework sessions is normally defined as a minimum of 80% attendance (all classes excluding lectures). </w:t>
      </w:r>
    </w:p>
    <w:p w:rsidR="002C138A" w:rsidRPr="001F5F2B" w:rsidRDefault="002C138A" w:rsidP="002C138A">
      <w:pPr>
        <w:tabs>
          <w:tab w:val="left" w:pos="426"/>
        </w:tabs>
        <w:spacing w:after="120"/>
        <w:jc w:val="both"/>
        <w:rPr>
          <w:rFonts w:ascii="Arial" w:hAnsi="Arial"/>
        </w:rPr>
      </w:pPr>
      <w:r w:rsidRPr="001F5F2B">
        <w:rPr>
          <w:rFonts w:ascii="Arial" w:hAnsi="Arial"/>
        </w:rPr>
        <w:t xml:space="preserve">Note: Each day of placement activity is equivalent to 2 laboratories/workshops. </w:t>
      </w:r>
    </w:p>
    <w:p w:rsidR="002C138A" w:rsidRDefault="002C138A" w:rsidP="002C138A">
      <w:pPr>
        <w:tabs>
          <w:tab w:val="left" w:pos="426"/>
        </w:tabs>
        <w:spacing w:after="120"/>
        <w:jc w:val="both"/>
        <w:rPr>
          <w:rFonts w:ascii="Arial" w:hAnsi="Arial"/>
        </w:rPr>
      </w:pPr>
      <w:r w:rsidRPr="001F5F2B">
        <w:rPr>
          <w:rFonts w:ascii="Arial" w:hAnsi="Arial"/>
        </w:rPr>
        <w:t>Community Pharmacy Placements: Students who have completed the FdPP programme are exempt from attending community pharmacy placement in PP2 due to their previous academic placement experience.</w:t>
      </w:r>
    </w:p>
    <w:p w:rsidR="00B20CCC" w:rsidRPr="001F5F2B" w:rsidRDefault="00B20CCC" w:rsidP="00B20CCC">
      <w:pPr>
        <w:tabs>
          <w:tab w:val="left" w:pos="426"/>
        </w:tabs>
        <w:spacing w:after="120"/>
        <w:jc w:val="both"/>
        <w:rPr>
          <w:rFonts w:ascii="Arial" w:hAnsi="Arial"/>
        </w:rPr>
      </w:pPr>
      <w:r>
        <w:rPr>
          <w:rFonts w:ascii="Arial" w:hAnsi="Arial"/>
        </w:rPr>
        <w:t>Failure to attend the minimum number of taught sessions can result in a capped mark. Capped  marks will be 50% for this module</w:t>
      </w:r>
    </w:p>
    <w:p w:rsidR="00B20CCC" w:rsidRPr="001F5F2B" w:rsidRDefault="00B20CCC" w:rsidP="002C138A">
      <w:pPr>
        <w:tabs>
          <w:tab w:val="left" w:pos="426"/>
        </w:tabs>
        <w:spacing w:after="120"/>
        <w:jc w:val="both"/>
        <w:rPr>
          <w:rFonts w:ascii="Arial" w:hAnsi="Arial"/>
        </w:rPr>
      </w:pPr>
    </w:p>
    <w:p w:rsidR="003473CE" w:rsidRPr="00C80804" w:rsidRDefault="003473CE" w:rsidP="00C80804">
      <w:pPr>
        <w:numPr>
          <w:ilvl w:val="0"/>
          <w:numId w:val="6"/>
        </w:numPr>
        <w:spacing w:after="120"/>
        <w:ind w:left="426" w:hanging="426"/>
        <w:jc w:val="both"/>
        <w:rPr>
          <w:rFonts w:ascii="Arial" w:hAnsi="Arial" w:cs="Arial"/>
        </w:rPr>
      </w:pPr>
      <w:r w:rsidRPr="00C80804">
        <w:rPr>
          <w:rFonts w:ascii="Arial" w:hAnsi="Arial" w:cs="Arial"/>
        </w:rPr>
        <w:t>Implications for learning resources, including staff, library, IT and space</w:t>
      </w:r>
    </w:p>
    <w:p w:rsidR="002C138A" w:rsidRDefault="002C138A" w:rsidP="002C138A">
      <w:pPr>
        <w:pStyle w:val="Heading9"/>
        <w:numPr>
          <w:ilvl w:val="0"/>
          <w:numId w:val="0"/>
        </w:numPr>
        <w:jc w:val="both"/>
        <w:rPr>
          <w:rFonts w:ascii="Arial" w:hAnsi="Arial"/>
          <w:sz w:val="20"/>
        </w:rPr>
      </w:pPr>
      <w:r>
        <w:rPr>
          <w:rFonts w:ascii="Arial" w:hAnsi="Arial"/>
          <w:sz w:val="20"/>
        </w:rPr>
        <w:t>There are no additional requirements beyond standard MPharm space and services.</w:t>
      </w:r>
    </w:p>
    <w:p w:rsidR="008A7AAD" w:rsidRPr="00C80804" w:rsidRDefault="008A7AAD" w:rsidP="00C80804">
      <w:pPr>
        <w:numPr>
          <w:ilvl w:val="0"/>
          <w:numId w:val="6"/>
        </w:numPr>
        <w:spacing w:after="120"/>
        <w:ind w:left="426" w:hanging="426"/>
        <w:jc w:val="both"/>
        <w:rPr>
          <w:rFonts w:ascii="Arial" w:hAnsi="Arial" w:cs="Arial"/>
        </w:rPr>
      </w:pPr>
      <w:r w:rsidRPr="00C80804">
        <w:rPr>
          <w:rFonts w:ascii="Arial" w:hAnsi="Arial" w:cs="Arial"/>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w:t>
      </w:r>
      <w:r w:rsidR="003D708E" w:rsidRPr="00C80804">
        <w:rPr>
          <w:rFonts w:ascii="Arial" w:hAnsi="Arial" w:cs="Arial"/>
        </w:rPr>
        <w:t xml:space="preserve"> disability/</w:t>
      </w:r>
      <w:r w:rsidRPr="00C80804">
        <w:rPr>
          <w:rFonts w:ascii="Arial" w:hAnsi="Arial" w:cs="Arial"/>
        </w:rPr>
        <w:t>dyslexia support service, and specialist support will be provided where needed.</w:t>
      </w:r>
    </w:p>
    <w:p w:rsidR="002C138A" w:rsidRDefault="002C138A" w:rsidP="002C138A">
      <w:pPr>
        <w:spacing w:after="120"/>
        <w:jc w:val="both"/>
        <w:rPr>
          <w:rFonts w:ascii="Arial" w:hAnsi="Arial"/>
          <w:b/>
        </w:rPr>
      </w:pPr>
      <w:r>
        <w:rPr>
          <w:rStyle w:val="Strong"/>
          <w:rFonts w:ascii="Arial" w:hAnsi="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D32D40" w:rsidRDefault="00D32D40" w:rsidP="00D32D40">
      <w:pPr>
        <w:ind w:left="426"/>
        <w:rPr>
          <w:rFonts w:ascii="Arial" w:hAnsi="Arial" w:cs="Arial"/>
          <w:i/>
          <w:iCs/>
          <w:color w:val="0000FF"/>
        </w:rPr>
      </w:pPr>
    </w:p>
    <w:p w:rsidR="008A7AAD" w:rsidRDefault="007B3489" w:rsidP="00D32D40">
      <w:pPr>
        <w:rPr>
          <w:rFonts w:ascii="Arial" w:hAnsi="Arial" w:cs="Arial"/>
          <w:b/>
          <w:i/>
        </w:rPr>
      </w:pPr>
      <w:r w:rsidRPr="008A7AAD">
        <w:rPr>
          <w:rFonts w:ascii="Arial" w:hAnsi="Arial" w:cs="Arial"/>
          <w:b/>
          <w:i/>
        </w:rPr>
        <w:t xml:space="preserve">If the module is part of a programme in </w:t>
      </w:r>
      <w:r w:rsidR="00BF5A64" w:rsidRPr="008A7AAD">
        <w:rPr>
          <w:rFonts w:ascii="Arial" w:hAnsi="Arial" w:cs="Arial"/>
          <w:b/>
          <w:i/>
        </w:rPr>
        <w:t>a</w:t>
      </w:r>
      <w:r w:rsidR="00D601C7">
        <w:rPr>
          <w:rFonts w:ascii="Arial" w:hAnsi="Arial" w:cs="Arial"/>
          <w:b/>
          <w:i/>
        </w:rPr>
        <w:t xml:space="preserve"> Partner </w:t>
      </w:r>
      <w:r w:rsidRPr="008A7AAD">
        <w:rPr>
          <w:rFonts w:ascii="Arial" w:hAnsi="Arial" w:cs="Arial"/>
          <w:b/>
          <w:i/>
        </w:rPr>
        <w:t>College</w:t>
      </w:r>
      <w:r w:rsidR="00D601C7">
        <w:rPr>
          <w:rFonts w:ascii="Arial" w:hAnsi="Arial" w:cs="Arial"/>
          <w:b/>
          <w:i/>
        </w:rPr>
        <w:t xml:space="preserve"> or Validated Institution</w:t>
      </w:r>
      <w:r w:rsidRPr="008A7AAD">
        <w:rPr>
          <w:rFonts w:ascii="Arial" w:hAnsi="Arial" w:cs="Arial"/>
          <w:b/>
          <w:i/>
        </w:rPr>
        <w:t>, please complete the following:</w:t>
      </w:r>
    </w:p>
    <w:p w:rsidR="00D32D40" w:rsidRPr="008A7AAD" w:rsidRDefault="00D32D40" w:rsidP="00D32D40">
      <w:pPr>
        <w:rPr>
          <w:rFonts w:ascii="Arial" w:hAnsi="Arial" w:cs="Arial"/>
          <w:b/>
          <w:i/>
        </w:rPr>
      </w:pPr>
    </w:p>
    <w:p w:rsidR="007B3489" w:rsidRPr="008A7AAD" w:rsidRDefault="00B565C9" w:rsidP="00D32D40">
      <w:pPr>
        <w:numPr>
          <w:ilvl w:val="0"/>
          <w:numId w:val="6"/>
        </w:numPr>
        <w:spacing w:after="120"/>
        <w:ind w:left="426" w:hanging="426"/>
        <w:jc w:val="both"/>
        <w:rPr>
          <w:rFonts w:ascii="Arial" w:hAnsi="Arial" w:cs="Arial"/>
          <w:b/>
        </w:rPr>
      </w:pPr>
      <w:r>
        <w:rPr>
          <w:rFonts w:ascii="Arial" w:hAnsi="Arial" w:cs="Arial"/>
        </w:rPr>
        <w:t>Campus(es) where module will be delivered</w:t>
      </w:r>
      <w:r w:rsidR="007B3489" w:rsidRPr="008A7AAD">
        <w:rPr>
          <w:rFonts w:ascii="Arial" w:hAnsi="Arial" w:cs="Arial"/>
        </w:rPr>
        <w:t>:</w:t>
      </w:r>
    </w:p>
    <w:p w:rsidR="00D32D40" w:rsidRPr="00B565C9" w:rsidRDefault="00B565C9" w:rsidP="00B565C9">
      <w:pPr>
        <w:numPr>
          <w:ilvl w:val="0"/>
          <w:numId w:val="6"/>
        </w:numPr>
        <w:pBdr>
          <w:bottom w:val="single" w:sz="6" w:space="16" w:color="auto"/>
        </w:pBdr>
        <w:spacing w:after="120"/>
        <w:ind w:left="426" w:hanging="426"/>
        <w:jc w:val="both"/>
        <w:rPr>
          <w:rFonts w:ascii="Arial" w:hAnsi="Arial" w:cs="Arial"/>
          <w:b/>
        </w:rPr>
      </w:pPr>
      <w:r>
        <w:rPr>
          <w:rFonts w:ascii="Arial" w:hAnsi="Arial" w:cs="Arial"/>
        </w:rPr>
        <w:t>Partner College / Validated Institution:</w:t>
      </w:r>
    </w:p>
    <w:p w:rsidR="00B565C9" w:rsidRPr="00D32D40" w:rsidRDefault="00B565C9" w:rsidP="00B565C9">
      <w:pPr>
        <w:numPr>
          <w:ilvl w:val="0"/>
          <w:numId w:val="6"/>
        </w:numPr>
        <w:pBdr>
          <w:bottom w:val="single" w:sz="6" w:space="16" w:color="auto"/>
        </w:pBdr>
        <w:spacing w:after="120"/>
        <w:ind w:left="426" w:hanging="426"/>
        <w:jc w:val="both"/>
        <w:rPr>
          <w:rFonts w:ascii="Arial" w:hAnsi="Arial" w:cs="Arial"/>
          <w:b/>
        </w:rPr>
      </w:pPr>
      <w:r>
        <w:rPr>
          <w:rFonts w:ascii="Arial" w:hAnsi="Arial" w:cs="Arial"/>
        </w:rPr>
        <w:t>University School (for cognate programmes) or Faculty (for non-cognate programmes) responsible for the programme:</w:t>
      </w:r>
    </w:p>
    <w:p w:rsidR="00D32D40" w:rsidRPr="00D32D40" w:rsidRDefault="00D32D40" w:rsidP="00D32D40">
      <w:pPr>
        <w:pBdr>
          <w:bottom w:val="single" w:sz="6" w:space="16" w:color="auto"/>
        </w:pBdr>
        <w:spacing w:after="120"/>
        <w:jc w:val="both"/>
        <w:rPr>
          <w:rFonts w:ascii="Arial" w:hAnsi="Arial" w:cs="Arial"/>
          <w:b/>
        </w:rPr>
      </w:pPr>
    </w:p>
    <w:p w:rsidR="007B3489" w:rsidRPr="00D32D40" w:rsidRDefault="007B3489" w:rsidP="00D32D40">
      <w:pPr>
        <w:pBdr>
          <w:bottom w:val="single" w:sz="6" w:space="1" w:color="auto"/>
        </w:pBdr>
        <w:spacing w:after="120"/>
        <w:jc w:val="both"/>
        <w:rPr>
          <w:rFonts w:ascii="Arial" w:hAnsi="Arial" w:cs="Arial"/>
          <w:b/>
        </w:rPr>
      </w:pPr>
      <w:r w:rsidRPr="00D32D40">
        <w:rPr>
          <w:rFonts w:ascii="Arial" w:hAnsi="Arial" w:cs="Arial"/>
          <w:b/>
        </w:rPr>
        <w:t>SECTION 2: MODULE IS PART OF</w:t>
      </w:r>
      <w:r w:rsidR="004E34EB" w:rsidRPr="00D32D40">
        <w:rPr>
          <w:rFonts w:ascii="Arial" w:hAnsi="Arial" w:cs="Arial"/>
          <w:b/>
        </w:rPr>
        <w:t xml:space="preserve"> A</w:t>
      </w:r>
      <w:r w:rsidRPr="00D32D40">
        <w:rPr>
          <w:rFonts w:ascii="Arial" w:hAnsi="Arial" w:cs="Arial"/>
          <w:b/>
        </w:rPr>
        <w:t xml:space="preserve"> PROGRAMME OF STUDY</w:t>
      </w:r>
      <w:r w:rsidR="004E34EB" w:rsidRPr="00D32D40">
        <w:rPr>
          <w:rFonts w:ascii="Arial" w:hAnsi="Arial" w:cs="Arial"/>
          <w:b/>
        </w:rPr>
        <w:t xml:space="preserve"> IN A UNIVERSITY </w:t>
      </w:r>
      <w:r w:rsidR="004A63A1" w:rsidRPr="00D32D40">
        <w:rPr>
          <w:rFonts w:ascii="Arial" w:hAnsi="Arial" w:cs="Arial"/>
          <w:b/>
        </w:rPr>
        <w:t>SCHOOL</w:t>
      </w: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w:t>
      </w:r>
      <w:r w:rsidR="004A63A1">
        <w:rPr>
          <w:rFonts w:ascii="Arial" w:hAnsi="Arial" w:cs="Arial"/>
          <w:b/>
        </w:rPr>
        <w:t xml:space="preserve">School </w:t>
      </w:r>
      <w:r w:rsidRPr="00464BA7">
        <w:rPr>
          <w:rFonts w:ascii="Arial" w:hAnsi="Arial" w:cs="Arial"/>
          <w:b/>
        </w:rPr>
        <w:t>Director of Learning and Teaching</w:t>
      </w:r>
      <w:r w:rsidR="004A63A1">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lastRenderedPageBreak/>
              <w:t>Director of Learning and Teaching</w:t>
            </w:r>
            <w:r w:rsidR="004A63A1">
              <w:rPr>
                <w:rFonts w:ascii="Arial" w:hAnsi="Arial" w:cs="Arial"/>
              </w:rPr>
              <w:t>/Director of Graduate Studies (delete as applicable)</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lastRenderedPageBreak/>
              <w:t>Date</w:t>
            </w:r>
          </w:p>
        </w:tc>
      </w:tr>
    </w:tbl>
    <w:p w:rsidR="003D708E" w:rsidRDefault="003D708E" w:rsidP="008A7AAD">
      <w:pPr>
        <w:spacing w:after="120"/>
        <w:jc w:val="both"/>
        <w:rPr>
          <w:rFonts w:ascii="Arial" w:hAnsi="Arial" w:cs="Arial"/>
          <w:b/>
        </w:rPr>
      </w:pPr>
    </w:p>
    <w:p w:rsidR="0091725B" w:rsidRPr="00464BA7" w:rsidRDefault="0091725B" w:rsidP="008A7AAD">
      <w:pPr>
        <w:spacing w:after="120"/>
        <w:jc w:val="both"/>
        <w:rPr>
          <w:rFonts w:ascii="Arial" w:hAnsi="Arial" w:cs="Arial"/>
        </w:rPr>
      </w:pPr>
      <w:r w:rsidRPr="00464BA7">
        <w:rPr>
          <w:rFonts w:ascii="Arial" w:hAnsi="Arial" w:cs="Arial"/>
          <w:b/>
        </w:rPr>
        <w:t xml:space="preserve">Statement by the Head of </w:t>
      </w:r>
      <w:r w:rsidR="004A63A1">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sidR="004A63A1">
        <w:rPr>
          <w:rFonts w:ascii="Arial" w:hAnsi="Arial" w:cs="Arial"/>
        </w:rPr>
        <w:t>School</w:t>
      </w:r>
      <w:r w:rsidRPr="00464BA7">
        <w:rPr>
          <w:rFonts w:ascii="Arial" w:hAnsi="Arial" w:cs="Arial"/>
        </w:rPr>
        <w:t xml:space="preserve"> has approved the introduction of the module and, where the module is proposed by </w:t>
      </w:r>
      <w:r w:rsidR="004A63A1">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91725B" w:rsidRPr="00464BA7">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rPr>
              <w:t xml:space="preserve">Head of </w:t>
            </w:r>
            <w:r w:rsidR="004A63A1">
              <w:rPr>
                <w:rFonts w:ascii="Arial" w:hAnsi="Arial" w:cs="Arial"/>
              </w:rPr>
              <w:t>School</w:t>
            </w:r>
          </w:p>
          <w:p w:rsidR="007B3489"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Default="007B3489" w:rsidP="008A7AAD">
            <w:pPr>
              <w:spacing w:after="120"/>
              <w:jc w:val="both"/>
              <w:rPr>
                <w:rFonts w:ascii="Arial" w:hAnsi="Arial" w:cs="Arial"/>
              </w:rPr>
            </w:pPr>
            <w:r w:rsidRPr="00464BA7">
              <w:rPr>
                <w:rFonts w:ascii="Arial" w:hAnsi="Arial" w:cs="Arial"/>
              </w:rPr>
              <w:t>Print Name</w:t>
            </w:r>
          </w:p>
          <w:p w:rsidR="00D32D40" w:rsidRPr="00464BA7" w:rsidRDefault="00D32D40" w:rsidP="008A7AAD">
            <w:pPr>
              <w:spacing w:after="120"/>
              <w:jc w:val="both"/>
              <w:rPr>
                <w:rFonts w:ascii="Arial" w:hAnsi="Arial" w:cs="Arial"/>
              </w:rPr>
            </w:pPr>
          </w:p>
        </w:tc>
        <w:tc>
          <w:tcPr>
            <w:tcW w:w="3717" w:type="dxa"/>
          </w:tcPr>
          <w:p w:rsidR="0091725B" w:rsidRPr="00464BA7" w:rsidRDefault="0091725B" w:rsidP="00D601C7">
            <w:pPr>
              <w:spacing w:after="120"/>
              <w:ind w:left="291"/>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Pr="00464BA7" w:rsidRDefault="0091725B" w:rsidP="00D601C7">
            <w:pPr>
              <w:spacing w:after="120"/>
              <w:ind w:left="291"/>
              <w:jc w:val="both"/>
              <w:rPr>
                <w:rFonts w:ascii="Arial" w:hAnsi="Arial" w:cs="Arial"/>
              </w:rPr>
            </w:pPr>
            <w:r w:rsidRPr="00464BA7">
              <w:rPr>
                <w:rFonts w:ascii="Arial" w:hAnsi="Arial" w:cs="Arial"/>
              </w:rPr>
              <w:t>Date</w:t>
            </w:r>
          </w:p>
        </w:tc>
      </w:tr>
    </w:tbl>
    <w:p w:rsidR="0091725B" w:rsidRPr="00464BA7" w:rsidRDefault="0091725B" w:rsidP="008A7AAD">
      <w:pPr>
        <w:pBdr>
          <w:bottom w:val="single" w:sz="6" w:space="1" w:color="auto"/>
        </w:pBdr>
        <w:spacing w:after="120"/>
        <w:jc w:val="both"/>
        <w:rPr>
          <w:rFonts w:ascii="Arial" w:hAnsi="Arial" w:cs="Arial"/>
        </w:rPr>
      </w:pPr>
    </w:p>
    <w:p w:rsidR="007B3489" w:rsidRPr="00464BA7" w:rsidRDefault="007B3489" w:rsidP="00F1338F">
      <w:pPr>
        <w:jc w:val="both"/>
        <w:rPr>
          <w:rFonts w:ascii="Arial" w:hAnsi="Arial" w:cs="Arial"/>
        </w:rPr>
      </w:pPr>
    </w:p>
    <w:p w:rsidR="007B3489" w:rsidRPr="00464BA7" w:rsidRDefault="004E34EB" w:rsidP="00F1338F">
      <w:pPr>
        <w:pBdr>
          <w:bottom w:val="single" w:sz="6" w:space="1" w:color="auto"/>
        </w:pBdr>
        <w:jc w:val="both"/>
        <w:rPr>
          <w:rFonts w:ascii="Arial" w:hAnsi="Arial" w:cs="Arial"/>
          <w:b/>
        </w:rPr>
      </w:pPr>
      <w:r w:rsidRPr="00464BA7">
        <w:rPr>
          <w:rFonts w:ascii="Arial" w:hAnsi="Arial" w:cs="Arial"/>
          <w:b/>
        </w:rPr>
        <w:t>SECTION 3: MODULE IS</w:t>
      </w:r>
      <w:r w:rsidR="007B3489" w:rsidRPr="00464BA7">
        <w:rPr>
          <w:rFonts w:ascii="Arial" w:hAnsi="Arial" w:cs="Arial"/>
          <w:b/>
        </w:rPr>
        <w:t xml:space="preserve"> PART OF A PROGRAMME IN A</w:t>
      </w:r>
      <w:r w:rsidR="00D601C7">
        <w:rPr>
          <w:rFonts w:ascii="Arial" w:hAnsi="Arial" w:cs="Arial"/>
          <w:b/>
        </w:rPr>
        <w:t xml:space="preserve"> PARTNER </w:t>
      </w:r>
      <w:r w:rsidR="007B3489" w:rsidRPr="00464BA7">
        <w:rPr>
          <w:rFonts w:ascii="Arial" w:hAnsi="Arial" w:cs="Arial"/>
          <w:b/>
        </w:rPr>
        <w:t>COLLEGE</w:t>
      </w:r>
      <w:r w:rsidR="00D601C7">
        <w:rPr>
          <w:rFonts w:ascii="Arial" w:hAnsi="Arial" w:cs="Arial"/>
          <w:b/>
        </w:rPr>
        <w:t xml:space="preserve"> OR VALIDATED INSTITUTION </w:t>
      </w:r>
    </w:p>
    <w:p w:rsidR="007B3489" w:rsidRPr="00464BA7" w:rsidRDefault="007B3489" w:rsidP="008A7AAD">
      <w:pPr>
        <w:pBdr>
          <w:bottom w:val="single" w:sz="6" w:space="1" w:color="auto"/>
        </w:pBd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(Where the module is proposed by a</w:t>
      </w:r>
      <w:r w:rsidR="00D601C7">
        <w:rPr>
          <w:rFonts w:ascii="Arial" w:hAnsi="Arial" w:cs="Arial"/>
        </w:rPr>
        <w:t xml:space="preserve"> Partner </w:t>
      </w:r>
      <w:r w:rsidRPr="00464BA7">
        <w:rPr>
          <w:rFonts w:ascii="Arial" w:hAnsi="Arial" w:cs="Arial"/>
        </w:rPr>
        <w:t>College</w:t>
      </w:r>
      <w:r w:rsidR="00D601C7">
        <w:rPr>
          <w:rFonts w:ascii="Arial" w:hAnsi="Arial" w:cs="Arial"/>
        </w:rPr>
        <w:t>/Validated Institution</w:t>
      </w:r>
      <w:r w:rsidRPr="00464BA7">
        <w:rPr>
          <w:rFonts w:ascii="Arial" w:hAnsi="Arial" w:cs="Arial"/>
        </w:rPr>
        <w:t>)</w:t>
      </w:r>
    </w:p>
    <w:p w:rsidR="0091725B" w:rsidRPr="00464BA7" w:rsidRDefault="0091725B" w:rsidP="008A7AAD">
      <w:pPr>
        <w:spacing w:after="120"/>
        <w:jc w:val="both"/>
        <w:rPr>
          <w:rFonts w:ascii="Arial" w:hAnsi="Arial" w:cs="Arial"/>
        </w:rPr>
      </w:pPr>
      <w:r w:rsidRPr="00464BA7">
        <w:rPr>
          <w:rFonts w:ascii="Arial" w:hAnsi="Arial" w:cs="Arial"/>
          <w:b/>
        </w:rPr>
        <w:t>Statement by the Nominated Officer of the College</w:t>
      </w:r>
      <w:r w:rsidR="00D601C7">
        <w:rPr>
          <w:rFonts w:ascii="Arial" w:hAnsi="Arial" w:cs="Arial"/>
          <w:b/>
        </w:rPr>
        <w:t xml:space="preserve">/Validated Institution </w:t>
      </w:r>
      <w:r w:rsidR="00D601C7">
        <w:rPr>
          <w:rFonts w:ascii="Arial" w:hAnsi="Arial" w:cs="Arial"/>
          <w:i/>
        </w:rPr>
        <w:t>(delete as applicable)</w:t>
      </w:r>
      <w:r w:rsidRPr="00464BA7">
        <w:rPr>
          <w:rFonts w:ascii="Arial" w:hAnsi="Arial" w:cs="Arial"/>
          <w:b/>
        </w:rPr>
        <w:t xml:space="preserve">: </w:t>
      </w:r>
      <w:r w:rsidRPr="00464BA7">
        <w:rPr>
          <w:rFonts w:ascii="Arial" w:hAnsi="Arial" w:cs="Arial"/>
        </w:rPr>
        <w:t>"I confirm that the College</w:t>
      </w:r>
      <w:r w:rsidR="00D601C7">
        <w:rPr>
          <w:rFonts w:ascii="Arial" w:hAnsi="Arial" w:cs="Arial"/>
        </w:rPr>
        <w:t>/</w:t>
      </w:r>
      <w:r w:rsidR="00D601C7" w:rsidRPr="00D601C7">
        <w:rPr>
          <w:rFonts w:ascii="Arial" w:hAnsi="Arial" w:cs="Arial"/>
        </w:rPr>
        <w:t>Validated Institution</w:t>
      </w:r>
      <w:r w:rsidR="00D601C7">
        <w:rPr>
          <w:rFonts w:ascii="Arial" w:hAnsi="Arial" w:cs="Arial"/>
          <w:b/>
        </w:rPr>
        <w:t xml:space="preserve"> </w:t>
      </w:r>
      <w:r w:rsidR="00D601C7">
        <w:rPr>
          <w:rFonts w:ascii="Arial" w:hAnsi="Arial" w:cs="Arial"/>
          <w:i/>
        </w:rPr>
        <w:t>(delete as applicable)</w:t>
      </w:r>
      <w:r w:rsidRPr="00464BA7">
        <w:rPr>
          <w:rFonts w:ascii="Arial" w:hAnsi="Arial" w:cs="Arial"/>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91725B" w:rsidRPr="00464BA7" w:rsidTr="003D708E">
        <w:trPr>
          <w:trHeight w:val="675"/>
        </w:trPr>
        <w:tc>
          <w:tcPr>
            <w:tcW w:w="5133" w:type="dxa"/>
          </w:tcPr>
          <w:p w:rsidR="0091725B" w:rsidRPr="00464BA7" w:rsidRDefault="0091725B" w:rsidP="008A7AAD">
            <w:pPr>
              <w:spacing w:after="120"/>
              <w:jc w:val="both"/>
              <w:rPr>
                <w:rFonts w:ascii="Arial" w:hAnsi="Arial" w:cs="Arial"/>
              </w:rPr>
            </w:pPr>
          </w:p>
          <w:p w:rsidR="0091725B" w:rsidRPr="00464BA7" w:rsidRDefault="0091725B" w:rsidP="008A7AAD">
            <w:pPr>
              <w:spacing w:after="120"/>
              <w:jc w:val="both"/>
              <w:rPr>
                <w:rFonts w:ascii="Arial" w:hAnsi="Arial" w:cs="Arial"/>
              </w:rPr>
            </w:pPr>
            <w:r w:rsidRPr="00464BA7">
              <w:rPr>
                <w:rFonts w:ascii="Arial" w:hAnsi="Arial" w:cs="Arial"/>
              </w:rPr>
              <w:t>.................................................................</w:t>
            </w:r>
          </w:p>
          <w:p w:rsidR="0091725B" w:rsidRPr="00464BA7" w:rsidRDefault="00083B51" w:rsidP="00892C45">
            <w:pPr>
              <w:spacing w:after="120"/>
              <w:ind w:right="492"/>
              <w:jc w:val="both"/>
              <w:rPr>
                <w:rFonts w:ascii="Arial" w:hAnsi="Arial" w:cs="Arial"/>
              </w:rPr>
            </w:pPr>
            <w:r w:rsidRPr="00464BA7">
              <w:rPr>
                <w:rFonts w:ascii="Arial" w:hAnsi="Arial" w:cs="Arial"/>
              </w:rPr>
              <w:t>Nomin</w:t>
            </w:r>
            <w:r w:rsidR="00E8489F">
              <w:rPr>
                <w:rFonts w:ascii="Arial" w:hAnsi="Arial" w:cs="Arial"/>
              </w:rPr>
              <w:t xml:space="preserve">ated Responsible Officer of </w:t>
            </w:r>
            <w:r w:rsidR="003D1B36">
              <w:rPr>
                <w:rFonts w:ascii="Arial" w:hAnsi="Arial" w:cs="Arial"/>
              </w:rPr>
              <w:t xml:space="preserve">Partner </w:t>
            </w:r>
            <w:r w:rsidRPr="00464BA7">
              <w:rPr>
                <w:rFonts w:ascii="Arial" w:hAnsi="Arial" w:cs="Arial"/>
              </w:rPr>
              <w:t>College</w:t>
            </w:r>
            <w:r w:rsidR="003D1B36">
              <w:rPr>
                <w:rFonts w:ascii="Arial" w:hAnsi="Arial" w:cs="Arial"/>
              </w:rPr>
              <w:t xml:space="preserve">/Validated Institution </w:t>
            </w:r>
          </w:p>
          <w:p w:rsidR="007B3489" w:rsidRPr="00464BA7" w:rsidRDefault="007B3489" w:rsidP="008A7AAD">
            <w:pPr>
              <w:spacing w:after="120"/>
              <w:jc w:val="both"/>
              <w:rPr>
                <w:rFonts w:ascii="Arial" w:hAnsi="Arial" w:cs="Arial"/>
              </w:rPr>
            </w:pPr>
          </w:p>
          <w:p w:rsidR="007B3489" w:rsidRPr="00464BA7" w:rsidRDefault="007B3489" w:rsidP="008A7AAD">
            <w:pPr>
              <w:spacing w:after="120"/>
              <w:jc w:val="both"/>
              <w:rPr>
                <w:rFonts w:ascii="Arial" w:hAnsi="Arial" w:cs="Arial"/>
              </w:rPr>
            </w:pPr>
            <w:r w:rsidRPr="00464BA7">
              <w:rPr>
                <w:rFonts w:ascii="Arial" w:hAnsi="Arial" w:cs="Arial"/>
              </w:rPr>
              <w:t>………………………………………………….</w:t>
            </w:r>
          </w:p>
          <w:p w:rsidR="007B3489" w:rsidRPr="00464BA7" w:rsidRDefault="007B3489" w:rsidP="008A7AAD">
            <w:pPr>
              <w:spacing w:after="120"/>
              <w:jc w:val="both"/>
              <w:rPr>
                <w:rFonts w:ascii="Arial" w:hAnsi="Arial" w:cs="Arial"/>
              </w:rPr>
            </w:pPr>
            <w:r w:rsidRPr="00464BA7">
              <w:rPr>
                <w:rFonts w:ascii="Arial" w:hAnsi="Arial" w:cs="Arial"/>
              </w:rPr>
              <w:t>Print Name</w:t>
            </w:r>
          </w:p>
          <w:p w:rsidR="00083B51" w:rsidRPr="00464BA7" w:rsidRDefault="00083B51" w:rsidP="008A7AAD">
            <w:pPr>
              <w:spacing w:after="120"/>
              <w:jc w:val="both"/>
              <w:rPr>
                <w:rFonts w:ascii="Arial" w:hAnsi="Arial" w:cs="Arial"/>
              </w:rPr>
            </w:pPr>
          </w:p>
          <w:p w:rsidR="00083B51" w:rsidRPr="00464BA7" w:rsidRDefault="00083B51" w:rsidP="008A7AAD">
            <w:pPr>
              <w:spacing w:after="120"/>
              <w:jc w:val="both"/>
              <w:rPr>
                <w:rFonts w:ascii="Arial" w:hAnsi="Arial" w:cs="Arial"/>
              </w:rPr>
            </w:pPr>
            <w:r w:rsidRPr="00464BA7">
              <w:rPr>
                <w:rFonts w:ascii="Arial" w:hAnsi="Arial" w:cs="Arial"/>
              </w:rPr>
              <w:t>…………………………………………………..</w:t>
            </w:r>
            <w:r w:rsidR="00E8489F">
              <w:rPr>
                <w:rFonts w:ascii="Arial" w:hAnsi="Arial" w:cs="Arial"/>
              </w:rPr>
              <w:t xml:space="preserve"> </w:t>
            </w:r>
          </w:p>
          <w:p w:rsidR="007B3489" w:rsidRPr="00464BA7" w:rsidRDefault="00083B51" w:rsidP="008A7AAD">
            <w:pPr>
              <w:spacing w:after="120"/>
              <w:jc w:val="both"/>
              <w:rPr>
                <w:rFonts w:ascii="Arial" w:hAnsi="Arial" w:cs="Arial"/>
              </w:rPr>
            </w:pPr>
            <w:r w:rsidRPr="00464BA7">
              <w:rPr>
                <w:rFonts w:ascii="Arial" w:hAnsi="Arial" w:cs="Arial"/>
              </w:rPr>
              <w:t>Post</w:t>
            </w:r>
          </w:p>
          <w:p w:rsidR="007B3489" w:rsidRPr="00464BA7" w:rsidRDefault="007B3489" w:rsidP="008A7AAD">
            <w:pPr>
              <w:spacing w:after="120"/>
              <w:jc w:val="both"/>
              <w:rPr>
                <w:rFonts w:ascii="Arial" w:hAnsi="Arial" w:cs="Arial"/>
              </w:rPr>
            </w:pPr>
          </w:p>
        </w:tc>
        <w:tc>
          <w:tcPr>
            <w:tcW w:w="3717" w:type="dxa"/>
          </w:tcPr>
          <w:p w:rsidR="0091725B" w:rsidRPr="00464BA7" w:rsidRDefault="0091725B" w:rsidP="008A7AAD">
            <w:pPr>
              <w:spacing w:after="120"/>
              <w:jc w:val="both"/>
              <w:rPr>
                <w:rFonts w:ascii="Arial" w:hAnsi="Arial" w:cs="Arial"/>
              </w:rPr>
            </w:pPr>
          </w:p>
          <w:p w:rsidR="0091725B" w:rsidRPr="00464BA7" w:rsidRDefault="0091725B" w:rsidP="00D601C7">
            <w:pPr>
              <w:spacing w:after="120"/>
              <w:ind w:left="291"/>
              <w:jc w:val="both"/>
              <w:rPr>
                <w:rFonts w:ascii="Arial" w:hAnsi="Arial" w:cs="Arial"/>
              </w:rPr>
            </w:pPr>
            <w:r w:rsidRPr="00464BA7">
              <w:rPr>
                <w:rFonts w:ascii="Arial" w:hAnsi="Arial" w:cs="Arial"/>
              </w:rPr>
              <w:t>..............................................</w:t>
            </w:r>
          </w:p>
          <w:p w:rsidR="0091725B" w:rsidRDefault="0091725B" w:rsidP="00D601C7">
            <w:pPr>
              <w:spacing w:after="120"/>
              <w:ind w:left="291"/>
              <w:jc w:val="both"/>
              <w:rPr>
                <w:rFonts w:ascii="Arial" w:hAnsi="Arial" w:cs="Arial"/>
              </w:rPr>
            </w:pPr>
            <w:r w:rsidRPr="00464BA7">
              <w:rPr>
                <w:rFonts w:ascii="Arial" w:hAnsi="Arial" w:cs="Arial"/>
              </w:rPr>
              <w:t>Date</w:t>
            </w:r>
          </w:p>
          <w:p w:rsidR="00E8489F" w:rsidRDefault="00E8489F" w:rsidP="008A7AAD">
            <w:pPr>
              <w:spacing w:after="120"/>
              <w:jc w:val="both"/>
              <w:rPr>
                <w:rFonts w:ascii="Arial" w:hAnsi="Arial" w:cs="Arial"/>
              </w:rPr>
            </w:pPr>
          </w:p>
          <w:p w:rsidR="00E8489F" w:rsidRPr="00464BA7" w:rsidRDefault="00E8489F" w:rsidP="00E8489F">
            <w:pPr>
              <w:spacing w:after="120"/>
              <w:jc w:val="both"/>
              <w:rPr>
                <w:rFonts w:ascii="Arial" w:hAnsi="Arial" w:cs="Arial"/>
              </w:rPr>
            </w:pPr>
          </w:p>
        </w:tc>
      </w:tr>
    </w:tbl>
    <w:p w:rsidR="003D708E" w:rsidRPr="00464BA7" w:rsidRDefault="003D708E" w:rsidP="003D708E">
      <w:pPr>
        <w:spacing w:after="120"/>
        <w:jc w:val="both"/>
        <w:rPr>
          <w:rFonts w:ascii="Arial" w:hAnsi="Arial" w:cs="Arial"/>
        </w:rPr>
      </w:pPr>
      <w:r w:rsidRPr="00464BA7">
        <w:rPr>
          <w:rFonts w:ascii="Arial" w:hAnsi="Arial" w:cs="Arial"/>
        </w:rPr>
        <w:t>………………………………………….</w:t>
      </w:r>
    </w:p>
    <w:p w:rsidR="003D708E" w:rsidRDefault="003D1B36" w:rsidP="003D708E">
      <w:pPr>
        <w:pStyle w:val="Footer"/>
        <w:rPr>
          <w:rFonts w:ascii="Arial" w:hAnsi="Arial" w:cs="Arial"/>
        </w:rPr>
      </w:pPr>
      <w:r>
        <w:rPr>
          <w:rFonts w:ascii="Arial" w:hAnsi="Arial" w:cs="Arial"/>
        </w:rPr>
        <w:t xml:space="preserve">Partner </w:t>
      </w:r>
      <w:r w:rsidR="003D708E" w:rsidRPr="00464BA7">
        <w:rPr>
          <w:rFonts w:ascii="Arial" w:hAnsi="Arial" w:cs="Arial"/>
        </w:rPr>
        <w:t>College</w:t>
      </w:r>
      <w:r>
        <w:rPr>
          <w:rFonts w:ascii="Arial" w:hAnsi="Arial" w:cs="Arial"/>
        </w:rPr>
        <w:t>/Validated Institution</w:t>
      </w: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Default="003D708E" w:rsidP="003D708E">
      <w:pPr>
        <w:pStyle w:val="Footer"/>
        <w:rPr>
          <w:rFonts w:ascii="Arial" w:hAnsi="Arial" w:cs="Arial"/>
        </w:rPr>
      </w:pPr>
    </w:p>
    <w:p w:rsidR="003D708E" w:rsidRPr="00B72F79" w:rsidRDefault="003D708E" w:rsidP="003D708E">
      <w:pPr>
        <w:pStyle w:val="Footer"/>
        <w:rPr>
          <w:rFonts w:ascii="Arial" w:hAnsi="Arial" w:cs="Arial"/>
          <w:sz w:val="16"/>
          <w:szCs w:val="16"/>
        </w:rPr>
      </w:pPr>
    </w:p>
    <w:p w:rsidR="0091725B" w:rsidRPr="00B565C9" w:rsidRDefault="003D708E" w:rsidP="003D708E">
      <w:pPr>
        <w:pStyle w:val="Footer"/>
        <w:rPr>
          <w:rFonts w:ascii="Arial" w:hAnsi="Arial" w:cs="Arial"/>
          <w:sz w:val="16"/>
          <w:szCs w:val="16"/>
          <w:lang w:val="en-GB"/>
        </w:rPr>
      </w:pPr>
      <w:r w:rsidRPr="00B72F79">
        <w:rPr>
          <w:rFonts w:ascii="Arial" w:hAnsi="Arial" w:cs="Arial"/>
          <w:sz w:val="16"/>
          <w:szCs w:val="16"/>
        </w:rPr>
        <w:t>Module Specification Template</w:t>
      </w:r>
      <w:r w:rsidRPr="00B72F79">
        <w:rPr>
          <w:rFonts w:ascii="Arial" w:hAnsi="Arial" w:cs="Arial"/>
          <w:sz w:val="16"/>
          <w:szCs w:val="16"/>
        </w:rPr>
        <w:br/>
        <w:t xml:space="preserve">Last updated </w:t>
      </w:r>
      <w:r w:rsidR="00B565C9">
        <w:rPr>
          <w:rFonts w:ascii="Arial" w:hAnsi="Arial" w:cs="Arial"/>
          <w:sz w:val="16"/>
          <w:szCs w:val="16"/>
          <w:lang w:val="en-GB"/>
        </w:rPr>
        <w:t>January 2012</w:t>
      </w:r>
    </w:p>
    <w:p w:rsidR="00D32D40" w:rsidRPr="00B72F79" w:rsidRDefault="00D32D40" w:rsidP="003D708E">
      <w:pPr>
        <w:pStyle w:val="Footer"/>
        <w:rPr>
          <w:rFonts w:ascii="Arial" w:hAnsi="Arial" w:cs="Arial"/>
          <w:sz w:val="16"/>
          <w:szCs w:val="16"/>
        </w:rPr>
      </w:pPr>
    </w:p>
    <w:p w:rsidR="00D32D40" w:rsidRPr="00B72F79" w:rsidRDefault="00D32D40" w:rsidP="003D708E">
      <w:pPr>
        <w:pStyle w:val="Footer"/>
        <w:rPr>
          <w:rFonts w:ascii="Arial" w:hAnsi="Arial" w:cs="Arial"/>
          <w:sz w:val="16"/>
          <w:szCs w:val="16"/>
        </w:rPr>
      </w:pPr>
    </w:p>
    <w:p w:rsidR="00D32D40" w:rsidRPr="00B72F79" w:rsidRDefault="00D32D40" w:rsidP="003D708E">
      <w:pPr>
        <w:pStyle w:val="Footer"/>
        <w:rPr>
          <w:rFonts w:ascii="Arial" w:hAnsi="Arial" w:cs="Arial"/>
          <w:sz w:val="16"/>
          <w:szCs w:val="16"/>
          <w:lang w:val="en-GB"/>
        </w:rPr>
      </w:pPr>
      <w:r w:rsidRPr="00B72F79">
        <w:rPr>
          <w:rFonts w:ascii="Arial" w:hAnsi="Arial" w:cs="Arial"/>
          <w:sz w:val="16"/>
          <w:szCs w:val="16"/>
        </w:rPr>
        <w:t>JHF/S</w:t>
      </w:r>
      <w:r w:rsidR="00B72F79">
        <w:rPr>
          <w:rFonts w:ascii="Arial" w:hAnsi="Arial" w:cs="Arial"/>
          <w:sz w:val="16"/>
          <w:szCs w:val="16"/>
          <w:lang w:val="en-GB"/>
        </w:rPr>
        <w:t>M</w:t>
      </w:r>
      <w:r w:rsidRPr="00B72F79">
        <w:rPr>
          <w:rFonts w:ascii="Arial" w:hAnsi="Arial" w:cs="Arial"/>
          <w:sz w:val="16"/>
          <w:szCs w:val="16"/>
        </w:rPr>
        <w:t>M/ARC: 22/11/11</w:t>
      </w:r>
    </w:p>
    <w:p w:rsidR="00B72F79" w:rsidRPr="00B72F79" w:rsidRDefault="00B72F79" w:rsidP="003D708E">
      <w:pPr>
        <w:pStyle w:val="Footer"/>
        <w:rPr>
          <w:rFonts w:ascii="Arial" w:hAnsi="Arial" w:cs="Arial"/>
          <w:sz w:val="16"/>
          <w:szCs w:val="16"/>
          <w:lang w:val="en-GB"/>
        </w:rPr>
      </w:pPr>
      <w:r w:rsidRPr="00B72F79">
        <w:rPr>
          <w:rFonts w:ascii="Arial" w:hAnsi="Arial" w:cs="Arial"/>
          <w:sz w:val="16"/>
          <w:szCs w:val="16"/>
          <w:lang w:val="en-GB"/>
        </w:rPr>
        <w:fldChar w:fldCharType="begin"/>
      </w:r>
      <w:r w:rsidRPr="00B72F79">
        <w:rPr>
          <w:rFonts w:ascii="Arial" w:hAnsi="Arial" w:cs="Arial"/>
          <w:sz w:val="16"/>
          <w:szCs w:val="16"/>
          <w:lang w:val="en-GB"/>
        </w:rPr>
        <w:instrText xml:space="preserve"> FILENAME  \p  \* MERGEFORMAT </w:instrText>
      </w:r>
      <w:r w:rsidRPr="00B72F79">
        <w:rPr>
          <w:rFonts w:ascii="Arial" w:hAnsi="Arial" w:cs="Arial"/>
          <w:sz w:val="16"/>
          <w:szCs w:val="16"/>
          <w:lang w:val="en-GB"/>
        </w:rPr>
        <w:fldChar w:fldCharType="separate"/>
      </w:r>
      <w:r w:rsidRPr="00B72F79">
        <w:rPr>
          <w:rFonts w:ascii="Arial" w:hAnsi="Arial" w:cs="Arial"/>
          <w:noProof/>
          <w:sz w:val="16"/>
          <w:szCs w:val="16"/>
          <w:lang w:val="en-GB"/>
        </w:rPr>
        <w:t>V:\Procedures\Module and Programme Approval\Module Approval\Guidance for Completing Module Specification Template.doc</w:t>
      </w:r>
      <w:r w:rsidRPr="00B72F79">
        <w:rPr>
          <w:rFonts w:ascii="Arial" w:hAnsi="Arial" w:cs="Arial"/>
          <w:sz w:val="16"/>
          <w:szCs w:val="16"/>
          <w:lang w:val="en-GB"/>
        </w:rPr>
        <w:fldChar w:fldCharType="end"/>
      </w:r>
    </w:p>
    <w:sectPr w:rsidR="00B72F79" w:rsidRPr="00B72F79" w:rsidSect="00D601C7">
      <w:headerReference w:type="even" r:id="rId7"/>
      <w:headerReference w:type="default" r:id="rId8"/>
      <w:footerReference w:type="default" r:id="rId9"/>
      <w:headerReference w:type="first" r:id="rId10"/>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99" w:rsidRDefault="00B10799">
      <w:r>
        <w:separator/>
      </w:r>
    </w:p>
  </w:endnote>
  <w:endnote w:type="continuationSeparator" w:id="0">
    <w:p w:rsidR="00B10799" w:rsidRDefault="00B1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4" w:rsidRPr="003D1B36" w:rsidRDefault="00C80804">
    <w:pPr>
      <w:pStyle w:val="Footer"/>
      <w:jc w:val="center"/>
      <w:rPr>
        <w:rFonts w:ascii="Arial" w:hAnsi="Arial" w:cs="Arial"/>
      </w:rPr>
    </w:pPr>
    <w:r w:rsidRPr="003D1B36">
      <w:rPr>
        <w:rFonts w:ascii="Arial" w:hAnsi="Arial" w:cs="Arial"/>
      </w:rPr>
      <w:fldChar w:fldCharType="begin"/>
    </w:r>
    <w:r w:rsidRPr="003D1B36">
      <w:rPr>
        <w:rFonts w:ascii="Arial" w:hAnsi="Arial" w:cs="Arial"/>
      </w:rPr>
      <w:instrText xml:space="preserve"> PAGE   \* MERGEFORMAT </w:instrText>
    </w:r>
    <w:r w:rsidRPr="003D1B36">
      <w:rPr>
        <w:rFonts w:ascii="Arial" w:hAnsi="Arial" w:cs="Arial"/>
      </w:rPr>
      <w:fldChar w:fldCharType="separate"/>
    </w:r>
    <w:r w:rsidR="00BF7002">
      <w:rPr>
        <w:rFonts w:ascii="Arial" w:hAnsi="Arial" w:cs="Arial"/>
        <w:noProof/>
      </w:rPr>
      <w:t>1</w:t>
    </w:r>
    <w:r w:rsidRPr="003D1B36">
      <w:rPr>
        <w:rFonts w:ascii="Arial" w:hAnsi="Arial" w:cs="Arial"/>
      </w:rPr>
      <w:fldChar w:fldCharType="end"/>
    </w:r>
  </w:p>
  <w:p w:rsidR="00C80804" w:rsidRDefault="00C80804">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99" w:rsidRDefault="00B10799">
      <w:r>
        <w:separator/>
      </w:r>
    </w:p>
  </w:footnote>
  <w:footnote w:type="continuationSeparator" w:id="0">
    <w:p w:rsidR="00B10799" w:rsidRDefault="00B10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4" w:rsidRDefault="00C80804">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4" w:rsidRPr="00464BA7" w:rsidRDefault="00C80804"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04" w:rsidRPr="006A732C" w:rsidRDefault="00C80804">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90"/>
    <w:multiLevelType w:val="hybridMultilevel"/>
    <w:tmpl w:val="4C6C3AD2"/>
    <w:lvl w:ilvl="0" w:tplc="0809000F">
      <w:start w:val="1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408A6"/>
    <w:multiLevelType w:val="hybridMultilevel"/>
    <w:tmpl w:val="E056D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C5724"/>
    <w:multiLevelType w:val="hybridMultilevel"/>
    <w:tmpl w:val="21F892B4"/>
    <w:lvl w:ilvl="0" w:tplc="0809000F">
      <w:start w:val="1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F641F"/>
    <w:multiLevelType w:val="hybridMultilevel"/>
    <w:tmpl w:val="9D2C1F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F1FD6"/>
    <w:multiLevelType w:val="hybridMultilevel"/>
    <w:tmpl w:val="03CABD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9"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8BE698C"/>
    <w:multiLevelType w:val="hybridMultilevel"/>
    <w:tmpl w:val="CDAA7B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D2D0D"/>
    <w:multiLevelType w:val="hybridMultilevel"/>
    <w:tmpl w:val="0980F630"/>
    <w:lvl w:ilvl="0" w:tplc="9E361AF2">
      <w:start w:val="20"/>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12"/>
  </w:num>
  <w:num w:numId="2">
    <w:abstractNumId w:val="8"/>
  </w:num>
  <w:num w:numId="3">
    <w:abstractNumId w:val="9"/>
  </w:num>
  <w:num w:numId="4">
    <w:abstractNumId w:val="6"/>
  </w:num>
  <w:num w:numId="5">
    <w:abstractNumId w:val="7"/>
  </w:num>
  <w:num w:numId="6">
    <w:abstractNumId w:val="5"/>
  </w:num>
  <w:num w:numId="7">
    <w:abstractNumId w:val="0"/>
  </w:num>
  <w:num w:numId="8">
    <w:abstractNumId w:val="2"/>
  </w:num>
  <w:num w:numId="9">
    <w:abstractNumId w:val="11"/>
  </w:num>
  <w:num w:numId="10">
    <w:abstractNumId w:val="1"/>
  </w:num>
  <w:num w:numId="11">
    <w:abstractNumId w:val="4"/>
  </w:num>
  <w:num w:numId="12">
    <w:abstractNumId w:val="10"/>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5B"/>
    <w:rsid w:val="00033F9D"/>
    <w:rsid w:val="00075E11"/>
    <w:rsid w:val="0008292D"/>
    <w:rsid w:val="00083B51"/>
    <w:rsid w:val="0009110F"/>
    <w:rsid w:val="000A59C6"/>
    <w:rsid w:val="000C6252"/>
    <w:rsid w:val="00143F30"/>
    <w:rsid w:val="0014558A"/>
    <w:rsid w:val="002455EB"/>
    <w:rsid w:val="00290FA8"/>
    <w:rsid w:val="002A4CFE"/>
    <w:rsid w:val="002C138A"/>
    <w:rsid w:val="002D3F7D"/>
    <w:rsid w:val="00332F5F"/>
    <w:rsid w:val="003473CE"/>
    <w:rsid w:val="0037327E"/>
    <w:rsid w:val="003A7CE1"/>
    <w:rsid w:val="003B72AE"/>
    <w:rsid w:val="003D1B36"/>
    <w:rsid w:val="003D5892"/>
    <w:rsid w:val="003D708E"/>
    <w:rsid w:val="003E5FEB"/>
    <w:rsid w:val="00411CED"/>
    <w:rsid w:val="00420336"/>
    <w:rsid w:val="00446590"/>
    <w:rsid w:val="00464BA7"/>
    <w:rsid w:val="00471C26"/>
    <w:rsid w:val="00481A4B"/>
    <w:rsid w:val="00487D7B"/>
    <w:rsid w:val="00490348"/>
    <w:rsid w:val="00492000"/>
    <w:rsid w:val="00492BFF"/>
    <w:rsid w:val="004A2843"/>
    <w:rsid w:val="004A63A1"/>
    <w:rsid w:val="004E0773"/>
    <w:rsid w:val="004E34EB"/>
    <w:rsid w:val="0052551E"/>
    <w:rsid w:val="00536DF8"/>
    <w:rsid w:val="00541D47"/>
    <w:rsid w:val="00550CA6"/>
    <w:rsid w:val="00592FC0"/>
    <w:rsid w:val="005A1420"/>
    <w:rsid w:val="005B079A"/>
    <w:rsid w:val="005F1163"/>
    <w:rsid w:val="00627B9C"/>
    <w:rsid w:val="0063478F"/>
    <w:rsid w:val="006A4B74"/>
    <w:rsid w:val="006A732C"/>
    <w:rsid w:val="00702F39"/>
    <w:rsid w:val="00731B46"/>
    <w:rsid w:val="007B3489"/>
    <w:rsid w:val="007D423F"/>
    <w:rsid w:val="00823A57"/>
    <w:rsid w:val="00886E92"/>
    <w:rsid w:val="00892C45"/>
    <w:rsid w:val="008A7AAD"/>
    <w:rsid w:val="008B6298"/>
    <w:rsid w:val="008C3E83"/>
    <w:rsid w:val="00906871"/>
    <w:rsid w:val="0091725B"/>
    <w:rsid w:val="00986BC9"/>
    <w:rsid w:val="009F63B6"/>
    <w:rsid w:val="00AA53DD"/>
    <w:rsid w:val="00B022DF"/>
    <w:rsid w:val="00B05265"/>
    <w:rsid w:val="00B10799"/>
    <w:rsid w:val="00B20CCC"/>
    <w:rsid w:val="00B229D8"/>
    <w:rsid w:val="00B565C9"/>
    <w:rsid w:val="00B72F79"/>
    <w:rsid w:val="00BB63E6"/>
    <w:rsid w:val="00BF5A64"/>
    <w:rsid w:val="00BF7002"/>
    <w:rsid w:val="00C63DD0"/>
    <w:rsid w:val="00C6680C"/>
    <w:rsid w:val="00C80804"/>
    <w:rsid w:val="00D03DB3"/>
    <w:rsid w:val="00D32D40"/>
    <w:rsid w:val="00D54362"/>
    <w:rsid w:val="00D601C7"/>
    <w:rsid w:val="00D87495"/>
    <w:rsid w:val="00D92170"/>
    <w:rsid w:val="00DA707F"/>
    <w:rsid w:val="00DB585F"/>
    <w:rsid w:val="00E17CE8"/>
    <w:rsid w:val="00E442C2"/>
    <w:rsid w:val="00E8489F"/>
    <w:rsid w:val="00EA15B8"/>
    <w:rsid w:val="00EA6711"/>
    <w:rsid w:val="00EA77EC"/>
    <w:rsid w:val="00EC75FD"/>
    <w:rsid w:val="00ED776F"/>
    <w:rsid w:val="00F07E2A"/>
    <w:rsid w:val="00F1338F"/>
    <w:rsid w:val="00FE3993"/>
    <w:rsid w:val="00FF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5:docId w15:val="{636AE281-86E0-4211-BB52-D950F4D2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32"/>
      <w:u w:val="single"/>
      <w:lang w:val="en-US"/>
    </w:rPr>
  </w:style>
  <w:style w:type="paragraph" w:styleId="Heading2">
    <w:name w:val="heading 2"/>
    <w:basedOn w:val="Normal"/>
    <w:next w:val="Normal"/>
    <w:qFormat/>
    <w:pPr>
      <w:keepNext/>
      <w:jc w:val="both"/>
      <w:outlineLvl w:val="1"/>
    </w:pPr>
    <w:rPr>
      <w:rFonts w:ascii="Arial" w:hAnsi="Arial"/>
      <w:b/>
      <w:sz w:val="24"/>
      <w:lang w:val="en-US"/>
    </w:rPr>
  </w:style>
  <w:style w:type="paragraph" w:styleId="Heading3">
    <w:name w:val="heading 3"/>
    <w:basedOn w:val="Normal"/>
    <w:next w:val="Normal"/>
    <w:qFormat/>
    <w:pPr>
      <w:keepNext/>
      <w:spacing w:line="360" w:lineRule="auto"/>
      <w:ind w:left="360"/>
      <w:jc w:val="both"/>
      <w:outlineLvl w:val="2"/>
    </w:pPr>
    <w:rPr>
      <w:rFonts w:ascii="Arial" w:hAnsi="Arial"/>
      <w:sz w:val="24"/>
      <w:lang w:val="en-US"/>
    </w:rPr>
  </w:style>
  <w:style w:type="paragraph" w:styleId="Heading4">
    <w:name w:val="heading 4"/>
    <w:basedOn w:val="Normal"/>
    <w:next w:val="Normal"/>
    <w:qFormat/>
    <w:pPr>
      <w:keepNext/>
      <w:spacing w:line="360" w:lineRule="auto"/>
      <w:jc w:val="both"/>
      <w:outlineLvl w:val="3"/>
    </w:pPr>
    <w:rPr>
      <w:rFonts w:ascii="Arial" w:hAnsi="Arial"/>
      <w:b/>
      <w:u w:val="single"/>
      <w:lang w:val="en-US"/>
    </w:rPr>
  </w:style>
  <w:style w:type="paragraph" w:styleId="Heading5">
    <w:name w:val="heading 5"/>
    <w:basedOn w:val="Normal"/>
    <w:next w:val="Normal"/>
    <w:qFormat/>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pPr>
      <w:keepNext/>
      <w:outlineLvl w:val="5"/>
    </w:pPr>
    <w:rPr>
      <w:rFonts w:ascii="Arial" w:hAnsi="Arial"/>
      <w:b/>
      <w:sz w:val="24"/>
      <w:lang w:val="en-US"/>
    </w:rPr>
  </w:style>
  <w:style w:type="paragraph" w:styleId="Heading7">
    <w:name w:val="heading 7"/>
    <w:basedOn w:val="Normal"/>
    <w:next w:val="Normal"/>
    <w:qFormat/>
    <w:pPr>
      <w:keepNext/>
      <w:numPr>
        <w:numId w:val="2"/>
      </w:numPr>
      <w:outlineLvl w:val="6"/>
    </w:pPr>
    <w:rPr>
      <w:rFonts w:ascii="Arial" w:hAnsi="Arial"/>
      <w:b/>
      <w:sz w:val="22"/>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customStyle="1" w:styleId="H4">
    <w:name w:val="H4"/>
    <w:basedOn w:val="Normal"/>
    <w:next w:val="Normal"/>
    <w:pPr>
      <w:keepNext/>
      <w:spacing w:before="100" w:after="100"/>
      <w:outlineLvl w:val="4"/>
    </w:pPr>
    <w:rPr>
      <w:b/>
      <w:snapToGrid w:val="0"/>
      <w:sz w:val="24"/>
    </w:rPr>
  </w:style>
  <w:style w:type="paragraph" w:styleId="Header">
    <w:name w:val="header"/>
    <w:basedOn w:val="Normal"/>
    <w:pPr>
      <w:tabs>
        <w:tab w:val="center" w:pos="4153"/>
        <w:tab w:val="right" w:pos="8306"/>
      </w:tabs>
    </w:pPr>
    <w:rPr>
      <w:rFonts w:ascii="Arial" w:hAnsi="Arial"/>
      <w:lang w:val="en-US"/>
    </w:rPr>
  </w:style>
  <w:style w:type="paragraph" w:styleId="BodyText">
    <w:name w:val="Body Text"/>
    <w:basedOn w:val="Normal"/>
    <w:pPr>
      <w:jc w:val="both"/>
    </w:pPr>
    <w:rPr>
      <w:rFonts w:ascii="Arial" w:hAnsi="Arial"/>
      <w:sz w:val="22"/>
      <w:lang w:val="en-US"/>
    </w:rPr>
  </w:style>
  <w:style w:type="paragraph" w:styleId="BodyTextIndent2">
    <w:name w:val="Body Text Indent 2"/>
    <w:basedOn w:val="Normal"/>
    <w:pPr>
      <w:ind w:left="360"/>
    </w:pPr>
    <w:rPr>
      <w:rFonts w:ascii="Arial" w:hAnsi="Arial"/>
      <w:sz w:val="22"/>
      <w:lang w:val="en-US"/>
    </w:rPr>
  </w:style>
  <w:style w:type="paragraph" w:styleId="BodyTextIndent">
    <w:name w:val="Body Text Indent"/>
    <w:basedOn w:val="Normal"/>
    <w:pPr>
      <w:spacing w:line="360" w:lineRule="auto"/>
      <w:ind w:left="360"/>
    </w:pPr>
    <w:rPr>
      <w:rFonts w:ascii="Arial" w:hAnsi="Arial"/>
      <w:sz w:val="24"/>
      <w:lang w:val="en-US"/>
    </w:rPr>
  </w:style>
  <w:style w:type="paragraph" w:styleId="BlockText">
    <w:name w:val="Block Text"/>
    <w:basedOn w:val="Normal"/>
    <w:pPr>
      <w:spacing w:line="360" w:lineRule="auto"/>
      <w:ind w:left="360" w:right="418"/>
    </w:pPr>
    <w:rPr>
      <w:rFonts w:ascii="Arial" w:hAnsi="Arial"/>
      <w:sz w:val="24"/>
      <w:lang w:val="en-US"/>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qFormat/>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paragraph" w:styleId="FootnoteText">
    <w:name w:val="footnote text"/>
    <w:basedOn w:val="Normal"/>
    <w:semiHidden/>
    <w:rsid w:val="00986BC9"/>
  </w:style>
  <w:style w:type="character" w:styleId="FootnoteReference">
    <w:name w:val="footnote reference"/>
    <w:semiHidden/>
    <w:rsid w:val="00986BC9"/>
    <w:rPr>
      <w:vertAlign w:val="superscript"/>
    </w:rPr>
  </w:style>
  <w:style w:type="character" w:styleId="Strong">
    <w:name w:val="Strong"/>
    <w:qFormat/>
    <w:rsid w:val="008A7AAD"/>
    <w:rPr>
      <w:b/>
      <w:bCs/>
    </w:rPr>
  </w:style>
  <w:style w:type="paragraph" w:styleId="ListParagraph">
    <w:name w:val="List Paragraph"/>
    <w:basedOn w:val="Normal"/>
    <w:uiPriority w:val="34"/>
    <w:qFormat/>
    <w:rsid w:val="008A7AAD"/>
    <w:pPr>
      <w:ind w:left="720"/>
    </w:pPr>
  </w:style>
  <w:style w:type="character" w:customStyle="1" w:styleId="FooterChar">
    <w:name w:val="Footer Char"/>
    <w:link w:val="Footer"/>
    <w:uiPriority w:val="99"/>
    <w:rsid w:val="00E8489F"/>
    <w:rPr>
      <w:lang w:eastAsia="en-US"/>
    </w:rPr>
  </w:style>
  <w:style w:type="paragraph" w:styleId="Revision">
    <w:name w:val="Revision"/>
    <w:hidden/>
    <w:uiPriority w:val="99"/>
    <w:semiHidden/>
    <w:rsid w:val="00290FA8"/>
    <w:rPr>
      <w:lang w:eastAsia="en-US"/>
    </w:rPr>
  </w:style>
  <w:style w:type="character" w:styleId="CommentReference">
    <w:name w:val="annotation reference"/>
    <w:uiPriority w:val="99"/>
    <w:rsid w:val="00EC75FD"/>
    <w:rPr>
      <w:sz w:val="16"/>
      <w:szCs w:val="16"/>
    </w:rPr>
  </w:style>
  <w:style w:type="paragraph" w:styleId="CommentText">
    <w:name w:val="annotation text"/>
    <w:basedOn w:val="Normal"/>
    <w:link w:val="CommentTextChar"/>
    <w:uiPriority w:val="99"/>
    <w:rsid w:val="00EC75FD"/>
    <w:rPr>
      <w:lang w:val="x-none"/>
    </w:rPr>
  </w:style>
  <w:style w:type="character" w:customStyle="1" w:styleId="CommentTextChar">
    <w:name w:val="Comment Text Char"/>
    <w:link w:val="CommentText"/>
    <w:uiPriority w:val="99"/>
    <w:rsid w:val="00EC75FD"/>
    <w:rPr>
      <w:lang w:eastAsia="en-US"/>
    </w:rPr>
  </w:style>
  <w:style w:type="paragraph" w:styleId="CommentSubject">
    <w:name w:val="annotation subject"/>
    <w:basedOn w:val="CommentText"/>
    <w:next w:val="CommentText"/>
    <w:link w:val="CommentSubjectChar"/>
    <w:rsid w:val="00EC75FD"/>
    <w:rPr>
      <w:b/>
      <w:bCs/>
    </w:rPr>
  </w:style>
  <w:style w:type="character" w:customStyle="1" w:styleId="CommentSubjectChar">
    <w:name w:val="Comment Subject Char"/>
    <w:link w:val="CommentSubject"/>
    <w:rsid w:val="00EC75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Ruth Barnard</cp:lastModifiedBy>
  <cp:revision>2</cp:revision>
  <cp:lastPrinted>2008-08-14T10:47:00Z</cp:lastPrinted>
  <dcterms:created xsi:type="dcterms:W3CDTF">2017-03-06T11:57:00Z</dcterms:created>
  <dcterms:modified xsi:type="dcterms:W3CDTF">2017-03-06T11:57:00Z</dcterms:modified>
</cp:coreProperties>
</file>