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28" w:rsidRPr="00D92A0C" w:rsidRDefault="009A2D37" w:rsidP="00D92A0C">
      <w:pPr>
        <w:pStyle w:val="ListParagraph"/>
        <w:numPr>
          <w:ilvl w:val="0"/>
          <w:numId w:val="16"/>
        </w:numPr>
        <w:spacing w:after="120" w:line="240" w:lineRule="auto"/>
        <w:ind w:left="425" w:right="261" w:hanging="425"/>
        <w:rPr>
          <w:rFonts w:ascii="Arial" w:hAnsi="Arial" w:cs="Arial"/>
          <w:b/>
        </w:rPr>
      </w:pPr>
      <w:r w:rsidRPr="00D92A0C">
        <w:rPr>
          <w:rFonts w:ascii="Arial" w:hAnsi="Arial" w:cs="Arial"/>
          <w:b/>
        </w:rPr>
        <w:t>Title of the modul</w:t>
      </w:r>
      <w:r w:rsidR="00F41128" w:rsidRPr="00D92A0C">
        <w:rPr>
          <w:rFonts w:ascii="Arial" w:hAnsi="Arial" w:cs="Arial"/>
          <w:b/>
        </w:rPr>
        <w:t>e</w:t>
      </w:r>
    </w:p>
    <w:p w:rsidR="005D1D82" w:rsidRPr="00F41128" w:rsidRDefault="00F41128" w:rsidP="00D92A0C">
      <w:pPr>
        <w:spacing w:after="0" w:line="240" w:lineRule="auto"/>
        <w:ind w:right="260"/>
        <w:jc w:val="both"/>
        <w:rPr>
          <w:rFonts w:ascii="Arial" w:hAnsi="Arial" w:cs="Arial"/>
        </w:rPr>
      </w:pPr>
      <w:r>
        <w:rPr>
          <w:rFonts w:ascii="Arial" w:hAnsi="Arial" w:cs="Arial"/>
          <w:b/>
        </w:rPr>
        <w:tab/>
      </w:r>
      <w:r w:rsidR="005D1D82" w:rsidRPr="00F41128">
        <w:rPr>
          <w:rFonts w:ascii="Arial" w:hAnsi="Arial" w:cs="Arial"/>
        </w:rPr>
        <w:t>BI628 Microbial Physiology and Genetics II</w:t>
      </w:r>
    </w:p>
    <w:p w:rsidR="00912D51" w:rsidRDefault="00912D51" w:rsidP="00F41128">
      <w:pPr>
        <w:spacing w:after="0" w:line="240" w:lineRule="auto"/>
        <w:ind w:left="426" w:right="260"/>
        <w:jc w:val="both"/>
        <w:rPr>
          <w:rFonts w:ascii="Arial" w:hAnsi="Arial" w:cs="Arial"/>
          <w:i/>
          <w:iCs/>
        </w:rPr>
      </w:pPr>
    </w:p>
    <w:p w:rsidR="009A2D37" w:rsidRPr="00D92A0C" w:rsidRDefault="009A2D37" w:rsidP="00D92A0C">
      <w:pPr>
        <w:pStyle w:val="ListParagraph"/>
        <w:numPr>
          <w:ilvl w:val="0"/>
          <w:numId w:val="16"/>
        </w:numPr>
        <w:spacing w:after="120" w:line="240" w:lineRule="auto"/>
        <w:ind w:left="425" w:right="261" w:hanging="425"/>
        <w:jc w:val="both"/>
        <w:rPr>
          <w:rFonts w:ascii="Arial" w:hAnsi="Arial" w:cs="Arial"/>
          <w:i/>
          <w:iCs/>
        </w:rPr>
      </w:pPr>
      <w:r w:rsidRPr="00D92A0C">
        <w:rPr>
          <w:rFonts w:ascii="Arial" w:hAnsi="Arial" w:cs="Arial"/>
          <w:b/>
        </w:rPr>
        <w:t>School or partner institution which will be responsible for management of the module</w:t>
      </w:r>
    </w:p>
    <w:p w:rsidR="003B086D" w:rsidRPr="00D92A0C" w:rsidRDefault="00F41128" w:rsidP="00F41128">
      <w:pPr>
        <w:spacing w:after="0" w:line="240" w:lineRule="auto"/>
        <w:ind w:right="260" w:firstLine="426"/>
        <w:rPr>
          <w:rFonts w:ascii="Arial" w:hAnsi="Arial" w:cs="Arial"/>
          <w:iCs/>
        </w:rPr>
      </w:pPr>
      <w:r>
        <w:rPr>
          <w:rFonts w:ascii="Arial" w:hAnsi="Arial" w:cs="Arial"/>
          <w:i/>
          <w:iCs/>
        </w:rPr>
        <w:tab/>
      </w:r>
      <w:r w:rsidR="003B086D" w:rsidRPr="00255717">
        <w:rPr>
          <w:rFonts w:ascii="Arial" w:hAnsi="Arial" w:cs="Arial"/>
          <w:iCs/>
        </w:rPr>
        <w:t>Biosciences</w:t>
      </w:r>
    </w:p>
    <w:p w:rsidR="009A2D37" w:rsidRPr="00302082" w:rsidRDefault="009A2D37" w:rsidP="00F41128">
      <w:pPr>
        <w:spacing w:after="0" w:line="240" w:lineRule="auto"/>
        <w:ind w:left="426" w:right="260"/>
        <w:rPr>
          <w:rFonts w:ascii="Arial" w:hAnsi="Arial" w:cs="Arial"/>
          <w:i/>
          <w:iCs/>
        </w:rPr>
      </w:pPr>
    </w:p>
    <w:p w:rsidR="00F41128" w:rsidRPr="00112764" w:rsidRDefault="009A2D37" w:rsidP="00D92A0C">
      <w:pPr>
        <w:pStyle w:val="ListParagraph"/>
        <w:numPr>
          <w:ilvl w:val="0"/>
          <w:numId w:val="16"/>
        </w:numPr>
        <w:ind w:left="425" w:right="261" w:hanging="425"/>
      </w:pPr>
      <w:r w:rsidRPr="00F41128">
        <w:rPr>
          <w:rFonts w:ascii="Arial" w:hAnsi="Arial" w:cs="Arial"/>
          <w:b/>
        </w:rPr>
        <w:t xml:space="preserve">The level of the module (e.g. </w:t>
      </w:r>
      <w:r w:rsidR="00D83563" w:rsidRPr="00F41128">
        <w:rPr>
          <w:rFonts w:ascii="Arial" w:hAnsi="Arial" w:cs="Arial"/>
          <w:b/>
        </w:rPr>
        <w:t>Level</w:t>
      </w:r>
      <w:r w:rsidR="00441E76" w:rsidRPr="00F41128">
        <w:rPr>
          <w:rFonts w:ascii="Arial" w:hAnsi="Arial" w:cs="Arial"/>
          <w:b/>
        </w:rPr>
        <w:t xml:space="preserve"> 4</w:t>
      </w:r>
      <w:r w:rsidR="001D0C7D" w:rsidRPr="00F41128">
        <w:rPr>
          <w:rFonts w:ascii="Arial" w:hAnsi="Arial" w:cs="Arial"/>
          <w:b/>
        </w:rPr>
        <w:t xml:space="preserve">, </w:t>
      </w:r>
      <w:r w:rsidR="00441E76" w:rsidRPr="00F41128">
        <w:rPr>
          <w:rFonts w:ascii="Arial" w:hAnsi="Arial" w:cs="Arial"/>
          <w:b/>
        </w:rPr>
        <w:t>Level 5</w:t>
      </w:r>
      <w:r w:rsidR="001D0C7D" w:rsidRPr="00F41128">
        <w:rPr>
          <w:rFonts w:ascii="Arial" w:hAnsi="Arial" w:cs="Arial"/>
          <w:b/>
        </w:rPr>
        <w:t xml:space="preserve">, </w:t>
      </w:r>
      <w:r w:rsidR="00441E76" w:rsidRPr="00F41128">
        <w:rPr>
          <w:rFonts w:ascii="Arial" w:hAnsi="Arial" w:cs="Arial"/>
          <w:b/>
        </w:rPr>
        <w:t>Level 6</w:t>
      </w:r>
      <w:r w:rsidR="001D0C7D" w:rsidRPr="00F41128">
        <w:rPr>
          <w:rFonts w:ascii="Arial" w:hAnsi="Arial" w:cs="Arial"/>
          <w:b/>
        </w:rPr>
        <w:t xml:space="preserve"> or </w:t>
      </w:r>
      <w:r w:rsidR="00C612A8" w:rsidRPr="00F41128">
        <w:rPr>
          <w:rFonts w:ascii="Arial" w:hAnsi="Arial" w:cs="Arial"/>
          <w:b/>
        </w:rPr>
        <w:t>L</w:t>
      </w:r>
      <w:r w:rsidR="00441E76" w:rsidRPr="00F41128">
        <w:rPr>
          <w:rFonts w:ascii="Arial" w:hAnsi="Arial" w:cs="Arial"/>
          <w:b/>
        </w:rPr>
        <w:t>evel 7</w:t>
      </w:r>
      <w:r w:rsidRPr="00F41128">
        <w:rPr>
          <w:rFonts w:ascii="Arial" w:hAnsi="Arial" w:cs="Arial"/>
          <w:b/>
        </w:rPr>
        <w:t>)</w:t>
      </w:r>
    </w:p>
    <w:p w:rsidR="003B086D" w:rsidRDefault="003B086D" w:rsidP="00D92A0C">
      <w:pPr>
        <w:spacing w:after="0" w:line="240" w:lineRule="auto"/>
        <w:ind w:right="260" w:firstLine="720"/>
        <w:jc w:val="both"/>
        <w:rPr>
          <w:rFonts w:ascii="Arial" w:hAnsi="Arial" w:cs="Arial"/>
        </w:rPr>
      </w:pPr>
      <w:r w:rsidRPr="00255717">
        <w:rPr>
          <w:rFonts w:ascii="Arial" w:hAnsi="Arial" w:cs="Arial"/>
        </w:rPr>
        <w:t xml:space="preserve">Level </w:t>
      </w:r>
      <w:r w:rsidR="00F41128">
        <w:rPr>
          <w:rFonts w:ascii="Arial" w:hAnsi="Arial" w:cs="Arial"/>
        </w:rPr>
        <w:t>6</w:t>
      </w:r>
    </w:p>
    <w:p w:rsidR="00F41128" w:rsidRPr="00255717" w:rsidRDefault="00F41128" w:rsidP="00D92A0C">
      <w:pPr>
        <w:spacing w:after="0" w:line="240" w:lineRule="auto"/>
        <w:ind w:right="260" w:firstLine="720"/>
        <w:jc w:val="both"/>
        <w:rPr>
          <w:rFonts w:ascii="Arial" w:hAnsi="Arial" w:cs="Arial"/>
        </w:rPr>
      </w:pPr>
    </w:p>
    <w:p w:rsidR="009A2D37" w:rsidRPr="00FB79FB" w:rsidRDefault="009A2D37" w:rsidP="00FB79FB">
      <w:pPr>
        <w:numPr>
          <w:ilvl w:val="0"/>
          <w:numId w:val="10"/>
        </w:numPr>
        <w:spacing w:after="120" w:line="240" w:lineRule="auto"/>
        <w:ind w:left="426" w:right="260" w:hanging="426"/>
        <w:jc w:val="both"/>
        <w:rPr>
          <w:rFonts w:ascii="Arial" w:hAnsi="Arial" w:cs="Arial"/>
        </w:rPr>
      </w:pPr>
      <w:r w:rsidRPr="00FB79FB">
        <w:rPr>
          <w:rFonts w:ascii="Arial" w:hAnsi="Arial" w:cs="Arial"/>
          <w:b/>
        </w:rPr>
        <w:t>The number of credits and the ECTS value which the module represents</w:t>
      </w:r>
      <w:r w:rsidRPr="00FB79FB">
        <w:rPr>
          <w:rFonts w:ascii="Arial" w:hAnsi="Arial" w:cs="Arial"/>
        </w:rPr>
        <w:t xml:space="preserve"> </w:t>
      </w:r>
    </w:p>
    <w:p w:rsidR="003B086D" w:rsidRPr="00D92A0C" w:rsidRDefault="003B086D" w:rsidP="00D92A0C">
      <w:pPr>
        <w:spacing w:after="0" w:line="240" w:lineRule="auto"/>
        <w:ind w:right="-330" w:firstLine="720"/>
        <w:rPr>
          <w:rFonts w:ascii="Arial" w:hAnsi="Arial" w:cs="Arial"/>
        </w:rPr>
      </w:pPr>
      <w:r w:rsidRPr="00D92A0C">
        <w:rPr>
          <w:rFonts w:ascii="Arial" w:hAnsi="Arial" w:cs="Arial"/>
        </w:rPr>
        <w:t>15 credits (7.5 ECTS)</w:t>
      </w:r>
    </w:p>
    <w:p w:rsidR="009A2D37" w:rsidRPr="00302082" w:rsidRDefault="009A2D37" w:rsidP="00302082">
      <w:pPr>
        <w:spacing w:after="120" w:line="240" w:lineRule="auto"/>
        <w:ind w:left="426" w:right="260"/>
        <w:rPr>
          <w:rFonts w:ascii="Arial" w:hAnsi="Arial" w:cs="Arial"/>
          <w:i/>
        </w:rPr>
      </w:pPr>
    </w:p>
    <w:p w:rsidR="009A2D37" w:rsidRPr="00297B9B" w:rsidRDefault="009A2D37" w:rsidP="004B527F">
      <w:pPr>
        <w:numPr>
          <w:ilvl w:val="0"/>
          <w:numId w:val="10"/>
        </w:numPr>
        <w:spacing w:after="120" w:line="240" w:lineRule="auto"/>
        <w:ind w:left="426" w:right="260" w:hanging="426"/>
        <w:jc w:val="both"/>
        <w:rPr>
          <w:rFonts w:ascii="Arial" w:hAnsi="Arial" w:cs="Arial"/>
        </w:rPr>
      </w:pPr>
      <w:r w:rsidRPr="00297B9B">
        <w:rPr>
          <w:rFonts w:ascii="Arial" w:hAnsi="Arial" w:cs="Arial"/>
          <w:b/>
        </w:rPr>
        <w:t>Which term(s) the module is to be taught in (or other teaching pattern)</w:t>
      </w:r>
    </w:p>
    <w:p w:rsidR="00F41128" w:rsidRDefault="003B086D" w:rsidP="00F41128">
      <w:pPr>
        <w:spacing w:after="0" w:line="240" w:lineRule="auto"/>
        <w:ind w:left="426" w:right="260" w:firstLine="294"/>
        <w:rPr>
          <w:rFonts w:ascii="Arial" w:hAnsi="Arial" w:cs="Arial"/>
          <w:iCs/>
        </w:rPr>
      </w:pPr>
      <w:r w:rsidRPr="00912D51">
        <w:rPr>
          <w:rFonts w:ascii="Arial" w:hAnsi="Arial" w:cs="Arial"/>
          <w:iCs/>
        </w:rPr>
        <w:t xml:space="preserve">Autumn and </w:t>
      </w:r>
      <w:proofErr w:type="gramStart"/>
      <w:r w:rsidRPr="00912D51">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297B9B" w:rsidRDefault="009A2D37" w:rsidP="004B527F">
      <w:pPr>
        <w:numPr>
          <w:ilvl w:val="0"/>
          <w:numId w:val="10"/>
        </w:numPr>
        <w:spacing w:after="120" w:line="240" w:lineRule="auto"/>
        <w:ind w:left="426" w:right="260" w:hanging="426"/>
        <w:jc w:val="both"/>
        <w:rPr>
          <w:rFonts w:ascii="Arial" w:hAnsi="Arial" w:cs="Arial"/>
        </w:rPr>
      </w:pPr>
      <w:r w:rsidRPr="00297B9B">
        <w:rPr>
          <w:rFonts w:ascii="Arial" w:hAnsi="Arial" w:cs="Arial"/>
          <w:b/>
        </w:rPr>
        <w:t>Prerequisite</w:t>
      </w:r>
      <w:r w:rsidRPr="00297B9B">
        <w:rPr>
          <w:rFonts w:ascii="Arial" w:hAnsi="Arial" w:cs="Arial"/>
        </w:rPr>
        <w:t xml:space="preserve"> </w:t>
      </w:r>
      <w:r w:rsidRPr="00297B9B">
        <w:rPr>
          <w:rFonts w:ascii="Arial" w:hAnsi="Arial" w:cs="Arial"/>
          <w:b/>
        </w:rPr>
        <w:t>and co-requisite modules</w:t>
      </w:r>
    </w:p>
    <w:p w:rsidR="00FB79FB" w:rsidRPr="00912D51" w:rsidRDefault="00041F2B" w:rsidP="00D92A0C">
      <w:pPr>
        <w:spacing w:after="0" w:line="240" w:lineRule="auto"/>
        <w:ind w:left="426" w:right="260" w:firstLine="294"/>
        <w:rPr>
          <w:rFonts w:ascii="Arial" w:hAnsi="Arial" w:cs="Arial"/>
          <w:iCs/>
        </w:rPr>
      </w:pPr>
      <w:r w:rsidRPr="00912D51">
        <w:rPr>
          <w:rFonts w:ascii="Arial" w:hAnsi="Arial" w:cs="Arial"/>
          <w:iCs/>
        </w:rPr>
        <w:t xml:space="preserve">BI548 </w:t>
      </w:r>
      <w:r w:rsidR="003E6824" w:rsidRPr="00912D51">
        <w:rPr>
          <w:rFonts w:ascii="Arial" w:hAnsi="Arial" w:cs="Arial"/>
          <w:iCs/>
        </w:rPr>
        <w:t>Microbial</w:t>
      </w:r>
      <w:r w:rsidRPr="00912D51">
        <w:rPr>
          <w:rFonts w:ascii="Arial" w:hAnsi="Arial" w:cs="Arial"/>
          <w:iCs/>
        </w:rPr>
        <w:t xml:space="preserve"> Physiology and Genetics I</w:t>
      </w:r>
    </w:p>
    <w:p w:rsidR="009A2D37" w:rsidRPr="00302082" w:rsidRDefault="009A2D37" w:rsidP="00302082">
      <w:pPr>
        <w:spacing w:after="120" w:line="240" w:lineRule="auto"/>
        <w:ind w:left="426" w:right="260"/>
        <w:rPr>
          <w:rFonts w:ascii="Arial" w:hAnsi="Arial" w:cs="Arial"/>
          <w:i/>
          <w:iCs/>
        </w:rPr>
      </w:pPr>
    </w:p>
    <w:p w:rsidR="009A2D37" w:rsidRPr="00297B9B" w:rsidRDefault="009A2D37" w:rsidP="004B527F">
      <w:pPr>
        <w:numPr>
          <w:ilvl w:val="0"/>
          <w:numId w:val="10"/>
        </w:numPr>
        <w:spacing w:after="120" w:line="240" w:lineRule="auto"/>
        <w:ind w:left="426" w:right="260" w:hanging="426"/>
        <w:jc w:val="both"/>
        <w:rPr>
          <w:rFonts w:ascii="Arial" w:hAnsi="Arial" w:cs="Arial"/>
        </w:rPr>
      </w:pPr>
      <w:r w:rsidRPr="00297B9B">
        <w:rPr>
          <w:rFonts w:ascii="Arial" w:hAnsi="Arial" w:cs="Arial"/>
          <w:b/>
        </w:rPr>
        <w:t>The programmes of study to which the module contribute</w:t>
      </w:r>
      <w:r w:rsidRPr="00297B9B">
        <w:rPr>
          <w:rFonts w:ascii="Arial" w:hAnsi="Arial" w:cs="Arial"/>
        </w:rPr>
        <w:t>s</w:t>
      </w:r>
    </w:p>
    <w:p w:rsidR="003450B0" w:rsidRPr="002C6240" w:rsidRDefault="003450B0" w:rsidP="00F41128">
      <w:pPr>
        <w:spacing w:after="0" w:line="240" w:lineRule="auto"/>
        <w:ind w:left="426" w:right="260"/>
        <w:rPr>
          <w:rFonts w:ascii="Arial" w:hAnsi="Arial" w:cs="Arial"/>
          <w:iCs/>
        </w:rPr>
      </w:pPr>
      <w:r w:rsidRPr="002C6240">
        <w:rPr>
          <w:rFonts w:ascii="Arial" w:hAnsi="Arial" w:cs="Arial"/>
          <w:iCs/>
        </w:rPr>
        <w:t xml:space="preserve">Biology </w:t>
      </w:r>
      <w:r w:rsidR="00F41128">
        <w:rPr>
          <w:rFonts w:ascii="Arial" w:hAnsi="Arial" w:cs="Arial"/>
          <w:iCs/>
        </w:rPr>
        <w:t xml:space="preserve">and related programmes </w:t>
      </w:r>
      <w:r w:rsidRPr="002C6240">
        <w:rPr>
          <w:rFonts w:ascii="Arial" w:hAnsi="Arial" w:cs="Arial"/>
          <w:iCs/>
        </w:rPr>
        <w:t>(c</w:t>
      </w:r>
      <w:r w:rsidR="00F41128">
        <w:rPr>
          <w:rFonts w:ascii="Arial" w:hAnsi="Arial" w:cs="Arial"/>
          <w:iCs/>
        </w:rPr>
        <w:t>ompulsory</w:t>
      </w:r>
      <w:r w:rsidRPr="002C6240">
        <w:rPr>
          <w:rFonts w:ascii="Arial" w:hAnsi="Arial" w:cs="Arial"/>
          <w:iCs/>
        </w:rPr>
        <w:t xml:space="preserve">) and Biochemistry </w:t>
      </w:r>
      <w:r w:rsidR="00F41128">
        <w:rPr>
          <w:rFonts w:ascii="Arial" w:hAnsi="Arial" w:cs="Arial"/>
          <w:iCs/>
        </w:rPr>
        <w:t xml:space="preserve">and related programmes </w:t>
      </w:r>
      <w:r w:rsidRPr="002C6240">
        <w:rPr>
          <w:rFonts w:ascii="Arial" w:hAnsi="Arial" w:cs="Arial"/>
          <w:iCs/>
        </w:rPr>
        <w:t>(optional)</w:t>
      </w:r>
    </w:p>
    <w:p w:rsidR="009A2D37" w:rsidRPr="00302082" w:rsidRDefault="009A2D37" w:rsidP="00302082">
      <w:pPr>
        <w:spacing w:after="120" w:line="240" w:lineRule="auto"/>
        <w:ind w:left="426" w:right="260"/>
        <w:rPr>
          <w:rFonts w:ascii="Arial" w:hAnsi="Arial" w:cs="Arial"/>
          <w:i/>
          <w:iCs/>
        </w:rPr>
      </w:pPr>
    </w:p>
    <w:p w:rsidR="009A2D37" w:rsidRPr="00297B9B" w:rsidRDefault="009A2D37" w:rsidP="004B527F">
      <w:pPr>
        <w:numPr>
          <w:ilvl w:val="0"/>
          <w:numId w:val="10"/>
        </w:numPr>
        <w:spacing w:after="120" w:line="240" w:lineRule="auto"/>
        <w:ind w:left="426" w:right="260" w:hanging="426"/>
        <w:rPr>
          <w:rFonts w:ascii="Arial" w:hAnsi="Arial" w:cs="Arial"/>
        </w:rPr>
      </w:pPr>
      <w:r w:rsidRPr="00297B9B">
        <w:rPr>
          <w:rFonts w:ascii="Arial" w:hAnsi="Arial" w:cs="Arial"/>
          <w:b/>
        </w:rPr>
        <w:t>The intended subject specific learning outcomes</w:t>
      </w:r>
      <w:r w:rsidR="00C729D7" w:rsidRPr="00297B9B">
        <w:rPr>
          <w:rFonts w:ascii="Arial" w:hAnsi="Arial" w:cs="Arial"/>
          <w:b/>
        </w:rPr>
        <w:t>.</w:t>
      </w:r>
      <w:r w:rsidR="00C729D7" w:rsidRPr="00297B9B">
        <w:rPr>
          <w:rFonts w:ascii="Arial" w:hAnsi="Arial" w:cs="Arial"/>
        </w:rPr>
        <w:br/>
      </w:r>
      <w:r w:rsidR="00C729D7" w:rsidRPr="00297B9B">
        <w:rPr>
          <w:rFonts w:ascii="Arial" w:hAnsi="Arial" w:cs="Arial"/>
          <w:b/>
        </w:rPr>
        <w:t>On successfully completing the module students will be able to</w:t>
      </w:r>
      <w:r w:rsidR="00F41128">
        <w:rPr>
          <w:rFonts w:ascii="Arial" w:hAnsi="Arial" w:cs="Arial"/>
          <w:b/>
        </w:rPr>
        <w:t xml:space="preserve"> demonstrate an understanding of: </w:t>
      </w:r>
    </w:p>
    <w:p w:rsidR="00F56853" w:rsidRPr="00F41128" w:rsidRDefault="00912D51" w:rsidP="001F3BDC">
      <w:pPr>
        <w:spacing w:after="0" w:line="240" w:lineRule="auto"/>
        <w:ind w:left="1080" w:hanging="360"/>
        <w:rPr>
          <w:rFonts w:ascii="Arial" w:hAnsi="Arial" w:cs="Arial"/>
        </w:rPr>
      </w:pPr>
      <w:r w:rsidRPr="00F41128">
        <w:rPr>
          <w:rFonts w:ascii="Arial" w:hAnsi="Arial" w:cs="Arial"/>
        </w:rPr>
        <w:t>8.</w:t>
      </w:r>
      <w:r w:rsidR="00F56853" w:rsidRPr="00F41128">
        <w:rPr>
          <w:rFonts w:ascii="Arial" w:hAnsi="Arial" w:cs="Arial"/>
        </w:rPr>
        <w:t>1</w:t>
      </w:r>
      <w:r w:rsidR="00F56853" w:rsidRPr="00F41128">
        <w:rPr>
          <w:rFonts w:ascii="Arial" w:hAnsi="Arial" w:cs="Arial"/>
        </w:rPr>
        <w:tab/>
        <w:t xml:space="preserve">The structural and metabolic diversity of microorganisms </w:t>
      </w:r>
    </w:p>
    <w:p w:rsidR="00F56853" w:rsidRPr="00F41128" w:rsidRDefault="00912D51" w:rsidP="001F3BDC">
      <w:pPr>
        <w:spacing w:after="0" w:line="240" w:lineRule="auto"/>
        <w:ind w:left="1080" w:hanging="360"/>
        <w:rPr>
          <w:rFonts w:ascii="Arial" w:hAnsi="Arial" w:cs="Arial"/>
        </w:rPr>
      </w:pPr>
      <w:r w:rsidRPr="00F41128">
        <w:rPr>
          <w:rFonts w:ascii="Arial" w:hAnsi="Arial" w:cs="Arial"/>
        </w:rPr>
        <w:t>8.</w:t>
      </w:r>
      <w:r w:rsidR="00F56853" w:rsidRPr="00F41128">
        <w:rPr>
          <w:rFonts w:ascii="Arial" w:hAnsi="Arial" w:cs="Arial"/>
        </w:rPr>
        <w:t>2</w:t>
      </w:r>
      <w:r w:rsidR="00F56853" w:rsidRPr="00F41128">
        <w:rPr>
          <w:rFonts w:ascii="Arial" w:hAnsi="Arial" w:cs="Arial"/>
        </w:rPr>
        <w:tab/>
        <w:t>Genetic and physiological regulation in microorganisms</w:t>
      </w:r>
    </w:p>
    <w:p w:rsidR="00F56853" w:rsidRPr="00F41128" w:rsidRDefault="00912D51" w:rsidP="001F3BDC">
      <w:pPr>
        <w:spacing w:after="0" w:line="240" w:lineRule="auto"/>
        <w:ind w:left="1080" w:hanging="360"/>
        <w:rPr>
          <w:rFonts w:ascii="Arial" w:hAnsi="Arial" w:cs="Arial"/>
        </w:rPr>
      </w:pPr>
      <w:r w:rsidRPr="00F41128">
        <w:rPr>
          <w:rFonts w:ascii="Arial" w:hAnsi="Arial" w:cs="Arial"/>
        </w:rPr>
        <w:t>8.</w:t>
      </w:r>
      <w:r w:rsidR="00F56853" w:rsidRPr="00F41128">
        <w:rPr>
          <w:rFonts w:ascii="Arial" w:hAnsi="Arial" w:cs="Arial"/>
        </w:rPr>
        <w:t>3</w:t>
      </w:r>
      <w:r w:rsidR="00F56853" w:rsidRPr="00F41128">
        <w:rPr>
          <w:rFonts w:ascii="Arial" w:hAnsi="Arial" w:cs="Arial"/>
        </w:rPr>
        <w:tab/>
        <w:t xml:space="preserve">Experimental approaches used to investigate physiological and genetic control in microorganisms </w:t>
      </w:r>
    </w:p>
    <w:p w:rsidR="009A2D37" w:rsidRPr="00302082" w:rsidRDefault="009A2D37" w:rsidP="00302082">
      <w:pPr>
        <w:spacing w:after="120" w:line="240" w:lineRule="auto"/>
        <w:ind w:left="360" w:right="260"/>
        <w:rPr>
          <w:rFonts w:ascii="Arial" w:hAnsi="Arial" w:cs="Arial"/>
          <w:i/>
        </w:rPr>
      </w:pPr>
    </w:p>
    <w:p w:rsidR="00C729D7" w:rsidRPr="00297B9B" w:rsidRDefault="009A2D37" w:rsidP="004B527F">
      <w:pPr>
        <w:numPr>
          <w:ilvl w:val="0"/>
          <w:numId w:val="10"/>
        </w:numPr>
        <w:spacing w:after="120" w:line="240" w:lineRule="auto"/>
        <w:ind w:left="426" w:right="260" w:hanging="426"/>
        <w:rPr>
          <w:rFonts w:ascii="Arial" w:hAnsi="Arial" w:cs="Arial"/>
        </w:rPr>
      </w:pPr>
      <w:r w:rsidRPr="00297B9B">
        <w:rPr>
          <w:rFonts w:ascii="Arial" w:hAnsi="Arial" w:cs="Arial"/>
          <w:b/>
        </w:rPr>
        <w:t>The intended generic learning outcomes</w:t>
      </w:r>
      <w:r w:rsidR="00C729D7" w:rsidRPr="00297B9B">
        <w:rPr>
          <w:rFonts w:ascii="Arial" w:hAnsi="Arial" w:cs="Arial"/>
          <w:b/>
        </w:rPr>
        <w:t>.</w:t>
      </w:r>
      <w:r w:rsidR="00C729D7" w:rsidRPr="00297B9B">
        <w:rPr>
          <w:rFonts w:ascii="Arial" w:hAnsi="Arial" w:cs="Arial"/>
        </w:rPr>
        <w:br/>
      </w:r>
      <w:r w:rsidR="00C729D7" w:rsidRPr="00297B9B">
        <w:rPr>
          <w:rFonts w:ascii="Arial" w:hAnsi="Arial" w:cs="Arial"/>
          <w:b/>
        </w:rPr>
        <w:t xml:space="preserve">On successfully completing the module students will </w:t>
      </w:r>
      <w:r w:rsidR="00F41128">
        <w:rPr>
          <w:rFonts w:ascii="Arial" w:hAnsi="Arial" w:cs="Arial"/>
          <w:b/>
        </w:rPr>
        <w:t>have developed skills in</w:t>
      </w:r>
      <w:r w:rsidR="00C729D7" w:rsidRPr="00297B9B">
        <w:rPr>
          <w:rFonts w:ascii="Arial" w:hAnsi="Arial" w:cs="Arial"/>
          <w:b/>
        </w:rPr>
        <w:t>:</w:t>
      </w:r>
    </w:p>
    <w:p w:rsidR="005E708D" w:rsidRPr="00D92A0C" w:rsidRDefault="00912D51" w:rsidP="00D92A0C">
      <w:pPr>
        <w:spacing w:after="0" w:line="240" w:lineRule="auto"/>
        <w:ind w:firstLine="720"/>
        <w:jc w:val="both"/>
        <w:rPr>
          <w:rFonts w:ascii="Arial" w:hAnsi="Arial" w:cs="Arial"/>
        </w:rPr>
      </w:pPr>
      <w:proofErr w:type="gramStart"/>
      <w:r w:rsidRPr="00F41128">
        <w:rPr>
          <w:rFonts w:ascii="Arial" w:hAnsi="Arial" w:cs="Arial"/>
        </w:rPr>
        <w:t>9.</w:t>
      </w:r>
      <w:r w:rsidR="005E708D" w:rsidRPr="00D92A0C">
        <w:rPr>
          <w:rFonts w:ascii="Arial" w:hAnsi="Arial" w:cs="Arial"/>
        </w:rPr>
        <w:t>1  Written</w:t>
      </w:r>
      <w:proofErr w:type="gramEnd"/>
      <w:r w:rsidR="005E708D" w:rsidRPr="00D92A0C">
        <w:rPr>
          <w:rFonts w:ascii="Arial" w:hAnsi="Arial" w:cs="Arial"/>
        </w:rPr>
        <w:t xml:space="preserve"> communication</w:t>
      </w:r>
    </w:p>
    <w:p w:rsidR="005E708D" w:rsidRPr="00D92A0C" w:rsidRDefault="00912D51" w:rsidP="00D92A0C">
      <w:pPr>
        <w:spacing w:after="0" w:line="240" w:lineRule="auto"/>
        <w:ind w:firstLine="720"/>
        <w:jc w:val="both"/>
        <w:rPr>
          <w:rFonts w:ascii="Arial" w:hAnsi="Arial" w:cs="Arial"/>
        </w:rPr>
      </w:pPr>
      <w:proofErr w:type="gramStart"/>
      <w:r w:rsidRPr="00F41128">
        <w:rPr>
          <w:rFonts w:ascii="Arial" w:hAnsi="Arial" w:cs="Arial"/>
        </w:rPr>
        <w:t>9.</w:t>
      </w:r>
      <w:r w:rsidR="005E708D" w:rsidRPr="00D92A0C">
        <w:rPr>
          <w:rFonts w:ascii="Arial" w:hAnsi="Arial" w:cs="Arial"/>
        </w:rPr>
        <w:t>2  The</w:t>
      </w:r>
      <w:proofErr w:type="gramEnd"/>
      <w:r w:rsidR="005E708D" w:rsidRPr="00D92A0C">
        <w:rPr>
          <w:rFonts w:ascii="Arial" w:hAnsi="Arial" w:cs="Arial"/>
        </w:rPr>
        <w:t xml:space="preserve"> ability to generate, analyse and report experimental data  </w:t>
      </w:r>
    </w:p>
    <w:p w:rsidR="005E708D" w:rsidRPr="00D92A0C" w:rsidRDefault="00912D51" w:rsidP="00D92A0C">
      <w:pPr>
        <w:spacing w:after="0" w:line="240" w:lineRule="auto"/>
        <w:ind w:left="720"/>
        <w:jc w:val="both"/>
        <w:rPr>
          <w:rFonts w:ascii="Arial" w:hAnsi="Arial" w:cs="Arial"/>
        </w:rPr>
      </w:pPr>
      <w:r w:rsidRPr="00F41128">
        <w:rPr>
          <w:rFonts w:ascii="Arial" w:hAnsi="Arial" w:cs="Arial"/>
        </w:rPr>
        <w:t>9.</w:t>
      </w:r>
      <w:r w:rsidR="005E708D" w:rsidRPr="00D92A0C">
        <w:rPr>
          <w:rFonts w:ascii="Arial" w:hAnsi="Arial" w:cs="Arial"/>
        </w:rPr>
        <w:t xml:space="preserve">3 The ability to work collectively to analyse and present orally data reported in the scientific literature </w:t>
      </w:r>
    </w:p>
    <w:p w:rsidR="009A2D37" w:rsidRDefault="009A2D37" w:rsidP="00302082">
      <w:pPr>
        <w:pStyle w:val="Default"/>
        <w:spacing w:after="120"/>
        <w:ind w:left="720" w:right="260"/>
        <w:rPr>
          <w:color w:val="auto"/>
          <w:sz w:val="22"/>
          <w:szCs w:val="22"/>
        </w:rPr>
      </w:pPr>
    </w:p>
    <w:p w:rsidR="00F41128" w:rsidRPr="00297B9B" w:rsidRDefault="009A2D37" w:rsidP="004B527F">
      <w:pPr>
        <w:numPr>
          <w:ilvl w:val="0"/>
          <w:numId w:val="10"/>
        </w:numPr>
        <w:spacing w:after="120" w:line="240" w:lineRule="auto"/>
        <w:ind w:left="426" w:right="260" w:hanging="426"/>
        <w:jc w:val="both"/>
        <w:rPr>
          <w:rFonts w:ascii="Arial" w:hAnsi="Arial" w:cs="Arial"/>
        </w:rPr>
      </w:pPr>
      <w:r w:rsidRPr="00297B9B">
        <w:rPr>
          <w:rFonts w:ascii="Arial" w:hAnsi="Arial" w:cs="Arial"/>
          <w:b/>
        </w:rPr>
        <w:t>A synopsis of the</w:t>
      </w:r>
      <w:r w:rsidRPr="00297B9B">
        <w:rPr>
          <w:rFonts w:ascii="Arial" w:hAnsi="Arial" w:cs="Arial"/>
        </w:rPr>
        <w:t xml:space="preserve"> </w:t>
      </w:r>
      <w:r w:rsidRPr="00297B9B">
        <w:rPr>
          <w:rFonts w:ascii="Arial" w:hAnsi="Arial" w:cs="Arial"/>
          <w:b/>
        </w:rPr>
        <w:t>curriculum</w:t>
      </w:r>
    </w:p>
    <w:p w:rsidR="008E470B" w:rsidRPr="00D92A0C" w:rsidRDefault="008E470B" w:rsidP="00D92A0C">
      <w:pPr>
        <w:spacing w:after="120" w:line="240" w:lineRule="auto"/>
        <w:ind w:left="426" w:right="260"/>
        <w:jc w:val="both"/>
        <w:rPr>
          <w:rFonts w:ascii="Arial" w:hAnsi="Arial" w:cs="Arial"/>
        </w:rPr>
      </w:pPr>
      <w:r w:rsidRPr="00D92A0C">
        <w:rPr>
          <w:rFonts w:ascii="Arial" w:hAnsi="Arial" w:cs="Arial"/>
          <w:b/>
          <w:u w:val="single"/>
        </w:rPr>
        <w:t>Lectures</w:t>
      </w:r>
      <w:r w:rsidRPr="00D92A0C">
        <w:rPr>
          <w:rFonts w:ascii="Arial" w:hAnsi="Arial" w:cs="Arial"/>
          <w:b/>
        </w:rPr>
        <w:t>:</w:t>
      </w:r>
      <w:r w:rsidRPr="00D92A0C">
        <w:rPr>
          <w:rFonts w:ascii="Arial" w:hAnsi="Arial" w:cs="Arial"/>
        </w:rPr>
        <w:t xml:space="preserve"> </w:t>
      </w:r>
    </w:p>
    <w:p w:rsidR="008E470B" w:rsidRPr="00D92A0C" w:rsidRDefault="00F41128" w:rsidP="00D92A0C">
      <w:pPr>
        <w:spacing w:line="240" w:lineRule="auto"/>
        <w:ind w:left="720" w:hanging="720"/>
        <w:rPr>
          <w:rFonts w:ascii="Arial" w:hAnsi="Arial" w:cs="Arial"/>
        </w:rPr>
      </w:pPr>
      <w:r>
        <w:rPr>
          <w:rFonts w:ascii="Arial" w:hAnsi="Arial" w:cs="Arial"/>
        </w:rPr>
        <w:tab/>
      </w:r>
      <w:r w:rsidR="008E470B" w:rsidRPr="00D92A0C">
        <w:rPr>
          <w:rFonts w:ascii="Arial" w:hAnsi="Arial" w:cs="Arial"/>
          <w:b/>
        </w:rPr>
        <w:t>Introduction:</w:t>
      </w:r>
      <w:r w:rsidR="008E470B" w:rsidRPr="00D92A0C">
        <w:rPr>
          <w:rFonts w:ascii="Arial" w:hAnsi="Arial" w:cs="Arial"/>
        </w:rPr>
        <w:t xml:space="preserve"> Outline of how physiological homeostasis and adaptation is achieved in the bacterial </w:t>
      </w:r>
      <w:proofErr w:type="gramStart"/>
      <w:r w:rsidR="008E470B" w:rsidRPr="00D92A0C">
        <w:rPr>
          <w:rFonts w:ascii="Arial" w:hAnsi="Arial" w:cs="Arial"/>
        </w:rPr>
        <w:t>cell</w:t>
      </w:r>
      <w:proofErr w:type="gramEnd"/>
      <w:r w:rsidR="008E470B" w:rsidRPr="00D92A0C">
        <w:rPr>
          <w:rFonts w:ascii="Arial" w:hAnsi="Arial" w:cs="Arial"/>
        </w:rPr>
        <w:t xml:space="preserve">. </w:t>
      </w:r>
    </w:p>
    <w:p w:rsidR="008E470B" w:rsidRPr="00D92A0C" w:rsidRDefault="008E470B" w:rsidP="00D92A0C">
      <w:pPr>
        <w:spacing w:line="240" w:lineRule="auto"/>
        <w:ind w:left="720"/>
        <w:rPr>
          <w:rFonts w:ascii="Arial" w:hAnsi="Arial" w:cs="Arial"/>
        </w:rPr>
      </w:pPr>
      <w:r w:rsidRPr="00D92A0C">
        <w:rPr>
          <w:rFonts w:ascii="Arial" w:hAnsi="Arial" w:cs="Arial"/>
          <w:b/>
        </w:rPr>
        <w:t>Experimental approaches used to study microbial physiology and genetics</w:t>
      </w:r>
      <w:r w:rsidRPr="00D92A0C">
        <w:rPr>
          <w:rFonts w:ascii="Arial" w:hAnsi="Arial" w:cs="Arial"/>
        </w:rPr>
        <w:t xml:space="preserve">: “Classical” and “reverse” genetics as applied to the study of bacteria. </w:t>
      </w:r>
      <w:proofErr w:type="gramStart"/>
      <w:r w:rsidRPr="00D92A0C">
        <w:rPr>
          <w:rFonts w:ascii="Arial" w:hAnsi="Arial" w:cs="Arial"/>
        </w:rPr>
        <w:t>The use of reporter fusions.</w:t>
      </w:r>
      <w:proofErr w:type="gramEnd"/>
      <w:r w:rsidRPr="00D92A0C">
        <w:rPr>
          <w:rFonts w:ascii="Arial" w:hAnsi="Arial" w:cs="Arial"/>
        </w:rPr>
        <w:t xml:space="preserve"> </w:t>
      </w:r>
      <w:proofErr w:type="gramStart"/>
      <w:r w:rsidRPr="00D92A0C">
        <w:rPr>
          <w:rFonts w:ascii="Arial" w:hAnsi="Arial" w:cs="Arial"/>
        </w:rPr>
        <w:t>Transcriptomic and proteomic analysis of gene expression.</w:t>
      </w:r>
      <w:proofErr w:type="gramEnd"/>
      <w:r w:rsidRPr="00D92A0C">
        <w:rPr>
          <w:rFonts w:ascii="Arial" w:hAnsi="Arial" w:cs="Arial"/>
        </w:rPr>
        <w:t xml:space="preserve"> </w:t>
      </w:r>
      <w:proofErr w:type="gramStart"/>
      <w:r w:rsidRPr="00D92A0C">
        <w:rPr>
          <w:rFonts w:ascii="Arial" w:hAnsi="Arial" w:cs="Arial"/>
        </w:rPr>
        <w:t>Deep sequencing and metagenomics.</w:t>
      </w:r>
      <w:proofErr w:type="gramEnd"/>
      <w:r w:rsidRPr="00D92A0C">
        <w:rPr>
          <w:rFonts w:ascii="Arial" w:hAnsi="Arial" w:cs="Arial"/>
        </w:rPr>
        <w:t xml:space="preserve"> </w:t>
      </w:r>
      <w:proofErr w:type="gramStart"/>
      <w:r w:rsidRPr="00D92A0C">
        <w:rPr>
          <w:rFonts w:ascii="Arial" w:hAnsi="Arial" w:cs="Arial"/>
        </w:rPr>
        <w:t>Protein-nucleic acid interactions.</w:t>
      </w:r>
      <w:proofErr w:type="gramEnd"/>
      <w:r w:rsidRPr="00D92A0C">
        <w:rPr>
          <w:rFonts w:ascii="Arial" w:hAnsi="Arial" w:cs="Arial"/>
        </w:rPr>
        <w:t xml:space="preserve"> </w:t>
      </w:r>
    </w:p>
    <w:p w:rsidR="008E470B" w:rsidRPr="00D92A0C" w:rsidRDefault="008E470B" w:rsidP="00D92A0C">
      <w:pPr>
        <w:spacing w:line="240" w:lineRule="auto"/>
        <w:ind w:left="720"/>
        <w:rPr>
          <w:rFonts w:ascii="Arial" w:hAnsi="Arial" w:cs="Arial"/>
        </w:rPr>
      </w:pPr>
      <w:r w:rsidRPr="00D92A0C">
        <w:rPr>
          <w:rFonts w:ascii="Arial" w:hAnsi="Arial" w:cs="Arial"/>
          <w:b/>
        </w:rPr>
        <w:t>Transcriptional and post-transcriptional regulation of gene expression in bacteria</w:t>
      </w:r>
      <w:r w:rsidRPr="00D92A0C">
        <w:rPr>
          <w:rFonts w:ascii="Arial" w:hAnsi="Arial" w:cs="Arial"/>
        </w:rPr>
        <w:t xml:space="preserve">: Transcription and translation in bacteria and the diverse mechanisms by which they are controlled. Phase variation and quorum sensing as modes of gene regulation. </w:t>
      </w:r>
    </w:p>
    <w:p w:rsidR="008E470B" w:rsidRPr="00D92A0C" w:rsidRDefault="008E470B" w:rsidP="00D92A0C">
      <w:pPr>
        <w:spacing w:line="240" w:lineRule="auto"/>
        <w:ind w:left="720"/>
        <w:rPr>
          <w:rFonts w:ascii="Arial" w:hAnsi="Arial" w:cs="Arial"/>
        </w:rPr>
      </w:pPr>
      <w:r w:rsidRPr="00D92A0C">
        <w:rPr>
          <w:rFonts w:ascii="Arial" w:hAnsi="Arial" w:cs="Arial"/>
          <w:b/>
        </w:rPr>
        <w:lastRenderedPageBreak/>
        <w:t>Complex signalling and physiological control</w:t>
      </w:r>
      <w:r w:rsidRPr="00D92A0C">
        <w:rPr>
          <w:rFonts w:ascii="Arial" w:hAnsi="Arial" w:cs="Arial"/>
        </w:rPr>
        <w:t>: Selected examples of physiological control in microorganisms, including the Sigma E envelope stress response pathway, regulation in response to nitrogen availability and nitric oxide stress, sensing, and detoxification mechanisms</w:t>
      </w:r>
      <w:r w:rsidR="00F41128">
        <w:rPr>
          <w:rFonts w:ascii="Arial" w:hAnsi="Arial" w:cs="Arial"/>
        </w:rPr>
        <w:t>.</w:t>
      </w:r>
      <w:r w:rsidRPr="00D92A0C">
        <w:rPr>
          <w:rFonts w:ascii="Arial" w:hAnsi="Arial" w:cs="Arial"/>
        </w:rPr>
        <w:t xml:space="preserve"> </w:t>
      </w:r>
    </w:p>
    <w:p w:rsidR="008E470B" w:rsidRPr="00D92A0C" w:rsidRDefault="008E470B" w:rsidP="00D92A0C">
      <w:pPr>
        <w:spacing w:line="240" w:lineRule="auto"/>
        <w:ind w:left="720"/>
        <w:rPr>
          <w:rFonts w:ascii="Arial" w:hAnsi="Arial" w:cs="Arial"/>
        </w:rPr>
      </w:pPr>
      <w:r w:rsidRPr="00D92A0C">
        <w:rPr>
          <w:rFonts w:ascii="Arial" w:hAnsi="Arial" w:cs="Arial"/>
          <w:b/>
        </w:rPr>
        <w:t xml:space="preserve">Microbial biodiversity at the physiological and biochemical level:  </w:t>
      </w:r>
      <w:r w:rsidRPr="00D92A0C">
        <w:rPr>
          <w:rFonts w:ascii="Arial" w:hAnsi="Arial" w:cs="Arial"/>
        </w:rPr>
        <w:t xml:space="preserve">Diversity of respiratory adaptations. Light harvesting: purple bacteria &amp; cyanobacteria. </w:t>
      </w:r>
      <w:proofErr w:type="gramStart"/>
      <w:r w:rsidRPr="00D92A0C">
        <w:rPr>
          <w:rFonts w:ascii="Arial" w:hAnsi="Arial" w:cs="Arial"/>
        </w:rPr>
        <w:t>Photosynthetic electron transport in purple bacteria &amp; cyanobacteria.</w:t>
      </w:r>
      <w:proofErr w:type="gramEnd"/>
      <w:r w:rsidRPr="00D92A0C">
        <w:rPr>
          <w:rFonts w:ascii="Arial" w:hAnsi="Arial" w:cs="Arial"/>
        </w:rPr>
        <w:t xml:space="preserve"> </w:t>
      </w:r>
    </w:p>
    <w:p w:rsidR="000003A8" w:rsidRPr="000003A8" w:rsidRDefault="008E470B" w:rsidP="000003A8">
      <w:pPr>
        <w:pStyle w:val="NormalWeb"/>
        <w:ind w:left="720"/>
        <w:rPr>
          <w:rFonts w:ascii="Arial" w:hAnsi="Arial" w:cs="Arial"/>
          <w:sz w:val="22"/>
          <w:szCs w:val="22"/>
        </w:rPr>
      </w:pPr>
      <w:r w:rsidRPr="00D92A0C">
        <w:rPr>
          <w:rFonts w:ascii="Arial" w:hAnsi="Arial" w:cs="Arial"/>
          <w:b/>
          <w:u w:val="single"/>
        </w:rPr>
        <w:t>Practical</w:t>
      </w:r>
      <w:r w:rsidRPr="000003A8">
        <w:rPr>
          <w:rFonts w:ascii="Arial" w:hAnsi="Arial" w:cs="Arial"/>
        </w:rPr>
        <w:t>:</w:t>
      </w:r>
      <w:r w:rsidRPr="00D92A0C">
        <w:rPr>
          <w:rFonts w:ascii="Arial" w:hAnsi="Arial" w:cs="Arial"/>
          <w:b/>
        </w:rPr>
        <w:t xml:space="preserve"> </w:t>
      </w:r>
      <w:r w:rsidR="000003A8" w:rsidRPr="000003A8">
        <w:rPr>
          <w:rFonts w:ascii="Arial" w:hAnsi="Arial" w:cs="Arial"/>
          <w:sz w:val="22"/>
          <w:szCs w:val="22"/>
        </w:rPr>
        <w:t xml:space="preserve">Practical on </w:t>
      </w:r>
      <w:r w:rsidR="000003A8" w:rsidRPr="000003A8">
        <w:rPr>
          <w:rFonts w:ascii="Arial" w:hAnsi="Arial" w:cs="Arial"/>
          <w:i/>
          <w:iCs/>
          <w:sz w:val="22"/>
          <w:szCs w:val="22"/>
        </w:rPr>
        <w:t>E. coli</w:t>
      </w:r>
      <w:r w:rsidR="000003A8" w:rsidRPr="000003A8">
        <w:rPr>
          <w:rFonts w:ascii="Arial" w:hAnsi="Arial" w:cs="Arial"/>
          <w:sz w:val="22"/>
          <w:szCs w:val="22"/>
        </w:rPr>
        <w:t xml:space="preserve">  demonstrating how the envelope stress response factor Sigma E and it’s sRNA-controlled target regulate gene expression at the post-transcriptional level using </w:t>
      </w:r>
      <w:proofErr w:type="spellStart"/>
      <w:r w:rsidR="000003A8" w:rsidRPr="000003A8">
        <w:rPr>
          <w:rFonts w:ascii="Arial" w:hAnsi="Arial" w:cs="Arial"/>
          <w:i/>
          <w:iCs/>
          <w:sz w:val="22"/>
          <w:szCs w:val="22"/>
        </w:rPr>
        <w:t>lacZ</w:t>
      </w:r>
      <w:proofErr w:type="spellEnd"/>
      <w:r w:rsidR="000003A8" w:rsidRPr="000003A8">
        <w:rPr>
          <w:rFonts w:ascii="Arial" w:hAnsi="Arial" w:cs="Arial"/>
          <w:sz w:val="22"/>
          <w:szCs w:val="22"/>
        </w:rPr>
        <w:t xml:space="preserve"> reporter fusions.</w:t>
      </w:r>
    </w:p>
    <w:p w:rsidR="008E470B" w:rsidRPr="00F41128" w:rsidRDefault="008E470B" w:rsidP="000003A8">
      <w:pPr>
        <w:spacing w:line="240" w:lineRule="auto"/>
        <w:ind w:left="720"/>
        <w:rPr>
          <w:rFonts w:ascii="Arial" w:hAnsi="Arial" w:cs="Arial"/>
        </w:rPr>
      </w:pPr>
      <w:r w:rsidRPr="00F41128">
        <w:rPr>
          <w:rFonts w:ascii="Arial" w:hAnsi="Arial" w:cs="Arial"/>
          <w:b/>
          <w:u w:val="single"/>
        </w:rPr>
        <w:t>Symposium</w:t>
      </w:r>
      <w:r w:rsidRPr="00F41128">
        <w:rPr>
          <w:rFonts w:ascii="Arial" w:hAnsi="Arial" w:cs="Arial"/>
          <w:b/>
        </w:rPr>
        <w:t>:</w:t>
      </w:r>
      <w:r w:rsidRPr="00F41128">
        <w:rPr>
          <w:rFonts w:ascii="Arial" w:hAnsi="Arial" w:cs="Arial"/>
        </w:rPr>
        <w:t xml:space="preserve"> Group presentation of a research paper relating to topic areas in “Complex</w:t>
      </w:r>
      <w:r w:rsidR="00F41128">
        <w:rPr>
          <w:rFonts w:ascii="Arial" w:hAnsi="Arial" w:cs="Arial"/>
        </w:rPr>
        <w:t xml:space="preserve"> </w:t>
      </w:r>
      <w:r w:rsidRPr="00F41128">
        <w:rPr>
          <w:rFonts w:ascii="Arial" w:hAnsi="Arial" w:cs="Arial"/>
        </w:rPr>
        <w:t xml:space="preserve">signalling and physiological control” or “Microbial biodiversity at the physiological and biochemical level” </w:t>
      </w:r>
    </w:p>
    <w:p w:rsidR="009A2D37" w:rsidRPr="00302082" w:rsidRDefault="009A2D37" w:rsidP="00302082">
      <w:pPr>
        <w:spacing w:after="120" w:line="240" w:lineRule="auto"/>
        <w:ind w:left="426" w:right="260"/>
        <w:rPr>
          <w:rFonts w:ascii="Arial" w:hAnsi="Arial" w:cs="Arial"/>
          <w:i/>
          <w:iCs/>
        </w:rPr>
      </w:pPr>
    </w:p>
    <w:p w:rsidR="00451F0B" w:rsidRPr="00D92A0C" w:rsidRDefault="009A2D37" w:rsidP="00D92A0C">
      <w:pPr>
        <w:numPr>
          <w:ilvl w:val="0"/>
          <w:numId w:val="13"/>
        </w:numPr>
        <w:spacing w:after="0" w:line="240" w:lineRule="auto"/>
        <w:ind w:left="425" w:right="261" w:hanging="425"/>
        <w:jc w:val="both"/>
        <w:rPr>
          <w:rFonts w:ascii="Arial" w:hAnsi="Arial" w:cs="Arial"/>
        </w:rPr>
      </w:pPr>
      <w:r w:rsidRPr="00297B9B">
        <w:rPr>
          <w:rFonts w:ascii="Arial" w:hAnsi="Arial" w:cs="Arial"/>
          <w:b/>
        </w:rPr>
        <w:t xml:space="preserve">Reading List </w:t>
      </w:r>
      <w:r w:rsidR="00274ED7" w:rsidRPr="00297B9B">
        <w:rPr>
          <w:rFonts w:ascii="Arial" w:hAnsi="Arial" w:cs="Arial"/>
          <w:b/>
        </w:rPr>
        <w:t>(Indicative list, current at time of publication. Reading lists will be published annually)</w:t>
      </w:r>
    </w:p>
    <w:p w:rsidR="00D92A0C" w:rsidRPr="00297B9B" w:rsidRDefault="00D92A0C" w:rsidP="00D92A0C">
      <w:pPr>
        <w:spacing w:after="0" w:line="240" w:lineRule="auto"/>
        <w:ind w:left="720" w:right="260"/>
        <w:jc w:val="both"/>
        <w:rPr>
          <w:rFonts w:ascii="Arial" w:hAnsi="Arial" w:cs="Arial"/>
        </w:rPr>
      </w:pPr>
    </w:p>
    <w:p w:rsidR="00451F0B" w:rsidRPr="00D92A0C" w:rsidRDefault="00432107" w:rsidP="00D92A0C">
      <w:pPr>
        <w:spacing w:after="120" w:line="240" w:lineRule="auto"/>
        <w:ind w:right="260" w:firstLine="720"/>
        <w:jc w:val="both"/>
        <w:rPr>
          <w:rFonts w:ascii="Arial" w:hAnsi="Arial" w:cs="Arial"/>
        </w:rPr>
      </w:pPr>
      <w:proofErr w:type="spellStart"/>
      <w:r w:rsidRPr="00F41128">
        <w:rPr>
          <w:rFonts w:ascii="Arial" w:eastAsiaTheme="minorHAnsi" w:hAnsi="Arial" w:cs="Arial"/>
          <w:color w:val="000000"/>
          <w:lang w:eastAsia="en-US"/>
        </w:rPr>
        <w:t>Slonczewski</w:t>
      </w:r>
      <w:proofErr w:type="spellEnd"/>
      <w:r w:rsidRPr="00F41128">
        <w:rPr>
          <w:rFonts w:ascii="Arial" w:eastAsiaTheme="minorHAnsi" w:hAnsi="Arial" w:cs="Arial"/>
          <w:color w:val="000000"/>
          <w:lang w:eastAsia="en-US"/>
        </w:rPr>
        <w:t xml:space="preserve"> </w:t>
      </w:r>
      <w:r w:rsidR="00F41128">
        <w:rPr>
          <w:rFonts w:ascii="Arial" w:eastAsiaTheme="minorHAnsi" w:hAnsi="Arial" w:cs="Arial"/>
          <w:color w:val="000000"/>
          <w:lang w:eastAsia="en-US"/>
        </w:rPr>
        <w:t xml:space="preserve">J. </w:t>
      </w:r>
      <w:r w:rsidRPr="00F41128">
        <w:rPr>
          <w:rFonts w:ascii="Arial" w:eastAsiaTheme="minorHAnsi" w:hAnsi="Arial" w:cs="Arial"/>
          <w:color w:val="000000"/>
          <w:lang w:eastAsia="en-US"/>
        </w:rPr>
        <w:t>and Foster</w:t>
      </w:r>
      <w:r w:rsidR="00F41128">
        <w:rPr>
          <w:rFonts w:ascii="Arial" w:eastAsiaTheme="minorHAnsi" w:hAnsi="Arial" w:cs="Arial"/>
          <w:color w:val="000000"/>
          <w:lang w:eastAsia="en-US"/>
        </w:rPr>
        <w:t xml:space="preserve"> J</w:t>
      </w:r>
      <w:r w:rsidRPr="00F41128">
        <w:rPr>
          <w:rFonts w:ascii="Arial" w:eastAsiaTheme="minorHAnsi" w:hAnsi="Arial" w:cs="Arial"/>
          <w:color w:val="000000"/>
          <w:lang w:eastAsia="en-US"/>
        </w:rPr>
        <w:t xml:space="preserve">. </w:t>
      </w:r>
      <w:r w:rsidR="00451F0B" w:rsidRPr="00F41128">
        <w:rPr>
          <w:rFonts w:ascii="Arial" w:eastAsiaTheme="minorHAnsi" w:hAnsi="Arial" w:cs="Arial"/>
          <w:i/>
          <w:color w:val="000000"/>
          <w:lang w:eastAsia="en-US"/>
        </w:rPr>
        <w:t xml:space="preserve">Microbiology </w:t>
      </w:r>
      <w:proofErr w:type="gramStart"/>
      <w:r w:rsidR="00451F0B" w:rsidRPr="00F41128">
        <w:rPr>
          <w:rFonts w:ascii="Arial" w:eastAsiaTheme="minorHAnsi" w:hAnsi="Arial" w:cs="Arial"/>
          <w:i/>
          <w:color w:val="000000"/>
          <w:lang w:eastAsia="en-US"/>
        </w:rPr>
        <w:t>An</w:t>
      </w:r>
      <w:proofErr w:type="gramEnd"/>
      <w:r w:rsidR="00451F0B" w:rsidRPr="00F41128">
        <w:rPr>
          <w:rFonts w:ascii="Arial" w:eastAsiaTheme="minorHAnsi" w:hAnsi="Arial" w:cs="Arial"/>
          <w:i/>
          <w:color w:val="000000"/>
          <w:lang w:eastAsia="en-US"/>
        </w:rPr>
        <w:t xml:space="preserve"> Evolving Science</w:t>
      </w:r>
      <w:r w:rsidR="00451F0B" w:rsidRPr="00F41128">
        <w:rPr>
          <w:rFonts w:ascii="Arial" w:eastAsiaTheme="minorHAnsi" w:hAnsi="Arial" w:cs="Arial"/>
          <w:color w:val="000000"/>
          <w:lang w:eastAsia="en-US"/>
        </w:rPr>
        <w:t xml:space="preserve">. </w:t>
      </w:r>
      <w:proofErr w:type="gramStart"/>
      <w:r w:rsidR="00451F0B" w:rsidRPr="00F41128">
        <w:rPr>
          <w:rFonts w:ascii="Arial" w:eastAsiaTheme="minorHAnsi" w:hAnsi="Arial" w:cs="Arial"/>
          <w:color w:val="000000"/>
          <w:lang w:eastAsia="en-US"/>
        </w:rPr>
        <w:t>Third Edition.</w:t>
      </w:r>
      <w:proofErr w:type="gramEnd"/>
      <w:r w:rsidR="00F41128">
        <w:rPr>
          <w:rFonts w:ascii="Arial" w:eastAsiaTheme="minorHAnsi" w:hAnsi="Arial" w:cs="Arial"/>
          <w:color w:val="000000"/>
          <w:lang w:eastAsia="en-US"/>
        </w:rPr>
        <w:t xml:space="preserve"> W.W. Norton &amp; Co</w:t>
      </w:r>
    </w:p>
    <w:p w:rsidR="009A2D37" w:rsidRPr="00302082" w:rsidRDefault="009A2D37" w:rsidP="00302082">
      <w:pPr>
        <w:spacing w:after="120" w:line="240" w:lineRule="auto"/>
        <w:ind w:right="260"/>
        <w:jc w:val="both"/>
        <w:rPr>
          <w:rFonts w:ascii="Arial" w:hAnsi="Arial" w:cs="Arial"/>
          <w:b/>
        </w:rPr>
      </w:pPr>
    </w:p>
    <w:p w:rsidR="00F41128" w:rsidRPr="00F41128" w:rsidRDefault="009A2D37" w:rsidP="00F41128">
      <w:pPr>
        <w:numPr>
          <w:ilvl w:val="0"/>
          <w:numId w:val="13"/>
        </w:numPr>
        <w:spacing w:after="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B927AE" w:rsidRPr="00F41128" w:rsidRDefault="00B927AE" w:rsidP="00F41128">
      <w:pPr>
        <w:spacing w:after="0" w:line="240" w:lineRule="auto"/>
        <w:ind w:left="426" w:right="260"/>
        <w:rPr>
          <w:rFonts w:ascii="Arial" w:hAnsi="Arial" w:cs="Arial"/>
          <w:i/>
          <w:iCs/>
        </w:rPr>
      </w:pPr>
    </w:p>
    <w:p w:rsidR="001F7AE7" w:rsidRPr="00D92A0C" w:rsidRDefault="001F7AE7" w:rsidP="00D92A0C">
      <w:pPr>
        <w:spacing w:after="120" w:line="240" w:lineRule="auto"/>
        <w:ind w:left="426"/>
        <w:jc w:val="both"/>
        <w:rPr>
          <w:rFonts w:ascii="Arial" w:hAnsi="Arial" w:cs="Arial"/>
        </w:rPr>
      </w:pPr>
      <w:r w:rsidRPr="00F41128">
        <w:rPr>
          <w:rFonts w:ascii="Arial" w:hAnsi="Arial" w:cs="Arial"/>
        </w:rPr>
        <w:t>The subject specific knowledge will be delivered in lectures supported by reference to the core text and the scientific literature</w:t>
      </w:r>
      <w:r w:rsidR="00F41128">
        <w:rPr>
          <w:rFonts w:ascii="Arial" w:hAnsi="Arial" w:cs="Arial"/>
        </w:rPr>
        <w:t>.</w:t>
      </w:r>
    </w:p>
    <w:p w:rsidR="001F7AE7" w:rsidRPr="00F41128" w:rsidRDefault="001F7AE7" w:rsidP="008C4F1F">
      <w:pPr>
        <w:spacing w:after="120" w:line="240" w:lineRule="auto"/>
        <w:ind w:left="426"/>
        <w:jc w:val="both"/>
        <w:rPr>
          <w:rFonts w:ascii="Arial" w:hAnsi="Arial" w:cs="Arial"/>
        </w:rPr>
      </w:pPr>
      <w:r w:rsidRPr="00F41128">
        <w:rPr>
          <w:rFonts w:ascii="Arial" w:hAnsi="Arial" w:cs="Arial"/>
        </w:rPr>
        <w:t>The practical class will support development of an understanding of how gene fusions and genetic analysis is used to study gene regulation in bacteria. The associated report will develop skills in data analysis and interpretation</w:t>
      </w:r>
      <w:r w:rsidR="00F41128">
        <w:rPr>
          <w:rFonts w:ascii="Arial" w:hAnsi="Arial" w:cs="Arial"/>
        </w:rPr>
        <w:t>.</w:t>
      </w:r>
      <w:r w:rsidRPr="00F41128">
        <w:rPr>
          <w:rFonts w:ascii="Arial" w:hAnsi="Arial" w:cs="Arial"/>
        </w:rPr>
        <w:t xml:space="preserve"> </w:t>
      </w:r>
    </w:p>
    <w:p w:rsidR="001F7AE7" w:rsidRPr="00F41128" w:rsidRDefault="001F7AE7" w:rsidP="00D92A0C">
      <w:pPr>
        <w:spacing w:after="0" w:line="240" w:lineRule="auto"/>
        <w:ind w:left="426"/>
        <w:jc w:val="both"/>
        <w:rPr>
          <w:rFonts w:ascii="Arial" w:hAnsi="Arial" w:cs="Arial"/>
        </w:rPr>
      </w:pPr>
      <w:r w:rsidRPr="00F41128">
        <w:rPr>
          <w:rFonts w:ascii="Arial" w:hAnsi="Arial" w:cs="Arial"/>
        </w:rPr>
        <w:t>The symposium will develop the students understanding of specific advanced topics in microbial physiology and genetics</w:t>
      </w:r>
      <w:r w:rsidR="00F41128">
        <w:rPr>
          <w:rFonts w:ascii="Arial" w:hAnsi="Arial" w:cs="Arial"/>
        </w:rPr>
        <w:t>.</w:t>
      </w:r>
    </w:p>
    <w:p w:rsidR="00F41128" w:rsidRDefault="00F41128" w:rsidP="00D92A0C">
      <w:pPr>
        <w:spacing w:after="0" w:line="240" w:lineRule="auto"/>
        <w:ind w:left="426"/>
        <w:rPr>
          <w:rFonts w:ascii="Arial" w:hAnsi="Arial" w:cs="Arial"/>
          <w:b/>
        </w:rPr>
      </w:pPr>
    </w:p>
    <w:p w:rsidR="00F41128" w:rsidRPr="00F41128" w:rsidRDefault="00F41128" w:rsidP="00D92A0C">
      <w:pPr>
        <w:spacing w:line="240" w:lineRule="auto"/>
        <w:ind w:left="426"/>
        <w:rPr>
          <w:rFonts w:ascii="Arial" w:hAnsi="Arial" w:cs="Arial"/>
          <w:b/>
        </w:rPr>
      </w:pPr>
      <w:r w:rsidRPr="00F41128">
        <w:rPr>
          <w:rFonts w:ascii="Arial" w:hAnsi="Arial" w:cs="Arial"/>
          <w:b/>
        </w:rPr>
        <w:t>Contact Hours:</w:t>
      </w:r>
      <w:r>
        <w:rPr>
          <w:rFonts w:ascii="Arial" w:hAnsi="Arial" w:cs="Arial"/>
          <w:b/>
        </w:rPr>
        <w:t xml:space="preserve"> 33 hr</w:t>
      </w:r>
    </w:p>
    <w:p w:rsidR="00F41128" w:rsidRDefault="001F7AE7" w:rsidP="00D92A0C">
      <w:pPr>
        <w:spacing w:after="0" w:line="240" w:lineRule="auto"/>
        <w:ind w:left="426" w:firstLine="294"/>
        <w:rPr>
          <w:rFonts w:ascii="Arial" w:hAnsi="Arial" w:cs="Arial"/>
        </w:rPr>
      </w:pPr>
      <w:r w:rsidRPr="00F41128">
        <w:rPr>
          <w:rFonts w:ascii="Arial" w:hAnsi="Arial" w:cs="Arial"/>
        </w:rPr>
        <w:t xml:space="preserve">Lectures: 24 hrs (12 x 2 hr lectures) </w:t>
      </w:r>
    </w:p>
    <w:p w:rsidR="00F41128" w:rsidRDefault="001F7AE7" w:rsidP="00D92A0C">
      <w:pPr>
        <w:spacing w:after="0" w:line="240" w:lineRule="auto"/>
        <w:ind w:left="426" w:firstLine="294"/>
        <w:rPr>
          <w:rFonts w:ascii="Arial" w:hAnsi="Arial" w:cs="Arial"/>
        </w:rPr>
      </w:pPr>
      <w:r w:rsidRPr="00F41128">
        <w:rPr>
          <w:rFonts w:ascii="Arial" w:hAnsi="Arial" w:cs="Arial"/>
        </w:rPr>
        <w:t>Practical</w:t>
      </w:r>
      <w:r w:rsidR="00D92A0C">
        <w:rPr>
          <w:rFonts w:ascii="Arial" w:hAnsi="Arial" w:cs="Arial"/>
        </w:rPr>
        <w:t>:</w:t>
      </w:r>
      <w:r w:rsidRPr="00F41128">
        <w:rPr>
          <w:rFonts w:ascii="Arial" w:hAnsi="Arial" w:cs="Arial"/>
        </w:rPr>
        <w:t xml:space="preserve"> 6 hrs</w:t>
      </w:r>
    </w:p>
    <w:p w:rsidR="00F41128" w:rsidRDefault="001F7AE7" w:rsidP="00D92A0C">
      <w:pPr>
        <w:spacing w:after="0" w:line="240" w:lineRule="auto"/>
        <w:ind w:left="426" w:firstLine="294"/>
        <w:rPr>
          <w:rFonts w:ascii="Arial" w:hAnsi="Arial" w:cs="Arial"/>
        </w:rPr>
      </w:pPr>
      <w:r w:rsidRPr="00F41128">
        <w:rPr>
          <w:rFonts w:ascii="Arial" w:hAnsi="Arial" w:cs="Arial"/>
        </w:rPr>
        <w:t>Symposium</w:t>
      </w:r>
      <w:r w:rsidR="00D92A0C">
        <w:rPr>
          <w:rFonts w:ascii="Arial" w:hAnsi="Arial" w:cs="Arial"/>
        </w:rPr>
        <w:t>:</w:t>
      </w:r>
      <w:r w:rsidRPr="00F41128">
        <w:rPr>
          <w:rFonts w:ascii="Arial" w:hAnsi="Arial" w:cs="Arial"/>
        </w:rPr>
        <w:t xml:space="preserve"> 3 hr </w:t>
      </w:r>
    </w:p>
    <w:p w:rsidR="00F41128" w:rsidRDefault="00F41128" w:rsidP="00D92A0C">
      <w:pPr>
        <w:spacing w:after="0" w:line="240" w:lineRule="auto"/>
        <w:ind w:left="426"/>
        <w:rPr>
          <w:rFonts w:ascii="Arial" w:hAnsi="Arial" w:cs="Arial"/>
        </w:rPr>
      </w:pPr>
    </w:p>
    <w:p w:rsidR="00F41128" w:rsidRPr="00D92A0C" w:rsidRDefault="001F7AE7" w:rsidP="00D92A0C">
      <w:pPr>
        <w:spacing w:line="240" w:lineRule="auto"/>
        <w:ind w:left="426"/>
        <w:rPr>
          <w:rFonts w:ascii="Arial" w:hAnsi="Arial" w:cs="Arial"/>
        </w:rPr>
      </w:pPr>
      <w:r w:rsidRPr="00F41128">
        <w:rPr>
          <w:rFonts w:ascii="Arial" w:hAnsi="Arial" w:cs="Arial"/>
          <w:b/>
        </w:rPr>
        <w:t>Self</w:t>
      </w:r>
      <w:r w:rsidR="00F41128" w:rsidRPr="00F41128">
        <w:rPr>
          <w:rFonts w:ascii="Arial" w:hAnsi="Arial" w:cs="Arial"/>
          <w:b/>
        </w:rPr>
        <w:t>-</w:t>
      </w:r>
      <w:r w:rsidRPr="00F41128">
        <w:rPr>
          <w:rFonts w:ascii="Arial" w:hAnsi="Arial" w:cs="Arial"/>
          <w:b/>
        </w:rPr>
        <w:t>study: 117 hrs</w:t>
      </w:r>
    </w:p>
    <w:p w:rsidR="009A2D37" w:rsidRPr="00302082" w:rsidRDefault="009A2D37" w:rsidP="00D92A0C">
      <w:pPr>
        <w:spacing w:after="0" w:line="240" w:lineRule="auto"/>
        <w:ind w:right="260"/>
        <w:rPr>
          <w:rFonts w:ascii="Arial" w:hAnsi="Arial" w:cs="Arial"/>
          <w:i/>
          <w:iCs/>
        </w:rPr>
      </w:pPr>
    </w:p>
    <w:p w:rsidR="00EF4933" w:rsidRPr="00D92A0C" w:rsidRDefault="00EF4933" w:rsidP="00F41128">
      <w:pPr>
        <w:numPr>
          <w:ilvl w:val="0"/>
          <w:numId w:val="13"/>
        </w:numPr>
        <w:spacing w:after="0" w:line="240" w:lineRule="auto"/>
        <w:ind w:left="426" w:right="260" w:hanging="426"/>
        <w:rPr>
          <w:rFonts w:ascii="Arial" w:hAnsi="Arial" w:cs="Arial"/>
          <w:i/>
          <w:iCs/>
        </w:rPr>
      </w:pPr>
      <w:r w:rsidRPr="00302082">
        <w:rPr>
          <w:rFonts w:ascii="Arial" w:hAnsi="Arial" w:cs="Arial"/>
          <w:b/>
        </w:rPr>
        <w:t>Assessment methods</w:t>
      </w:r>
      <w:r w:rsidR="006F3F8B" w:rsidRPr="00302082">
        <w:rPr>
          <w:rFonts w:ascii="Arial" w:hAnsi="Arial" w:cs="Arial"/>
          <w:b/>
        </w:rPr>
        <w:br/>
      </w:r>
    </w:p>
    <w:p w:rsidR="001F7AE7" w:rsidRPr="00D92A0C" w:rsidRDefault="00D92A0C" w:rsidP="00D92A0C">
      <w:pPr>
        <w:ind w:firstLine="426"/>
        <w:rPr>
          <w:rFonts w:ascii="Arial" w:hAnsi="Arial" w:cs="Arial"/>
        </w:rPr>
      </w:pPr>
      <w:r w:rsidRPr="00D92A0C">
        <w:rPr>
          <w:rFonts w:ascii="Arial" w:hAnsi="Arial" w:cs="Arial"/>
          <w:iCs/>
        </w:rPr>
        <w:t xml:space="preserve">Assessment is by </w:t>
      </w:r>
      <w:r w:rsidRPr="00D92A0C">
        <w:rPr>
          <w:rFonts w:ascii="Arial" w:hAnsi="Arial" w:cs="Arial"/>
        </w:rPr>
        <w:t>c</w:t>
      </w:r>
      <w:r w:rsidR="001F7AE7" w:rsidRPr="00D92A0C">
        <w:rPr>
          <w:rFonts w:ascii="Arial" w:hAnsi="Arial" w:cs="Arial"/>
        </w:rPr>
        <w:t>oursework</w:t>
      </w:r>
      <w:r w:rsidRPr="00D92A0C">
        <w:rPr>
          <w:rFonts w:ascii="Arial" w:hAnsi="Arial" w:cs="Arial"/>
        </w:rPr>
        <w:t>,</w:t>
      </w:r>
      <w:r w:rsidR="001F7AE7" w:rsidRPr="00D92A0C">
        <w:rPr>
          <w:rFonts w:ascii="Arial" w:hAnsi="Arial" w:cs="Arial"/>
        </w:rPr>
        <w:t xml:space="preserve"> 40%</w:t>
      </w:r>
      <w:r w:rsidRPr="00D92A0C">
        <w:rPr>
          <w:rFonts w:ascii="Arial" w:hAnsi="Arial" w:cs="Arial"/>
        </w:rPr>
        <w:t xml:space="preserve"> and examination, 60% </w:t>
      </w:r>
    </w:p>
    <w:p w:rsidR="001F7AE7" w:rsidRPr="00D92A0C" w:rsidRDefault="00D92A0C" w:rsidP="00432107">
      <w:pPr>
        <w:pStyle w:val="ListParagraph"/>
        <w:tabs>
          <w:tab w:val="left" w:pos="426"/>
        </w:tabs>
        <w:spacing w:after="120"/>
        <w:ind w:left="1440"/>
        <w:jc w:val="both"/>
        <w:rPr>
          <w:rFonts w:ascii="Arial" w:hAnsi="Arial" w:cs="Arial"/>
        </w:rPr>
      </w:pPr>
      <w:r w:rsidRPr="00D92A0C">
        <w:rPr>
          <w:rFonts w:ascii="Arial" w:hAnsi="Arial" w:cs="Arial"/>
        </w:rPr>
        <w:t>L</w:t>
      </w:r>
      <w:r w:rsidR="001F7AE7" w:rsidRPr="00D92A0C">
        <w:rPr>
          <w:rFonts w:ascii="Arial" w:hAnsi="Arial" w:cs="Arial"/>
        </w:rPr>
        <w:t xml:space="preserve">ac-fusions practical (20%)  </w:t>
      </w:r>
    </w:p>
    <w:p w:rsidR="001F7AE7" w:rsidRPr="00D92A0C" w:rsidRDefault="001F7AE7" w:rsidP="00432107">
      <w:pPr>
        <w:pStyle w:val="ListParagraph"/>
        <w:tabs>
          <w:tab w:val="left" w:pos="426"/>
        </w:tabs>
        <w:spacing w:after="120"/>
        <w:ind w:left="1440"/>
        <w:jc w:val="both"/>
        <w:rPr>
          <w:rFonts w:ascii="Arial" w:hAnsi="Arial" w:cs="Arial"/>
        </w:rPr>
      </w:pPr>
      <w:r w:rsidRPr="00D92A0C">
        <w:rPr>
          <w:rFonts w:ascii="Arial" w:hAnsi="Arial" w:cs="Arial"/>
        </w:rPr>
        <w:t>Symposium</w:t>
      </w:r>
      <w:r w:rsidR="00D92A0C">
        <w:rPr>
          <w:rFonts w:ascii="Arial" w:hAnsi="Arial" w:cs="Arial"/>
        </w:rPr>
        <w:t>, presentation of a research topic</w:t>
      </w:r>
      <w:r w:rsidR="000003A8">
        <w:rPr>
          <w:rFonts w:ascii="Arial" w:hAnsi="Arial" w:cs="Arial"/>
        </w:rPr>
        <w:t xml:space="preserve"> analysed and prepared in a group but presented individually; the preparatory group component is an integral element reflected in the individual mark</w:t>
      </w:r>
      <w:r w:rsidRPr="00D92A0C">
        <w:rPr>
          <w:rFonts w:ascii="Arial" w:hAnsi="Arial" w:cs="Arial"/>
        </w:rPr>
        <w:t xml:space="preserve"> (20%) </w:t>
      </w:r>
    </w:p>
    <w:p w:rsidR="001F7AE7" w:rsidRPr="00D92A0C" w:rsidRDefault="001F7AE7" w:rsidP="00432107">
      <w:pPr>
        <w:pStyle w:val="ListParagraph"/>
        <w:tabs>
          <w:tab w:val="left" w:pos="426"/>
        </w:tabs>
        <w:spacing w:after="120"/>
        <w:ind w:left="1440"/>
        <w:jc w:val="both"/>
        <w:rPr>
          <w:rFonts w:ascii="Arial" w:hAnsi="Arial" w:cs="Arial"/>
        </w:rPr>
      </w:pPr>
      <w:r w:rsidRPr="00D92A0C">
        <w:rPr>
          <w:rFonts w:ascii="Arial" w:hAnsi="Arial" w:cs="Arial"/>
        </w:rPr>
        <w:t>Examination</w:t>
      </w:r>
      <w:r w:rsidR="00D92A0C">
        <w:rPr>
          <w:rFonts w:ascii="Arial" w:hAnsi="Arial" w:cs="Arial"/>
        </w:rPr>
        <w:t>, 2 hr, essay based</w:t>
      </w:r>
      <w:r w:rsidRPr="00D92A0C">
        <w:rPr>
          <w:rFonts w:ascii="Arial" w:hAnsi="Arial" w:cs="Arial"/>
        </w:rPr>
        <w:t xml:space="preserve"> (60%) </w:t>
      </w:r>
    </w:p>
    <w:p w:rsidR="006043FC" w:rsidRPr="00D92A0C" w:rsidRDefault="006043FC" w:rsidP="00302082">
      <w:pPr>
        <w:spacing w:after="120" w:line="240" w:lineRule="auto"/>
        <w:ind w:left="426" w:right="260"/>
        <w:rPr>
          <w:rFonts w:ascii="Arial" w:hAnsi="Arial" w:cs="Arial"/>
          <w:iCs/>
        </w:rPr>
      </w:pPr>
    </w:p>
    <w:p w:rsidR="00274ED7" w:rsidRPr="00297B9B" w:rsidRDefault="00AF2FEA" w:rsidP="00912D51">
      <w:pPr>
        <w:numPr>
          <w:ilvl w:val="0"/>
          <w:numId w:val="13"/>
        </w:numPr>
        <w:spacing w:after="120" w:line="240" w:lineRule="auto"/>
        <w:ind w:left="426" w:right="260" w:hanging="426"/>
        <w:rPr>
          <w:rFonts w:ascii="Arial" w:hAnsi="Arial" w:cs="Arial"/>
          <w:i/>
          <w:iCs/>
        </w:rPr>
      </w:pPr>
      <w:r>
        <w:rPr>
          <w:rFonts w:ascii="Arial" w:hAnsi="Arial" w:cs="Arial"/>
          <w:b/>
          <w:i/>
          <w:iCs/>
        </w:rPr>
        <w:lastRenderedPageBreak/>
        <w:t>M</w:t>
      </w:r>
      <w:r w:rsidR="006F3F8B" w:rsidRPr="00297B9B">
        <w:rPr>
          <w:rFonts w:ascii="Arial" w:hAnsi="Arial" w:cs="Arial"/>
          <w:b/>
          <w:i/>
          <w:iCs/>
        </w:rPr>
        <w:t>ap of Module Learning Outcomes</w:t>
      </w:r>
      <w:r w:rsidR="00B30E07" w:rsidRPr="00297B9B">
        <w:rPr>
          <w:rFonts w:ascii="Arial" w:hAnsi="Arial" w:cs="Arial"/>
          <w:b/>
          <w:i/>
          <w:iCs/>
        </w:rPr>
        <w:t xml:space="preserve"> (sections 8 &amp; 9)</w:t>
      </w:r>
      <w:r w:rsidR="006F3F8B" w:rsidRPr="00297B9B">
        <w:rPr>
          <w:rFonts w:ascii="Arial" w:hAnsi="Arial" w:cs="Arial"/>
          <w:b/>
          <w:i/>
          <w:iCs/>
        </w:rPr>
        <w:t xml:space="preserve"> to Learning</w:t>
      </w:r>
      <w:r w:rsidR="00B30E07" w:rsidRPr="00297B9B">
        <w:rPr>
          <w:rFonts w:ascii="Arial" w:hAnsi="Arial" w:cs="Arial"/>
          <w:b/>
          <w:i/>
          <w:iCs/>
        </w:rPr>
        <w:t xml:space="preserve"> and Teaching Methods (section12</w:t>
      </w:r>
      <w:r w:rsidR="006F3F8B" w:rsidRPr="00297B9B">
        <w:rPr>
          <w:rFonts w:ascii="Arial" w:hAnsi="Arial" w:cs="Arial"/>
          <w:b/>
          <w:i/>
          <w:iCs/>
        </w:rPr>
        <w:t>) and m</w:t>
      </w:r>
      <w:r w:rsidR="00B30E07" w:rsidRPr="00297B9B">
        <w:rPr>
          <w:rFonts w:ascii="Arial" w:hAnsi="Arial" w:cs="Arial"/>
          <w:b/>
          <w:i/>
          <w:iCs/>
        </w:rPr>
        <w:t>ethods of Assessment</w:t>
      </w:r>
      <w:r w:rsidR="00B30E07" w:rsidRPr="00297B9B">
        <w:rPr>
          <w:rFonts w:ascii="Arial" w:hAnsi="Arial" w:cs="Arial"/>
          <w:i/>
          <w:iCs/>
        </w:rPr>
        <w:t xml:space="preserve"> </w:t>
      </w:r>
      <w:r w:rsidR="00B30E07" w:rsidRPr="00297B9B">
        <w:rPr>
          <w:rFonts w:ascii="Arial" w:hAnsi="Arial" w:cs="Arial"/>
          <w:b/>
          <w:i/>
          <w:iCs/>
        </w:rPr>
        <w:t>(section 13</w:t>
      </w:r>
      <w:r w:rsidR="00EF4933" w:rsidRPr="00297B9B">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D736C5" w:rsidRDefault="007A6245" w:rsidP="00302082">
            <w:pPr>
              <w:spacing w:after="120"/>
              <w:rPr>
                <w:rFonts w:ascii="Arial" w:hAnsi="Arial" w:cs="Arial"/>
              </w:rPr>
            </w:pPr>
            <w:r w:rsidRPr="00D736C5">
              <w:rPr>
                <w:rFonts w:ascii="Arial" w:hAnsi="Arial" w:cs="Arial"/>
              </w:rPr>
              <w:t>8.1</w:t>
            </w:r>
          </w:p>
        </w:tc>
        <w:tc>
          <w:tcPr>
            <w:tcW w:w="567" w:type="dxa"/>
          </w:tcPr>
          <w:p w:rsidR="007A6245" w:rsidRPr="00D736C5" w:rsidRDefault="007A6245" w:rsidP="00302082">
            <w:pPr>
              <w:spacing w:after="120"/>
              <w:rPr>
                <w:rFonts w:ascii="Arial" w:hAnsi="Arial" w:cs="Arial"/>
              </w:rPr>
            </w:pPr>
            <w:r w:rsidRPr="00D736C5">
              <w:rPr>
                <w:rFonts w:ascii="Arial" w:hAnsi="Arial" w:cs="Arial"/>
              </w:rPr>
              <w:t>8.2</w:t>
            </w:r>
          </w:p>
        </w:tc>
        <w:tc>
          <w:tcPr>
            <w:tcW w:w="567" w:type="dxa"/>
          </w:tcPr>
          <w:p w:rsidR="007A6245" w:rsidRPr="00D736C5" w:rsidRDefault="007A6245" w:rsidP="00302082">
            <w:pPr>
              <w:spacing w:after="120"/>
              <w:rPr>
                <w:rFonts w:ascii="Arial" w:hAnsi="Arial" w:cs="Arial"/>
              </w:rPr>
            </w:pPr>
            <w:r w:rsidRPr="00D736C5">
              <w:rPr>
                <w:rFonts w:ascii="Arial" w:hAnsi="Arial" w:cs="Arial"/>
              </w:rPr>
              <w:t>8.3</w:t>
            </w:r>
          </w:p>
        </w:tc>
        <w:tc>
          <w:tcPr>
            <w:tcW w:w="567" w:type="dxa"/>
          </w:tcPr>
          <w:p w:rsidR="007A6245" w:rsidRPr="00D736C5" w:rsidRDefault="00D736C5" w:rsidP="00302082">
            <w:pPr>
              <w:spacing w:after="120"/>
              <w:rPr>
                <w:rFonts w:ascii="Arial" w:hAnsi="Arial" w:cs="Arial"/>
              </w:rPr>
            </w:pPr>
            <w:r w:rsidRPr="00D736C5">
              <w:rPr>
                <w:rFonts w:ascii="Arial" w:hAnsi="Arial" w:cs="Arial"/>
              </w:rPr>
              <w:t>9.1</w:t>
            </w:r>
          </w:p>
        </w:tc>
        <w:tc>
          <w:tcPr>
            <w:tcW w:w="567" w:type="dxa"/>
          </w:tcPr>
          <w:p w:rsidR="007A6245" w:rsidRPr="00D736C5" w:rsidRDefault="00D736C5" w:rsidP="00302082">
            <w:pPr>
              <w:spacing w:after="120"/>
              <w:rPr>
                <w:rFonts w:ascii="Arial" w:hAnsi="Arial" w:cs="Arial"/>
              </w:rPr>
            </w:pPr>
            <w:r w:rsidRPr="00D736C5">
              <w:rPr>
                <w:rFonts w:ascii="Arial" w:hAnsi="Arial" w:cs="Arial"/>
              </w:rPr>
              <w:t>9.2</w:t>
            </w:r>
          </w:p>
        </w:tc>
        <w:tc>
          <w:tcPr>
            <w:tcW w:w="567" w:type="dxa"/>
          </w:tcPr>
          <w:p w:rsidR="007A6245" w:rsidRPr="00D736C5" w:rsidRDefault="00D736C5" w:rsidP="00302082">
            <w:pPr>
              <w:spacing w:after="120"/>
              <w:rPr>
                <w:rFonts w:ascii="Arial" w:hAnsi="Arial" w:cs="Arial"/>
              </w:rPr>
            </w:pPr>
            <w:r w:rsidRPr="00D736C5">
              <w:rPr>
                <w:rFonts w:ascii="Arial" w:hAnsi="Arial" w:cs="Arial"/>
              </w:rPr>
              <w:t>9.3</w:t>
            </w:r>
          </w:p>
        </w:tc>
        <w:tc>
          <w:tcPr>
            <w:tcW w:w="567" w:type="dxa"/>
          </w:tcPr>
          <w:p w:rsidR="007A6245" w:rsidRPr="00D736C5" w:rsidRDefault="007A6245" w:rsidP="00302082">
            <w:pPr>
              <w:spacing w:after="120"/>
              <w:rPr>
                <w:rFonts w:ascii="Arial" w:hAnsi="Arial" w:cs="Arial"/>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D92A0C" w:rsidRDefault="00163E49" w:rsidP="00302082">
            <w:pPr>
              <w:spacing w:after="120"/>
              <w:rPr>
                <w:rFonts w:ascii="Arial" w:hAnsi="Arial" w:cs="Arial"/>
              </w:rPr>
            </w:pPr>
            <w:r w:rsidRPr="00D92A0C">
              <w:rPr>
                <w:rFonts w:ascii="Arial" w:hAnsi="Arial" w:cs="Arial"/>
              </w:rPr>
              <w:t>Lectures</w:t>
            </w:r>
          </w:p>
        </w:tc>
        <w:tc>
          <w:tcPr>
            <w:tcW w:w="1247" w:type="dxa"/>
          </w:tcPr>
          <w:p w:rsidR="005835A7" w:rsidRPr="00D92A0C" w:rsidRDefault="005835A7" w:rsidP="00D92A0C">
            <w:pPr>
              <w:spacing w:after="120"/>
              <w:rPr>
                <w:rFonts w:ascii="Arial" w:hAnsi="Arial" w:cs="Arial"/>
              </w:rPr>
            </w:pPr>
            <w:r>
              <w:rPr>
                <w:rFonts w:ascii="Arial" w:hAnsi="Arial" w:cs="Arial"/>
              </w:rPr>
              <w:t>24</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r w:rsidR="00302082" w:rsidRPr="00302082" w:rsidTr="00727780">
        <w:tc>
          <w:tcPr>
            <w:tcW w:w="1730" w:type="dxa"/>
          </w:tcPr>
          <w:p w:rsidR="007A6245" w:rsidRPr="00D92A0C" w:rsidRDefault="00163E49" w:rsidP="00163E49">
            <w:pPr>
              <w:spacing w:after="120"/>
              <w:rPr>
                <w:rFonts w:ascii="Arial" w:hAnsi="Arial" w:cs="Arial"/>
              </w:rPr>
            </w:pPr>
            <w:r>
              <w:rPr>
                <w:rFonts w:ascii="Arial" w:hAnsi="Arial" w:cs="Arial"/>
              </w:rPr>
              <w:t>L</w:t>
            </w:r>
            <w:r w:rsidRPr="00D92A0C">
              <w:rPr>
                <w:rFonts w:ascii="Arial" w:hAnsi="Arial" w:cs="Arial"/>
              </w:rPr>
              <w:t>aboratory</w:t>
            </w:r>
          </w:p>
        </w:tc>
        <w:tc>
          <w:tcPr>
            <w:tcW w:w="1247" w:type="dxa"/>
          </w:tcPr>
          <w:p w:rsidR="005835A7" w:rsidRPr="00D92A0C" w:rsidRDefault="005835A7" w:rsidP="00D92A0C">
            <w:pPr>
              <w:spacing w:after="120"/>
              <w:rPr>
                <w:rFonts w:ascii="Arial" w:hAnsi="Arial" w:cs="Arial"/>
              </w:rPr>
            </w:pPr>
            <w:r>
              <w:rPr>
                <w:rFonts w:ascii="Arial" w:hAnsi="Arial" w:cs="Arial"/>
              </w:rPr>
              <w:t>6</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627395" w:rsidP="002C6240">
            <w:pPr>
              <w:spacing w:after="120"/>
              <w:jc w:val="center"/>
              <w:rPr>
                <w:rFonts w:ascii="Arial" w:hAnsi="Arial" w:cs="Arial"/>
              </w:rPr>
            </w:pPr>
            <w:r>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r w:rsidR="00302082" w:rsidRPr="00302082" w:rsidTr="00727780">
        <w:tc>
          <w:tcPr>
            <w:tcW w:w="1730" w:type="dxa"/>
          </w:tcPr>
          <w:p w:rsidR="007A6245" w:rsidRPr="00D92A0C" w:rsidRDefault="00163E49" w:rsidP="00302082">
            <w:pPr>
              <w:spacing w:after="120"/>
              <w:rPr>
                <w:rFonts w:ascii="Arial" w:hAnsi="Arial" w:cs="Arial"/>
              </w:rPr>
            </w:pPr>
            <w:r>
              <w:rPr>
                <w:rFonts w:ascii="Arial" w:hAnsi="Arial" w:cs="Arial"/>
              </w:rPr>
              <w:t>Symposium</w:t>
            </w:r>
          </w:p>
        </w:tc>
        <w:tc>
          <w:tcPr>
            <w:tcW w:w="1247" w:type="dxa"/>
          </w:tcPr>
          <w:p w:rsidR="007A6245" w:rsidRPr="00D92A0C" w:rsidRDefault="005835A7" w:rsidP="00302082">
            <w:pPr>
              <w:spacing w:after="120"/>
              <w:rPr>
                <w:rFonts w:ascii="Arial" w:hAnsi="Arial" w:cs="Arial"/>
              </w:rPr>
            </w:pPr>
            <w:r w:rsidRPr="00D92A0C">
              <w:rPr>
                <w:rFonts w:ascii="Arial" w:hAnsi="Arial" w:cs="Arial"/>
              </w:rPr>
              <w:t>3</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r w:rsidR="00D92A0C" w:rsidRPr="00302082" w:rsidTr="00727780">
        <w:tc>
          <w:tcPr>
            <w:tcW w:w="1730" w:type="dxa"/>
          </w:tcPr>
          <w:p w:rsidR="00D92A0C" w:rsidRDefault="00D92A0C" w:rsidP="00302082">
            <w:pPr>
              <w:spacing w:after="120"/>
              <w:rPr>
                <w:rFonts w:ascii="Arial" w:hAnsi="Arial" w:cs="Arial"/>
              </w:rPr>
            </w:pPr>
            <w:r w:rsidRPr="00DB76C8">
              <w:rPr>
                <w:rFonts w:ascii="Arial" w:hAnsi="Arial" w:cs="Arial"/>
              </w:rPr>
              <w:t>Private Study</w:t>
            </w:r>
          </w:p>
        </w:tc>
        <w:tc>
          <w:tcPr>
            <w:tcW w:w="1247" w:type="dxa"/>
          </w:tcPr>
          <w:p w:rsidR="00D92A0C" w:rsidRPr="00D92A0C" w:rsidRDefault="00D92A0C" w:rsidP="00302082">
            <w:pPr>
              <w:spacing w:after="120"/>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567" w:type="dxa"/>
          </w:tcPr>
          <w:p w:rsidR="00D92A0C" w:rsidRPr="002C6240" w:rsidRDefault="00D92A0C" w:rsidP="002C6240">
            <w:pPr>
              <w:spacing w:after="120"/>
              <w:jc w:val="center"/>
              <w:rPr>
                <w:rFonts w:ascii="Arial" w:hAnsi="Arial" w:cs="Arial"/>
              </w:rPr>
            </w:pPr>
          </w:p>
        </w:tc>
        <w:tc>
          <w:tcPr>
            <w:tcW w:w="709" w:type="dxa"/>
          </w:tcPr>
          <w:p w:rsidR="00D92A0C" w:rsidRPr="002C6240" w:rsidRDefault="00D92A0C" w:rsidP="002C6240">
            <w:pPr>
              <w:spacing w:after="120"/>
              <w:jc w:val="center"/>
              <w:rPr>
                <w:rFonts w:ascii="Arial" w:hAnsi="Arial" w:cs="Arial"/>
              </w:rPr>
            </w:pPr>
          </w:p>
        </w:tc>
      </w:tr>
      <w:tr w:rsidR="000003A8" w:rsidRPr="00302082" w:rsidTr="00727780">
        <w:tc>
          <w:tcPr>
            <w:tcW w:w="1730" w:type="dxa"/>
          </w:tcPr>
          <w:p w:rsidR="000003A8" w:rsidRPr="000003A8" w:rsidRDefault="000003A8" w:rsidP="00302082">
            <w:pPr>
              <w:spacing w:after="120"/>
              <w:rPr>
                <w:rFonts w:ascii="Arial" w:hAnsi="Arial" w:cs="Arial"/>
                <w:i/>
              </w:rPr>
            </w:pPr>
            <w:r>
              <w:rPr>
                <w:rFonts w:ascii="Arial" w:hAnsi="Arial" w:cs="Arial"/>
                <w:i/>
              </w:rPr>
              <w:t>Practical report</w:t>
            </w:r>
          </w:p>
        </w:tc>
        <w:tc>
          <w:tcPr>
            <w:tcW w:w="1247" w:type="dxa"/>
          </w:tcPr>
          <w:p w:rsidR="000003A8" w:rsidRDefault="000003A8" w:rsidP="00302082">
            <w:pPr>
              <w:spacing w:after="120"/>
              <w:rPr>
                <w:rFonts w:ascii="Arial" w:hAnsi="Arial" w:cs="Arial"/>
              </w:rPr>
            </w:pPr>
            <w:r>
              <w:rPr>
                <w:rFonts w:ascii="Arial" w:hAnsi="Arial" w:cs="Arial"/>
              </w:rPr>
              <w:t>23</w:t>
            </w: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627395" w:rsidP="002C6240">
            <w:pPr>
              <w:spacing w:after="120"/>
              <w:jc w:val="center"/>
              <w:rPr>
                <w:rFonts w:ascii="Arial" w:hAnsi="Arial" w:cs="Arial"/>
              </w:rPr>
            </w:pPr>
            <w:r>
              <w:rPr>
                <w:rFonts w:ascii="Arial" w:hAnsi="Arial" w:cs="Arial"/>
              </w:rPr>
              <w:t>X</w:t>
            </w:r>
          </w:p>
        </w:tc>
        <w:tc>
          <w:tcPr>
            <w:tcW w:w="567" w:type="dxa"/>
          </w:tcPr>
          <w:p w:rsidR="000003A8" w:rsidRPr="002C6240" w:rsidRDefault="00627395" w:rsidP="002C6240">
            <w:pPr>
              <w:spacing w:after="120"/>
              <w:jc w:val="center"/>
              <w:rPr>
                <w:rFonts w:ascii="Arial" w:hAnsi="Arial" w:cs="Arial"/>
              </w:rPr>
            </w:pPr>
            <w:r>
              <w:rPr>
                <w:rFonts w:ascii="Arial" w:hAnsi="Arial" w:cs="Arial"/>
              </w:rPr>
              <w:t>X</w:t>
            </w:r>
          </w:p>
        </w:tc>
        <w:tc>
          <w:tcPr>
            <w:tcW w:w="567" w:type="dxa"/>
          </w:tcPr>
          <w:p w:rsidR="000003A8" w:rsidRPr="002C6240" w:rsidRDefault="00627395" w:rsidP="002C6240">
            <w:pPr>
              <w:spacing w:after="120"/>
              <w:jc w:val="center"/>
              <w:rPr>
                <w:rFonts w:ascii="Arial" w:hAnsi="Arial" w:cs="Arial"/>
              </w:rPr>
            </w:pPr>
            <w:r>
              <w:rPr>
                <w:rFonts w:ascii="Arial" w:hAnsi="Arial" w:cs="Arial"/>
              </w:rPr>
              <w:t>X</w:t>
            </w: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709" w:type="dxa"/>
          </w:tcPr>
          <w:p w:rsidR="000003A8" w:rsidRPr="002C6240" w:rsidRDefault="000003A8" w:rsidP="002C6240">
            <w:pPr>
              <w:spacing w:after="120"/>
              <w:jc w:val="center"/>
              <w:rPr>
                <w:rFonts w:ascii="Arial" w:hAnsi="Arial" w:cs="Arial"/>
              </w:rPr>
            </w:pPr>
          </w:p>
        </w:tc>
      </w:tr>
      <w:tr w:rsidR="000003A8" w:rsidRPr="00302082" w:rsidTr="00727780">
        <w:tc>
          <w:tcPr>
            <w:tcW w:w="1730" w:type="dxa"/>
          </w:tcPr>
          <w:p w:rsidR="000003A8" w:rsidRDefault="000003A8" w:rsidP="00302082">
            <w:pPr>
              <w:spacing w:after="120"/>
              <w:rPr>
                <w:rFonts w:ascii="Arial" w:hAnsi="Arial" w:cs="Arial"/>
                <w:i/>
              </w:rPr>
            </w:pPr>
            <w:r>
              <w:rPr>
                <w:rFonts w:ascii="Arial" w:hAnsi="Arial" w:cs="Arial"/>
                <w:i/>
              </w:rPr>
              <w:t>Symposium preparation</w:t>
            </w:r>
          </w:p>
        </w:tc>
        <w:tc>
          <w:tcPr>
            <w:tcW w:w="1247" w:type="dxa"/>
          </w:tcPr>
          <w:p w:rsidR="000003A8" w:rsidRDefault="000003A8" w:rsidP="00302082">
            <w:pPr>
              <w:spacing w:after="120"/>
              <w:rPr>
                <w:rFonts w:ascii="Arial" w:hAnsi="Arial" w:cs="Arial"/>
              </w:rPr>
            </w:pPr>
            <w:r>
              <w:rPr>
                <w:rFonts w:ascii="Arial" w:hAnsi="Arial" w:cs="Arial"/>
              </w:rPr>
              <w:t>23</w:t>
            </w: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627395" w:rsidP="002C6240">
            <w:pPr>
              <w:spacing w:after="120"/>
              <w:jc w:val="center"/>
              <w:rPr>
                <w:rFonts w:ascii="Arial" w:hAnsi="Arial" w:cs="Arial"/>
              </w:rPr>
            </w:pPr>
            <w:r>
              <w:rPr>
                <w:rFonts w:ascii="Arial" w:hAnsi="Arial" w:cs="Arial"/>
              </w:rPr>
              <w:t>X</w:t>
            </w:r>
          </w:p>
        </w:tc>
        <w:tc>
          <w:tcPr>
            <w:tcW w:w="567" w:type="dxa"/>
          </w:tcPr>
          <w:p w:rsidR="000003A8" w:rsidRPr="002C6240" w:rsidRDefault="00627395" w:rsidP="002C6240">
            <w:pPr>
              <w:spacing w:after="120"/>
              <w:jc w:val="center"/>
              <w:rPr>
                <w:rFonts w:ascii="Arial" w:hAnsi="Arial" w:cs="Arial"/>
              </w:rPr>
            </w:pPr>
            <w:r>
              <w:rPr>
                <w:rFonts w:ascii="Arial" w:hAnsi="Arial" w:cs="Arial"/>
              </w:rPr>
              <w:t>X</w:t>
            </w: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709" w:type="dxa"/>
          </w:tcPr>
          <w:p w:rsidR="000003A8" w:rsidRPr="002C6240" w:rsidRDefault="000003A8" w:rsidP="002C6240">
            <w:pPr>
              <w:spacing w:after="120"/>
              <w:jc w:val="center"/>
              <w:rPr>
                <w:rFonts w:ascii="Arial" w:hAnsi="Arial" w:cs="Arial"/>
              </w:rPr>
            </w:pPr>
          </w:p>
        </w:tc>
      </w:tr>
      <w:tr w:rsidR="000003A8" w:rsidRPr="00302082" w:rsidTr="00727780">
        <w:tc>
          <w:tcPr>
            <w:tcW w:w="1730" w:type="dxa"/>
          </w:tcPr>
          <w:p w:rsidR="000003A8" w:rsidRPr="000003A8" w:rsidRDefault="000003A8" w:rsidP="00302082">
            <w:pPr>
              <w:spacing w:after="120"/>
              <w:rPr>
                <w:rFonts w:ascii="Arial" w:hAnsi="Arial" w:cs="Arial"/>
                <w:i/>
              </w:rPr>
            </w:pPr>
            <w:r w:rsidRPr="000003A8">
              <w:rPr>
                <w:rFonts w:ascii="Arial" w:hAnsi="Arial" w:cs="Arial"/>
                <w:i/>
              </w:rPr>
              <w:t>Exam revision</w:t>
            </w:r>
          </w:p>
        </w:tc>
        <w:tc>
          <w:tcPr>
            <w:tcW w:w="1247" w:type="dxa"/>
          </w:tcPr>
          <w:p w:rsidR="000003A8" w:rsidRDefault="000003A8" w:rsidP="00302082">
            <w:pPr>
              <w:spacing w:after="120"/>
              <w:rPr>
                <w:rFonts w:ascii="Arial" w:hAnsi="Arial" w:cs="Arial"/>
              </w:rPr>
            </w:pPr>
            <w:r>
              <w:rPr>
                <w:rFonts w:ascii="Arial" w:hAnsi="Arial" w:cs="Arial"/>
              </w:rPr>
              <w:t>71</w:t>
            </w:r>
          </w:p>
        </w:tc>
        <w:tc>
          <w:tcPr>
            <w:tcW w:w="567" w:type="dxa"/>
          </w:tcPr>
          <w:p w:rsidR="000003A8" w:rsidRPr="002C6240" w:rsidRDefault="000003A8" w:rsidP="002C6240">
            <w:pPr>
              <w:spacing w:after="120"/>
              <w:jc w:val="center"/>
              <w:rPr>
                <w:rFonts w:ascii="Arial" w:hAnsi="Arial" w:cs="Arial"/>
              </w:rPr>
            </w:pPr>
            <w:r>
              <w:rPr>
                <w:rFonts w:ascii="Arial" w:hAnsi="Arial" w:cs="Arial"/>
              </w:rPr>
              <w:t>X</w:t>
            </w:r>
          </w:p>
        </w:tc>
        <w:tc>
          <w:tcPr>
            <w:tcW w:w="567" w:type="dxa"/>
          </w:tcPr>
          <w:p w:rsidR="000003A8" w:rsidRPr="002C6240" w:rsidRDefault="000003A8" w:rsidP="002C6240">
            <w:pPr>
              <w:spacing w:after="120"/>
              <w:jc w:val="center"/>
              <w:rPr>
                <w:rFonts w:ascii="Arial" w:hAnsi="Arial" w:cs="Arial"/>
              </w:rPr>
            </w:pPr>
            <w:r>
              <w:rPr>
                <w:rFonts w:ascii="Arial" w:hAnsi="Arial" w:cs="Arial"/>
              </w:rPr>
              <w:t>X</w:t>
            </w:r>
          </w:p>
        </w:tc>
        <w:tc>
          <w:tcPr>
            <w:tcW w:w="567" w:type="dxa"/>
          </w:tcPr>
          <w:p w:rsidR="000003A8" w:rsidRPr="002C6240" w:rsidRDefault="000003A8" w:rsidP="002C6240">
            <w:pPr>
              <w:spacing w:after="120"/>
              <w:jc w:val="center"/>
              <w:rPr>
                <w:rFonts w:ascii="Arial" w:hAnsi="Arial" w:cs="Arial"/>
              </w:rPr>
            </w:pPr>
            <w:r>
              <w:rPr>
                <w:rFonts w:ascii="Arial" w:hAnsi="Arial" w:cs="Arial"/>
              </w:rPr>
              <w:t>X</w:t>
            </w: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567" w:type="dxa"/>
          </w:tcPr>
          <w:p w:rsidR="000003A8" w:rsidRPr="002C6240" w:rsidRDefault="000003A8" w:rsidP="002C6240">
            <w:pPr>
              <w:spacing w:after="120"/>
              <w:jc w:val="center"/>
              <w:rPr>
                <w:rFonts w:ascii="Arial" w:hAnsi="Arial" w:cs="Arial"/>
              </w:rPr>
            </w:pPr>
          </w:p>
        </w:tc>
        <w:tc>
          <w:tcPr>
            <w:tcW w:w="709" w:type="dxa"/>
          </w:tcPr>
          <w:p w:rsidR="000003A8" w:rsidRPr="002C6240" w:rsidRDefault="000003A8" w:rsidP="002C6240">
            <w:pPr>
              <w:spacing w:after="120"/>
              <w:jc w:val="center"/>
              <w:rPr>
                <w:rFonts w:ascii="Arial" w:hAnsi="Arial" w:cs="Arial"/>
              </w:rPr>
            </w:pPr>
          </w:p>
        </w:tc>
      </w:tr>
      <w:tr w:rsidR="00302082" w:rsidRPr="00302082" w:rsidTr="00446A75">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302082" w:rsidRDefault="007A6245" w:rsidP="00302082">
            <w:pPr>
              <w:spacing w:after="120"/>
              <w:rPr>
                <w:rFonts w:ascii="Arial" w:hAnsi="Arial" w:cs="Arial"/>
                <w:b/>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r w:rsidR="00302082" w:rsidRPr="00302082" w:rsidTr="00446A75">
        <w:tc>
          <w:tcPr>
            <w:tcW w:w="1730" w:type="dxa"/>
          </w:tcPr>
          <w:p w:rsidR="00163E49" w:rsidRPr="00D92A0C" w:rsidRDefault="00163E49" w:rsidP="00D92A0C">
            <w:pPr>
              <w:spacing w:after="120"/>
              <w:rPr>
                <w:rFonts w:ascii="Arial" w:hAnsi="Arial" w:cs="Arial"/>
              </w:rPr>
            </w:pPr>
            <w:r w:rsidRPr="00163E49">
              <w:rPr>
                <w:rFonts w:ascii="Arial" w:hAnsi="Arial" w:cs="Arial"/>
              </w:rPr>
              <w:t>Practical</w:t>
            </w: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627395" w:rsidP="002C6240">
            <w:pPr>
              <w:spacing w:after="120"/>
              <w:jc w:val="center"/>
              <w:rPr>
                <w:rFonts w:ascii="Arial" w:hAnsi="Arial" w:cs="Arial"/>
              </w:rPr>
            </w:pPr>
            <w:r>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r w:rsidR="00302082" w:rsidRPr="00302082" w:rsidTr="00446A75">
        <w:tc>
          <w:tcPr>
            <w:tcW w:w="1730" w:type="dxa"/>
          </w:tcPr>
          <w:p w:rsidR="007A6245" w:rsidRPr="00D92A0C" w:rsidRDefault="007A6245" w:rsidP="00302082">
            <w:pPr>
              <w:spacing w:after="120"/>
              <w:rPr>
                <w:rFonts w:ascii="Arial" w:hAnsi="Arial" w:cs="Arial"/>
              </w:rPr>
            </w:pPr>
            <w:r w:rsidRPr="00D92A0C">
              <w:rPr>
                <w:rFonts w:ascii="Arial" w:hAnsi="Arial" w:cs="Arial"/>
              </w:rPr>
              <w:t>Presentation</w:t>
            </w: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r w:rsidR="00302082" w:rsidRPr="00302082" w:rsidTr="00446A75">
        <w:tc>
          <w:tcPr>
            <w:tcW w:w="1730" w:type="dxa"/>
          </w:tcPr>
          <w:p w:rsidR="007A6245" w:rsidRPr="00D92A0C" w:rsidRDefault="007A6245" w:rsidP="00302082">
            <w:pPr>
              <w:spacing w:after="120"/>
              <w:rPr>
                <w:rFonts w:ascii="Arial" w:hAnsi="Arial" w:cs="Arial"/>
              </w:rPr>
            </w:pPr>
            <w:r w:rsidRPr="00D92A0C">
              <w:rPr>
                <w:rFonts w:ascii="Arial" w:hAnsi="Arial" w:cs="Arial"/>
              </w:rPr>
              <w:t>Examination</w:t>
            </w:r>
          </w:p>
        </w:tc>
        <w:tc>
          <w:tcPr>
            <w:tcW w:w="1247" w:type="dxa"/>
            <w:shd w:val="clear" w:color="auto" w:fill="D9D9D9" w:themeFill="background1" w:themeFillShade="D9"/>
          </w:tcPr>
          <w:p w:rsidR="007A6245" w:rsidRPr="00D92A0C" w:rsidRDefault="00D92A0C" w:rsidP="00302082">
            <w:pPr>
              <w:spacing w:after="120"/>
              <w:rPr>
                <w:rFonts w:ascii="Arial" w:hAnsi="Arial" w:cs="Arial"/>
              </w:rPr>
            </w:pPr>
            <w:r w:rsidRPr="00D92A0C">
              <w:rPr>
                <w:rFonts w:ascii="Arial" w:hAnsi="Arial" w:cs="Arial"/>
              </w:rPr>
              <w:t>2</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D736C5"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C2488E" w:rsidP="002C6240">
            <w:pPr>
              <w:spacing w:after="120"/>
              <w:jc w:val="center"/>
              <w:rPr>
                <w:rFonts w:ascii="Arial" w:hAnsi="Arial" w:cs="Arial"/>
              </w:rPr>
            </w:pPr>
            <w:r w:rsidRPr="002C6240">
              <w:rPr>
                <w:rFonts w:ascii="Arial" w:hAnsi="Arial" w:cs="Arial"/>
              </w:rPr>
              <w:t>X</w:t>
            </w: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567" w:type="dxa"/>
          </w:tcPr>
          <w:p w:rsidR="007A6245" w:rsidRPr="002C6240" w:rsidRDefault="007A6245" w:rsidP="002C6240">
            <w:pPr>
              <w:spacing w:after="120"/>
              <w:jc w:val="center"/>
              <w:rPr>
                <w:rFonts w:ascii="Arial" w:hAnsi="Arial" w:cs="Arial"/>
              </w:rPr>
            </w:pPr>
          </w:p>
        </w:tc>
        <w:tc>
          <w:tcPr>
            <w:tcW w:w="709" w:type="dxa"/>
          </w:tcPr>
          <w:p w:rsidR="007A6245" w:rsidRPr="002C6240" w:rsidRDefault="007A6245" w:rsidP="002C6240">
            <w:pPr>
              <w:spacing w:after="120"/>
              <w:jc w:val="center"/>
              <w:rPr>
                <w:rFonts w:ascii="Arial" w:hAnsi="Arial" w:cs="Arial"/>
              </w:rPr>
            </w:pPr>
          </w:p>
        </w:tc>
      </w:tr>
    </w:tbl>
    <w:p w:rsidR="007A6245" w:rsidRDefault="007A6245" w:rsidP="00302082">
      <w:pPr>
        <w:spacing w:after="120" w:line="240" w:lineRule="auto"/>
        <w:ind w:left="426" w:right="260"/>
        <w:rPr>
          <w:rFonts w:ascii="Arial" w:hAnsi="Arial" w:cs="Arial"/>
          <w:b/>
          <w:iCs/>
        </w:rPr>
      </w:pPr>
    </w:p>
    <w:p w:rsidR="009A2D37" w:rsidRPr="00297B9B" w:rsidRDefault="009A2D37" w:rsidP="00912D51">
      <w:pPr>
        <w:numPr>
          <w:ilvl w:val="0"/>
          <w:numId w:val="13"/>
        </w:numPr>
        <w:spacing w:after="120" w:line="240" w:lineRule="auto"/>
        <w:ind w:left="426" w:right="260" w:hanging="426"/>
        <w:jc w:val="both"/>
        <w:rPr>
          <w:rFonts w:ascii="Arial" w:hAnsi="Arial" w:cs="Arial"/>
        </w:rPr>
      </w:pPr>
      <w:r w:rsidRPr="00297B9B">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297B9B">
        <w:rPr>
          <w:rFonts w:ascii="Arial" w:hAnsi="Arial" w:cs="Arial"/>
          <w:b/>
        </w:rPr>
        <w:t xml:space="preserve">student </w:t>
      </w:r>
      <w:r w:rsidRPr="00297B9B">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297B9B" w:rsidRDefault="009A2D37" w:rsidP="00912D51">
      <w:pPr>
        <w:numPr>
          <w:ilvl w:val="0"/>
          <w:numId w:val="13"/>
        </w:numPr>
        <w:spacing w:after="120" w:line="240" w:lineRule="auto"/>
        <w:ind w:left="426" w:right="260" w:hanging="426"/>
        <w:jc w:val="both"/>
        <w:rPr>
          <w:rFonts w:ascii="Arial" w:hAnsi="Arial" w:cs="Arial"/>
        </w:rPr>
      </w:pPr>
      <w:r w:rsidRPr="00297B9B">
        <w:rPr>
          <w:rFonts w:ascii="Arial" w:hAnsi="Arial" w:cs="Arial"/>
          <w:b/>
        </w:rPr>
        <w:t>Campus(</w:t>
      </w:r>
      <w:proofErr w:type="spellStart"/>
      <w:r w:rsidRPr="00297B9B">
        <w:rPr>
          <w:rFonts w:ascii="Arial" w:hAnsi="Arial" w:cs="Arial"/>
          <w:b/>
        </w:rPr>
        <w:t>es</w:t>
      </w:r>
      <w:proofErr w:type="spellEnd"/>
      <w:r w:rsidRPr="00297B9B">
        <w:rPr>
          <w:rFonts w:ascii="Arial" w:hAnsi="Arial" w:cs="Arial"/>
          <w:b/>
        </w:rPr>
        <w:t>) or Centre(s) where module will be delivered:</w:t>
      </w:r>
    </w:p>
    <w:p w:rsidR="009A2D37" w:rsidRPr="00302082" w:rsidRDefault="009A2D37" w:rsidP="00302082">
      <w:pPr>
        <w:spacing w:after="120" w:line="240" w:lineRule="auto"/>
        <w:ind w:left="426" w:right="260"/>
        <w:jc w:val="both"/>
        <w:rPr>
          <w:rFonts w:ascii="Arial" w:hAnsi="Arial" w:cs="Arial"/>
          <w:b/>
          <w:i/>
        </w:rPr>
      </w:pPr>
      <w:r w:rsidRPr="00D92A0C">
        <w:rPr>
          <w:rFonts w:ascii="Arial" w:hAnsi="Arial" w:cs="Arial"/>
        </w:rPr>
        <w:t>Canterbury</w:t>
      </w:r>
      <w:r w:rsidRPr="00302082">
        <w:rPr>
          <w:rFonts w:ascii="Arial" w:hAnsi="Arial" w:cs="Arial"/>
          <w:i/>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AF2FEA">
      <w:pPr>
        <w:spacing w:after="0" w:line="240" w:lineRule="auto"/>
        <w:ind w:right="261"/>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AF2FEA">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EF4FB2">
        <w:trPr>
          <w:trHeight w:val="317"/>
        </w:trPr>
        <w:tc>
          <w:tcPr>
            <w:tcW w:w="1526" w:type="dxa"/>
            <w:shd w:val="clear" w:color="auto" w:fill="D9D9D9" w:themeFill="background1" w:themeFillShade="D9"/>
          </w:tcPr>
          <w:p w:rsidR="00422B69" w:rsidRPr="00BA453C" w:rsidRDefault="00422B69" w:rsidP="00AF2FEA">
            <w:pPr>
              <w:ind w:right="-330"/>
              <w:rPr>
                <w:rFonts w:ascii="Arial" w:hAnsi="Arial" w:cs="Arial"/>
                <w:sz w:val="18"/>
              </w:rPr>
            </w:pPr>
            <w:r w:rsidRPr="00BA453C">
              <w:rPr>
                <w:rFonts w:ascii="Arial" w:hAnsi="Arial" w:cs="Arial"/>
                <w:sz w:val="18"/>
              </w:rPr>
              <w:t>Date approved</w:t>
            </w:r>
          </w:p>
        </w:tc>
        <w:tc>
          <w:tcPr>
            <w:tcW w:w="1701" w:type="dxa"/>
            <w:shd w:val="clear" w:color="auto" w:fill="D9D9D9" w:themeFill="background1" w:themeFillShade="D9"/>
          </w:tcPr>
          <w:p w:rsidR="00422B69" w:rsidRPr="00BA453C" w:rsidRDefault="00422B69" w:rsidP="00AF2FEA">
            <w:pPr>
              <w:rPr>
                <w:rFonts w:ascii="Arial" w:hAnsi="Arial" w:cs="Arial"/>
                <w:sz w:val="18"/>
              </w:rPr>
            </w:pPr>
            <w:r w:rsidRPr="00BA453C">
              <w:rPr>
                <w:rFonts w:ascii="Arial" w:hAnsi="Arial" w:cs="Arial"/>
                <w:sz w:val="18"/>
              </w:rPr>
              <w:t>Major/minor revision</w:t>
            </w:r>
          </w:p>
        </w:tc>
        <w:tc>
          <w:tcPr>
            <w:tcW w:w="2410" w:type="dxa"/>
            <w:shd w:val="clear" w:color="auto" w:fill="D9D9D9" w:themeFill="background1" w:themeFillShade="D9"/>
          </w:tcPr>
          <w:p w:rsidR="00422B69" w:rsidRPr="00BA453C" w:rsidRDefault="00422B69" w:rsidP="00AF2FEA">
            <w:pPr>
              <w:ind w:right="-34"/>
              <w:rPr>
                <w:rFonts w:ascii="Arial" w:hAnsi="Arial" w:cs="Arial"/>
                <w:sz w:val="18"/>
              </w:rPr>
            </w:pPr>
            <w:r w:rsidRPr="00BA453C">
              <w:rPr>
                <w:rFonts w:ascii="Arial" w:hAnsi="Arial" w:cs="Arial"/>
                <w:sz w:val="18"/>
              </w:rPr>
              <w:t>Start date of the delivery of  rev</w:t>
            </w:r>
            <w:bookmarkStart w:id="0" w:name="_GoBack"/>
            <w:bookmarkEnd w:id="0"/>
            <w:r w:rsidRPr="00BA453C">
              <w:rPr>
                <w:rFonts w:ascii="Arial" w:hAnsi="Arial" w:cs="Arial"/>
                <w:sz w:val="18"/>
              </w:rPr>
              <w:t>ised version</w:t>
            </w:r>
          </w:p>
        </w:tc>
        <w:tc>
          <w:tcPr>
            <w:tcW w:w="2448" w:type="dxa"/>
            <w:shd w:val="clear" w:color="auto" w:fill="D9D9D9" w:themeFill="background1" w:themeFillShade="D9"/>
          </w:tcPr>
          <w:p w:rsidR="00422B69" w:rsidRPr="00BA453C" w:rsidRDefault="00422B69" w:rsidP="00AF2FEA">
            <w:pPr>
              <w:ind w:right="-330"/>
              <w:rPr>
                <w:rFonts w:ascii="Arial" w:hAnsi="Arial" w:cs="Arial"/>
                <w:sz w:val="18"/>
              </w:rPr>
            </w:pPr>
            <w:r w:rsidRPr="00BA453C">
              <w:rPr>
                <w:rFonts w:ascii="Arial" w:hAnsi="Arial" w:cs="Arial"/>
                <w:sz w:val="18"/>
              </w:rPr>
              <w:t>Section revised</w:t>
            </w:r>
          </w:p>
        </w:tc>
        <w:tc>
          <w:tcPr>
            <w:tcW w:w="2597" w:type="dxa"/>
            <w:shd w:val="clear" w:color="auto" w:fill="D9D9D9" w:themeFill="background1" w:themeFillShade="D9"/>
          </w:tcPr>
          <w:p w:rsidR="00422B69" w:rsidRPr="00BA453C" w:rsidRDefault="00422B69" w:rsidP="00AF2FEA">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EF4FB2">
        <w:trPr>
          <w:trHeight w:val="305"/>
        </w:trPr>
        <w:tc>
          <w:tcPr>
            <w:tcW w:w="1526" w:type="dxa"/>
            <w:vAlign w:val="center"/>
          </w:tcPr>
          <w:p w:rsidR="00422B69" w:rsidRPr="00EF4FB2" w:rsidRDefault="00EF4FB2" w:rsidP="00AF2FEA">
            <w:pPr>
              <w:ind w:right="-329"/>
              <w:rPr>
                <w:rFonts w:ascii="Arial" w:hAnsi="Arial" w:cs="Arial"/>
                <w:sz w:val="18"/>
                <w:szCs w:val="18"/>
              </w:rPr>
            </w:pPr>
            <w:r>
              <w:rPr>
                <w:rFonts w:ascii="Arial" w:hAnsi="Arial" w:cs="Arial"/>
                <w:sz w:val="18"/>
                <w:szCs w:val="18"/>
              </w:rPr>
              <w:t>07/12/15</w:t>
            </w:r>
          </w:p>
        </w:tc>
        <w:tc>
          <w:tcPr>
            <w:tcW w:w="1701" w:type="dxa"/>
            <w:vAlign w:val="center"/>
          </w:tcPr>
          <w:p w:rsidR="00422B69" w:rsidRPr="00EF4FB2" w:rsidRDefault="00EF4FB2" w:rsidP="00AF2FEA">
            <w:pPr>
              <w:ind w:right="-329"/>
              <w:rPr>
                <w:rFonts w:ascii="Arial" w:hAnsi="Arial" w:cs="Arial"/>
                <w:sz w:val="18"/>
                <w:szCs w:val="18"/>
              </w:rPr>
            </w:pPr>
            <w:r>
              <w:rPr>
                <w:rFonts w:ascii="Arial" w:hAnsi="Arial" w:cs="Arial"/>
                <w:sz w:val="18"/>
                <w:szCs w:val="18"/>
              </w:rPr>
              <w:t>Minor</w:t>
            </w:r>
          </w:p>
        </w:tc>
        <w:tc>
          <w:tcPr>
            <w:tcW w:w="2410" w:type="dxa"/>
            <w:vAlign w:val="center"/>
          </w:tcPr>
          <w:p w:rsidR="00422B69" w:rsidRPr="00EF4FB2" w:rsidRDefault="00EF4FB2" w:rsidP="00AF2FEA">
            <w:pPr>
              <w:ind w:right="-329"/>
              <w:rPr>
                <w:rFonts w:ascii="Arial" w:hAnsi="Arial" w:cs="Arial"/>
                <w:sz w:val="18"/>
                <w:szCs w:val="18"/>
              </w:rPr>
            </w:pPr>
            <w:r>
              <w:rPr>
                <w:rFonts w:ascii="Arial" w:hAnsi="Arial" w:cs="Arial"/>
                <w:sz w:val="18"/>
                <w:szCs w:val="18"/>
              </w:rPr>
              <w:t>September 2015</w:t>
            </w:r>
          </w:p>
        </w:tc>
        <w:tc>
          <w:tcPr>
            <w:tcW w:w="2448" w:type="dxa"/>
            <w:vAlign w:val="center"/>
          </w:tcPr>
          <w:p w:rsidR="00422B69" w:rsidRPr="00EF4FB2" w:rsidRDefault="00EF4FB2" w:rsidP="00AF2FEA">
            <w:pPr>
              <w:ind w:right="-329"/>
              <w:rPr>
                <w:rFonts w:ascii="Arial" w:hAnsi="Arial" w:cs="Arial"/>
                <w:sz w:val="18"/>
                <w:szCs w:val="18"/>
              </w:rPr>
            </w:pPr>
            <w:r>
              <w:rPr>
                <w:rFonts w:ascii="Arial" w:hAnsi="Arial" w:cs="Arial"/>
                <w:sz w:val="18"/>
                <w:szCs w:val="18"/>
              </w:rPr>
              <w:t>11</w:t>
            </w:r>
          </w:p>
        </w:tc>
        <w:tc>
          <w:tcPr>
            <w:tcW w:w="2597" w:type="dxa"/>
            <w:vAlign w:val="center"/>
          </w:tcPr>
          <w:p w:rsidR="00422B69" w:rsidRPr="00EF4FB2" w:rsidRDefault="00EF4FB2" w:rsidP="00AF2FEA">
            <w:pPr>
              <w:ind w:right="-329"/>
              <w:rPr>
                <w:rFonts w:ascii="Arial" w:hAnsi="Arial" w:cs="Arial"/>
                <w:sz w:val="18"/>
                <w:szCs w:val="18"/>
              </w:rPr>
            </w:pPr>
            <w:r>
              <w:rPr>
                <w:rFonts w:ascii="Arial" w:hAnsi="Arial" w:cs="Arial"/>
                <w:sz w:val="18"/>
                <w:szCs w:val="18"/>
              </w:rPr>
              <w:t>No</w:t>
            </w:r>
          </w:p>
        </w:tc>
      </w:tr>
      <w:tr w:rsidR="00302082" w:rsidRPr="00302082" w:rsidTr="00EF4FB2">
        <w:trPr>
          <w:trHeight w:val="305"/>
        </w:trPr>
        <w:tc>
          <w:tcPr>
            <w:tcW w:w="1526" w:type="dxa"/>
            <w:vAlign w:val="center"/>
          </w:tcPr>
          <w:p w:rsidR="00422B69" w:rsidRPr="00EF4FB2" w:rsidRDefault="00422B69" w:rsidP="00AF2FEA">
            <w:pPr>
              <w:ind w:right="-329"/>
              <w:rPr>
                <w:rFonts w:ascii="Arial" w:hAnsi="Arial" w:cs="Arial"/>
                <w:sz w:val="18"/>
                <w:szCs w:val="18"/>
              </w:rPr>
            </w:pPr>
          </w:p>
        </w:tc>
        <w:tc>
          <w:tcPr>
            <w:tcW w:w="1701" w:type="dxa"/>
            <w:vAlign w:val="center"/>
          </w:tcPr>
          <w:p w:rsidR="00422B69" w:rsidRPr="00EF4FB2" w:rsidRDefault="00422B69" w:rsidP="00AF2FEA">
            <w:pPr>
              <w:ind w:right="-329"/>
              <w:rPr>
                <w:rFonts w:ascii="Arial" w:hAnsi="Arial" w:cs="Arial"/>
                <w:sz w:val="18"/>
                <w:szCs w:val="18"/>
              </w:rPr>
            </w:pPr>
          </w:p>
        </w:tc>
        <w:tc>
          <w:tcPr>
            <w:tcW w:w="2410" w:type="dxa"/>
            <w:vAlign w:val="center"/>
          </w:tcPr>
          <w:p w:rsidR="00422B69" w:rsidRPr="00EF4FB2" w:rsidRDefault="00422B69" w:rsidP="00AF2FEA">
            <w:pPr>
              <w:ind w:right="-329"/>
              <w:rPr>
                <w:rFonts w:ascii="Arial" w:hAnsi="Arial" w:cs="Arial"/>
                <w:sz w:val="18"/>
                <w:szCs w:val="18"/>
              </w:rPr>
            </w:pPr>
          </w:p>
        </w:tc>
        <w:tc>
          <w:tcPr>
            <w:tcW w:w="2448" w:type="dxa"/>
            <w:vAlign w:val="center"/>
          </w:tcPr>
          <w:p w:rsidR="00422B69" w:rsidRPr="00EF4FB2" w:rsidRDefault="00422B69" w:rsidP="00AF2FEA">
            <w:pPr>
              <w:ind w:right="-329"/>
              <w:rPr>
                <w:rFonts w:ascii="Arial" w:hAnsi="Arial" w:cs="Arial"/>
                <w:sz w:val="18"/>
                <w:szCs w:val="18"/>
              </w:rPr>
            </w:pPr>
          </w:p>
        </w:tc>
        <w:tc>
          <w:tcPr>
            <w:tcW w:w="2597" w:type="dxa"/>
            <w:vAlign w:val="center"/>
          </w:tcPr>
          <w:p w:rsidR="00422B69" w:rsidRPr="00EF4FB2" w:rsidRDefault="00422B69" w:rsidP="00AF2FEA">
            <w:pPr>
              <w:ind w:right="-329"/>
              <w:rPr>
                <w:rFonts w:ascii="Arial" w:hAnsi="Arial" w:cs="Arial"/>
                <w:sz w:val="18"/>
                <w:szCs w:val="18"/>
              </w:rPr>
            </w:pPr>
          </w:p>
        </w:tc>
      </w:tr>
    </w:tbl>
    <w:p w:rsidR="00432107" w:rsidRPr="00302082" w:rsidRDefault="00432107" w:rsidP="00AF2FEA">
      <w:pPr>
        <w:spacing w:after="0" w:line="240" w:lineRule="auto"/>
        <w:ind w:right="-330"/>
        <w:rPr>
          <w:rFonts w:ascii="Arial" w:hAnsi="Arial" w:cs="Arial"/>
        </w:rPr>
      </w:pPr>
    </w:p>
    <w:sectPr w:rsidR="00432107"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89" w:rsidRDefault="00994189" w:rsidP="009A2D37">
      <w:pPr>
        <w:spacing w:after="0" w:line="240" w:lineRule="auto"/>
      </w:pPr>
      <w:r>
        <w:separator/>
      </w:r>
    </w:p>
  </w:endnote>
  <w:endnote w:type="continuationSeparator" w:id="0">
    <w:p w:rsidR="00994189" w:rsidRDefault="00994189" w:rsidP="009A2D37">
      <w:pPr>
        <w:spacing w:after="0" w:line="240" w:lineRule="auto"/>
      </w:pPr>
      <w:r>
        <w:continuationSeparator/>
      </w:r>
    </w:p>
  </w:endnote>
  <w:endnote w:type="continuationNotice" w:id="1">
    <w:p w:rsidR="00994189" w:rsidRDefault="00994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F2FEA">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89" w:rsidRDefault="00994189" w:rsidP="009A2D37">
      <w:pPr>
        <w:spacing w:after="0" w:line="240" w:lineRule="auto"/>
      </w:pPr>
      <w:r>
        <w:separator/>
      </w:r>
    </w:p>
  </w:footnote>
  <w:footnote w:type="continuationSeparator" w:id="0">
    <w:p w:rsidR="00994189" w:rsidRDefault="00994189" w:rsidP="009A2D37">
      <w:pPr>
        <w:spacing w:after="0" w:line="240" w:lineRule="auto"/>
      </w:pPr>
      <w:r>
        <w:continuationSeparator/>
      </w:r>
    </w:p>
  </w:footnote>
  <w:footnote w:type="continuationNotice" w:id="1">
    <w:p w:rsidR="00994189" w:rsidRDefault="009941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FEA">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93E7E"/>
    <w:multiLevelType w:val="hybridMultilevel"/>
    <w:tmpl w:val="DA3EF54A"/>
    <w:lvl w:ilvl="0" w:tplc="99C4A434">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11051CF"/>
    <w:multiLevelType w:val="multilevel"/>
    <w:tmpl w:val="81AC0D5C"/>
    <w:lvl w:ilvl="0">
      <w:start w:val="11"/>
      <w:numFmt w:val="decimal"/>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E211584"/>
    <w:multiLevelType w:val="multilevel"/>
    <w:tmpl w:val="028C0D7C"/>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24730FE8"/>
    <w:multiLevelType w:val="hybridMultilevel"/>
    <w:tmpl w:val="37FAE068"/>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573180"/>
    <w:multiLevelType w:val="hybridMultilevel"/>
    <w:tmpl w:val="5142A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A7979"/>
    <w:multiLevelType w:val="hybridMultilevel"/>
    <w:tmpl w:val="B6C2CE76"/>
    <w:lvl w:ilvl="0" w:tplc="99C4A43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4F1CA6"/>
    <w:multiLevelType w:val="multilevel"/>
    <w:tmpl w:val="8AB6EF9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46173210"/>
    <w:multiLevelType w:val="multilevel"/>
    <w:tmpl w:val="7E88C5B0"/>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4EDD3A9E"/>
    <w:multiLevelType w:val="multilevel"/>
    <w:tmpl w:val="D3B43D9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50854353"/>
    <w:multiLevelType w:val="hybridMultilevel"/>
    <w:tmpl w:val="16DAEFFA"/>
    <w:lvl w:ilvl="0" w:tplc="99C4A43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970095"/>
    <w:multiLevelType w:val="hybridMultilevel"/>
    <w:tmpl w:val="F6A4A892"/>
    <w:lvl w:ilvl="0" w:tplc="99C4A43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6"/>
  </w:num>
  <w:num w:numId="6">
    <w:abstractNumId w:val="14"/>
  </w:num>
  <w:num w:numId="7">
    <w:abstractNumId w:val="17"/>
  </w:num>
  <w:num w:numId="8">
    <w:abstractNumId w:val="15"/>
  </w:num>
  <w:num w:numId="9">
    <w:abstractNumId w:val="7"/>
  </w:num>
  <w:num w:numId="10">
    <w:abstractNumId w:val="4"/>
  </w:num>
  <w:num w:numId="11">
    <w:abstractNumId w:val="10"/>
  </w:num>
  <w:num w:numId="12">
    <w:abstractNumId w:val="11"/>
  </w:num>
  <w:num w:numId="13">
    <w:abstractNumId w:val="3"/>
  </w:num>
  <w:num w:numId="14">
    <w:abstractNumId w:val="9"/>
  </w:num>
  <w:num w:numId="15">
    <w:abstractNumId w:val="12"/>
  </w:num>
  <w:num w:numId="16">
    <w:abstractNumId w:val="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3A8"/>
    <w:rsid w:val="00000C8C"/>
    <w:rsid w:val="000017F2"/>
    <w:rsid w:val="00001C78"/>
    <w:rsid w:val="00002359"/>
    <w:rsid w:val="00005661"/>
    <w:rsid w:val="00010A16"/>
    <w:rsid w:val="0001243F"/>
    <w:rsid w:val="00021EA0"/>
    <w:rsid w:val="00025992"/>
    <w:rsid w:val="00027937"/>
    <w:rsid w:val="00030C9E"/>
    <w:rsid w:val="00031E67"/>
    <w:rsid w:val="000408CC"/>
    <w:rsid w:val="00041F2B"/>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2764"/>
    <w:rsid w:val="00117577"/>
    <w:rsid w:val="00117793"/>
    <w:rsid w:val="001206E4"/>
    <w:rsid w:val="001214D3"/>
    <w:rsid w:val="00121BFC"/>
    <w:rsid w:val="001402AD"/>
    <w:rsid w:val="001540CE"/>
    <w:rsid w:val="0015717B"/>
    <w:rsid w:val="00157ACA"/>
    <w:rsid w:val="00160427"/>
    <w:rsid w:val="00162D46"/>
    <w:rsid w:val="00163E49"/>
    <w:rsid w:val="00172793"/>
    <w:rsid w:val="00180558"/>
    <w:rsid w:val="001811E5"/>
    <w:rsid w:val="00183B34"/>
    <w:rsid w:val="00185F46"/>
    <w:rsid w:val="00196C6A"/>
    <w:rsid w:val="0019787E"/>
    <w:rsid w:val="001A425B"/>
    <w:rsid w:val="001B1B28"/>
    <w:rsid w:val="001B27FB"/>
    <w:rsid w:val="001B7BA5"/>
    <w:rsid w:val="001C4A85"/>
    <w:rsid w:val="001C5443"/>
    <w:rsid w:val="001D0C7D"/>
    <w:rsid w:val="001D1F2D"/>
    <w:rsid w:val="001D2314"/>
    <w:rsid w:val="001D6398"/>
    <w:rsid w:val="001E1F45"/>
    <w:rsid w:val="001E62C1"/>
    <w:rsid w:val="001F0779"/>
    <w:rsid w:val="001F3BDC"/>
    <w:rsid w:val="001F3C3E"/>
    <w:rsid w:val="001F7AE7"/>
    <w:rsid w:val="0020243A"/>
    <w:rsid w:val="0021578E"/>
    <w:rsid w:val="00227582"/>
    <w:rsid w:val="002308BE"/>
    <w:rsid w:val="002407C0"/>
    <w:rsid w:val="0024356A"/>
    <w:rsid w:val="0024397D"/>
    <w:rsid w:val="002461AF"/>
    <w:rsid w:val="002465A1"/>
    <w:rsid w:val="00255717"/>
    <w:rsid w:val="00264576"/>
    <w:rsid w:val="0026585A"/>
    <w:rsid w:val="00266735"/>
    <w:rsid w:val="00266FB7"/>
    <w:rsid w:val="00273CF0"/>
    <w:rsid w:val="002748D4"/>
    <w:rsid w:val="00274ED7"/>
    <w:rsid w:val="0028461D"/>
    <w:rsid w:val="0028590C"/>
    <w:rsid w:val="00292C46"/>
    <w:rsid w:val="002938D6"/>
    <w:rsid w:val="00294B73"/>
    <w:rsid w:val="00297B9B"/>
    <w:rsid w:val="002A0C18"/>
    <w:rsid w:val="002A219B"/>
    <w:rsid w:val="002A22DB"/>
    <w:rsid w:val="002B20F5"/>
    <w:rsid w:val="002B2A1A"/>
    <w:rsid w:val="002B71F2"/>
    <w:rsid w:val="002C6240"/>
    <w:rsid w:val="002E71C0"/>
    <w:rsid w:val="002F05F4"/>
    <w:rsid w:val="002F0CE4"/>
    <w:rsid w:val="002F23EF"/>
    <w:rsid w:val="002F2626"/>
    <w:rsid w:val="00302082"/>
    <w:rsid w:val="00306620"/>
    <w:rsid w:val="003262B9"/>
    <w:rsid w:val="00334A02"/>
    <w:rsid w:val="00335875"/>
    <w:rsid w:val="00335FBE"/>
    <w:rsid w:val="003450B0"/>
    <w:rsid w:val="00352D8E"/>
    <w:rsid w:val="00356B68"/>
    <w:rsid w:val="0035702D"/>
    <w:rsid w:val="003604D4"/>
    <w:rsid w:val="003627B0"/>
    <w:rsid w:val="003670D5"/>
    <w:rsid w:val="00374DF6"/>
    <w:rsid w:val="003759B0"/>
    <w:rsid w:val="00375F84"/>
    <w:rsid w:val="00376E34"/>
    <w:rsid w:val="003804E7"/>
    <w:rsid w:val="003934D2"/>
    <w:rsid w:val="003973A1"/>
    <w:rsid w:val="003A5DA0"/>
    <w:rsid w:val="003A5EEB"/>
    <w:rsid w:val="003A6143"/>
    <w:rsid w:val="003B086D"/>
    <w:rsid w:val="003B35F4"/>
    <w:rsid w:val="003B471C"/>
    <w:rsid w:val="003B7C76"/>
    <w:rsid w:val="003C3E0C"/>
    <w:rsid w:val="003C776B"/>
    <w:rsid w:val="003D4A1C"/>
    <w:rsid w:val="003D7AA0"/>
    <w:rsid w:val="003E1FF7"/>
    <w:rsid w:val="003E311D"/>
    <w:rsid w:val="003E6824"/>
    <w:rsid w:val="003F4470"/>
    <w:rsid w:val="003F5A04"/>
    <w:rsid w:val="003F67CD"/>
    <w:rsid w:val="00402ED7"/>
    <w:rsid w:val="004114F8"/>
    <w:rsid w:val="00422B69"/>
    <w:rsid w:val="00423D86"/>
    <w:rsid w:val="00424C90"/>
    <w:rsid w:val="00432107"/>
    <w:rsid w:val="00433342"/>
    <w:rsid w:val="00436BE9"/>
    <w:rsid w:val="004412E2"/>
    <w:rsid w:val="00441E76"/>
    <w:rsid w:val="004443DA"/>
    <w:rsid w:val="00446A75"/>
    <w:rsid w:val="004474A2"/>
    <w:rsid w:val="00451F0B"/>
    <w:rsid w:val="00452B06"/>
    <w:rsid w:val="00460925"/>
    <w:rsid w:val="00471C6C"/>
    <w:rsid w:val="00472023"/>
    <w:rsid w:val="00486993"/>
    <w:rsid w:val="00492DA4"/>
    <w:rsid w:val="00496AA3"/>
    <w:rsid w:val="00497C98"/>
    <w:rsid w:val="004A39D7"/>
    <w:rsid w:val="004A55FA"/>
    <w:rsid w:val="004B527F"/>
    <w:rsid w:val="004B5D03"/>
    <w:rsid w:val="004C1EC4"/>
    <w:rsid w:val="004D035C"/>
    <w:rsid w:val="004D3560"/>
    <w:rsid w:val="004D7E75"/>
    <w:rsid w:val="004F3C18"/>
    <w:rsid w:val="004F4328"/>
    <w:rsid w:val="005005E4"/>
    <w:rsid w:val="00513689"/>
    <w:rsid w:val="0051375A"/>
    <w:rsid w:val="00521097"/>
    <w:rsid w:val="0053059E"/>
    <w:rsid w:val="00531C9B"/>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5A7"/>
    <w:rsid w:val="0058743D"/>
    <w:rsid w:val="00587BF7"/>
    <w:rsid w:val="0059477B"/>
    <w:rsid w:val="00596884"/>
    <w:rsid w:val="005A14B5"/>
    <w:rsid w:val="005B5A98"/>
    <w:rsid w:val="005C1A4F"/>
    <w:rsid w:val="005C27D7"/>
    <w:rsid w:val="005D1D82"/>
    <w:rsid w:val="005D7CD0"/>
    <w:rsid w:val="005E1A3A"/>
    <w:rsid w:val="005E6ADC"/>
    <w:rsid w:val="005E6D10"/>
    <w:rsid w:val="005E6D38"/>
    <w:rsid w:val="005E708D"/>
    <w:rsid w:val="005E7B3F"/>
    <w:rsid w:val="005F040F"/>
    <w:rsid w:val="005F2C42"/>
    <w:rsid w:val="006043FC"/>
    <w:rsid w:val="006050CF"/>
    <w:rsid w:val="006253AA"/>
    <w:rsid w:val="00626023"/>
    <w:rsid w:val="00627395"/>
    <w:rsid w:val="00633150"/>
    <w:rsid w:val="00637A50"/>
    <w:rsid w:val="00641D6D"/>
    <w:rsid w:val="0064364E"/>
    <w:rsid w:val="006438F3"/>
    <w:rsid w:val="00647907"/>
    <w:rsid w:val="00651A82"/>
    <w:rsid w:val="006525E9"/>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2D7"/>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4F1F"/>
    <w:rsid w:val="008D7401"/>
    <w:rsid w:val="008E470B"/>
    <w:rsid w:val="00903DF6"/>
    <w:rsid w:val="00912D51"/>
    <w:rsid w:val="00921CF6"/>
    <w:rsid w:val="00924EF0"/>
    <w:rsid w:val="00934D7B"/>
    <w:rsid w:val="00947180"/>
    <w:rsid w:val="009567BE"/>
    <w:rsid w:val="009676FA"/>
    <w:rsid w:val="009679E0"/>
    <w:rsid w:val="00977632"/>
    <w:rsid w:val="00982A8E"/>
    <w:rsid w:val="00987DB4"/>
    <w:rsid w:val="00994189"/>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45CC"/>
    <w:rsid w:val="00A618E1"/>
    <w:rsid w:val="00A629B9"/>
    <w:rsid w:val="00A70C20"/>
    <w:rsid w:val="00A74292"/>
    <w:rsid w:val="00A75A0C"/>
    <w:rsid w:val="00A776DE"/>
    <w:rsid w:val="00A80640"/>
    <w:rsid w:val="00A87FFD"/>
    <w:rsid w:val="00A97038"/>
    <w:rsid w:val="00AA3C15"/>
    <w:rsid w:val="00AA45A0"/>
    <w:rsid w:val="00AA6330"/>
    <w:rsid w:val="00AC7501"/>
    <w:rsid w:val="00AD748B"/>
    <w:rsid w:val="00AE4865"/>
    <w:rsid w:val="00AF2FE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88E"/>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6C5"/>
    <w:rsid w:val="00D773CF"/>
    <w:rsid w:val="00D83563"/>
    <w:rsid w:val="00D8448F"/>
    <w:rsid w:val="00D92A0C"/>
    <w:rsid w:val="00DA64B6"/>
    <w:rsid w:val="00DB5C9D"/>
    <w:rsid w:val="00DD02E6"/>
    <w:rsid w:val="00DF665B"/>
    <w:rsid w:val="00E0152A"/>
    <w:rsid w:val="00E03394"/>
    <w:rsid w:val="00E066E5"/>
    <w:rsid w:val="00E22F03"/>
    <w:rsid w:val="00E233C1"/>
    <w:rsid w:val="00E3642C"/>
    <w:rsid w:val="00E51404"/>
    <w:rsid w:val="00E55FD6"/>
    <w:rsid w:val="00E574C9"/>
    <w:rsid w:val="00E610DE"/>
    <w:rsid w:val="00E66167"/>
    <w:rsid w:val="00E71F2F"/>
    <w:rsid w:val="00E77786"/>
    <w:rsid w:val="00E806FB"/>
    <w:rsid w:val="00EA76C1"/>
    <w:rsid w:val="00EB1C2D"/>
    <w:rsid w:val="00EC1810"/>
    <w:rsid w:val="00EC3FCC"/>
    <w:rsid w:val="00ED32FF"/>
    <w:rsid w:val="00EF039B"/>
    <w:rsid w:val="00EF4933"/>
    <w:rsid w:val="00EF4FB2"/>
    <w:rsid w:val="00EF5044"/>
    <w:rsid w:val="00F01956"/>
    <w:rsid w:val="00F116CE"/>
    <w:rsid w:val="00F176DE"/>
    <w:rsid w:val="00F21C47"/>
    <w:rsid w:val="00F244E2"/>
    <w:rsid w:val="00F340DE"/>
    <w:rsid w:val="00F41128"/>
    <w:rsid w:val="00F43542"/>
    <w:rsid w:val="00F527CB"/>
    <w:rsid w:val="00F562AA"/>
    <w:rsid w:val="00F56853"/>
    <w:rsid w:val="00F7105A"/>
    <w:rsid w:val="00F77676"/>
    <w:rsid w:val="00F8197C"/>
    <w:rsid w:val="00F82B4E"/>
    <w:rsid w:val="00F87559"/>
    <w:rsid w:val="00F96D71"/>
    <w:rsid w:val="00F97C9E"/>
    <w:rsid w:val="00FA20DE"/>
    <w:rsid w:val="00FA4EE8"/>
    <w:rsid w:val="00FB12CA"/>
    <w:rsid w:val="00FB36EC"/>
    <w:rsid w:val="00FB4E1B"/>
    <w:rsid w:val="00FB79F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97866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44E6581CE6E3459D298AF9E8288F81" ma:contentTypeVersion="1" ma:contentTypeDescription="Create a new document." ma:contentTypeScope="" ma:versionID="a26767782fb81b32a3e7f931820a8882">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3AMX4D3CU3N3-257-317</_dlc_DocId>
    <_dlc_DocIdUrl xmlns="ef2b9e05-657a-4dc1-8c6c-679bdea18f38">
      <Url>https://sharepoint.kent.ac.uk/biosciences/LTB/_layouts/15/DocIdRedir.aspx?ID=3AMX4D3CU3N3-257-317</Url>
      <Description>3AMX4D3CU3N3-257-317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D27C-5A38-4202-A3AD-17277B27CB8A}">
  <ds:schemaRefs>
    <ds:schemaRef ds:uri="http://schemas.microsoft.com/sharepoint/v3/contenttype/forms"/>
  </ds:schemaRefs>
</ds:datastoreItem>
</file>

<file path=customXml/itemProps2.xml><?xml version="1.0" encoding="utf-8"?>
<ds:datastoreItem xmlns:ds="http://schemas.openxmlformats.org/officeDocument/2006/customXml" ds:itemID="{20CFBB6C-9AA0-4783-8F2E-B6CD978D818F}">
  <ds:schemaRefs>
    <ds:schemaRef ds:uri="http://schemas.microsoft.com/sharepoint/events"/>
  </ds:schemaRefs>
</ds:datastoreItem>
</file>

<file path=customXml/itemProps3.xml><?xml version="1.0" encoding="utf-8"?>
<ds:datastoreItem xmlns:ds="http://schemas.openxmlformats.org/officeDocument/2006/customXml" ds:itemID="{392CC079-0F36-40DB-BC0B-DFAFFB17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8E6AA-6350-48B5-B558-3F41218EA431}">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ef2b9e05-657a-4dc1-8c6c-679bdea18f38"/>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501B22-E2DB-44F5-9161-A787CEFA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3</cp:revision>
  <cp:lastPrinted>2015-09-09T08:37:00Z</cp:lastPrinted>
  <dcterms:created xsi:type="dcterms:W3CDTF">2015-12-08T16:33:00Z</dcterms:created>
  <dcterms:modified xsi:type="dcterms:W3CDTF">2015-12-08T16:34:00Z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0x0101009244E6581CE6E3459D298AF9E8288F81</vt:lpwstr>
  </property>
  <property fmtid="{D5CDD505-2E9C-101B-9397-08002B2CF9AE}" pid="3" name="_dlc_DocIdItemGuid">
    <vt:lpwstr>e4981488-8fb4-434b-93c0-11e160cb6c99</vt:lpwstr>
  </property>
</Properties>
</file>