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55" w:rsidRPr="008C00F8" w:rsidRDefault="008E6A55" w:rsidP="008C00F8">
      <w:pPr>
        <w:spacing w:before="60" w:after="60"/>
        <w:rPr>
          <w:rFonts w:ascii="Arial" w:hAnsi="Arial" w:cs="Arial"/>
          <w:sz w:val="22"/>
          <w:szCs w:val="22"/>
        </w:rPr>
      </w:pPr>
    </w:p>
    <w:tbl>
      <w:tblPr>
        <w:tblW w:w="921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8E6A55" w:rsidRPr="008C00F8">
        <w:tc>
          <w:tcPr>
            <w:tcW w:w="9215" w:type="dxa"/>
            <w:tcBorders>
              <w:top w:val="single" w:sz="4" w:space="0" w:color="auto"/>
              <w:bottom w:val="single" w:sz="4" w:space="0" w:color="auto"/>
            </w:tcBorders>
            <w:shd w:val="pct5" w:color="auto" w:fill="FFFFFF"/>
          </w:tcPr>
          <w:p w:rsidR="007315E9" w:rsidRDefault="008E6A55" w:rsidP="008C00F8">
            <w:pPr>
              <w:spacing w:before="60" w:after="60"/>
              <w:jc w:val="center"/>
              <w:rPr>
                <w:rFonts w:ascii="Arial" w:hAnsi="Arial" w:cs="Arial"/>
                <w:b/>
                <w:bCs/>
                <w:sz w:val="22"/>
                <w:szCs w:val="22"/>
              </w:rPr>
            </w:pPr>
            <w:r w:rsidRPr="008C00F8">
              <w:rPr>
                <w:rFonts w:ascii="Arial" w:hAnsi="Arial" w:cs="Arial"/>
                <w:b/>
                <w:bCs/>
                <w:sz w:val="22"/>
                <w:szCs w:val="22"/>
              </w:rPr>
              <w:t>Degree and Programme Title</w:t>
            </w:r>
            <w:r>
              <w:rPr>
                <w:rFonts w:ascii="Arial" w:hAnsi="Arial" w:cs="Arial"/>
                <w:b/>
                <w:bCs/>
                <w:sz w:val="22"/>
                <w:szCs w:val="22"/>
              </w:rPr>
              <w:t xml:space="preserve"> </w:t>
            </w:r>
          </w:p>
          <w:p w:rsidR="008E6A55" w:rsidRPr="004211C6" w:rsidRDefault="007315E9" w:rsidP="008C00F8">
            <w:pPr>
              <w:spacing w:before="60" w:after="60"/>
              <w:jc w:val="center"/>
              <w:rPr>
                <w:rFonts w:ascii="Arial" w:hAnsi="Arial" w:cs="Arial"/>
                <w:i/>
                <w:iCs/>
              </w:rPr>
            </w:pPr>
            <w:r>
              <w:rPr>
                <w:rFonts w:ascii="Arial" w:hAnsi="Arial" w:cs="Arial"/>
                <w:bCs/>
                <w:sz w:val="22"/>
                <w:szCs w:val="22"/>
              </w:rPr>
              <w:t>PG Cert/</w:t>
            </w:r>
            <w:r w:rsidR="008E6A55" w:rsidRPr="007315E9">
              <w:rPr>
                <w:rFonts w:ascii="Arial" w:hAnsi="Arial" w:cs="Arial"/>
                <w:iCs/>
                <w:sz w:val="22"/>
                <w:szCs w:val="22"/>
              </w:rPr>
              <w:t>MA in Theory and Method in the Study of Religion</w:t>
            </w:r>
          </w:p>
        </w:tc>
      </w:tr>
    </w:tbl>
    <w:p w:rsidR="008E6A55" w:rsidRPr="008C00F8" w:rsidRDefault="008E6A55" w:rsidP="008C00F8">
      <w:pPr>
        <w:spacing w:before="60" w:after="60"/>
        <w:rPr>
          <w:rFonts w:ascii="Arial" w:hAnsi="Arial" w:cs="Arial"/>
          <w:sz w:val="22"/>
          <w:szCs w:val="22"/>
        </w:rPr>
      </w:pP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Awarding Institution/Body</w:t>
            </w:r>
          </w:p>
        </w:tc>
        <w:tc>
          <w:tcPr>
            <w:tcW w:w="4636" w:type="dxa"/>
          </w:tcPr>
          <w:p w:rsidR="008E6A55" w:rsidRPr="004211C6" w:rsidRDefault="008E6A55" w:rsidP="008C00F8">
            <w:pPr>
              <w:spacing w:before="60" w:after="60"/>
              <w:rPr>
                <w:rFonts w:ascii="Arial" w:hAnsi="Arial" w:cs="Arial"/>
              </w:rPr>
            </w:pPr>
            <w:r w:rsidRPr="004211C6">
              <w:rPr>
                <w:rFonts w:ascii="Arial" w:hAnsi="Arial" w:cs="Arial"/>
                <w:sz w:val="22"/>
                <w:szCs w:val="22"/>
              </w:rPr>
              <w:t>University of Kent</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Teaching Institution</w:t>
            </w:r>
          </w:p>
        </w:tc>
        <w:tc>
          <w:tcPr>
            <w:tcW w:w="4636" w:type="dxa"/>
          </w:tcPr>
          <w:p w:rsidR="008E6A55" w:rsidRPr="004211C6" w:rsidRDefault="008E6A55" w:rsidP="008C00F8">
            <w:pPr>
              <w:spacing w:before="60" w:after="60"/>
              <w:rPr>
                <w:rFonts w:ascii="Arial" w:hAnsi="Arial" w:cs="Arial"/>
                <w:i/>
                <w:iCs/>
              </w:rPr>
            </w:pPr>
            <w:r w:rsidRPr="004211C6">
              <w:rPr>
                <w:rFonts w:ascii="Arial" w:hAnsi="Arial" w:cs="Arial"/>
                <w:sz w:val="22"/>
                <w:szCs w:val="22"/>
              </w:rPr>
              <w:t>University of Kent</w:t>
            </w:r>
            <w:r>
              <w:rPr>
                <w:rFonts w:ascii="Arial" w:hAnsi="Arial" w:cs="Arial"/>
                <w:sz w:val="22"/>
                <w:szCs w:val="22"/>
              </w:rPr>
              <w:t xml:space="preserve"> </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Teaching Site</w:t>
            </w:r>
          </w:p>
        </w:tc>
        <w:tc>
          <w:tcPr>
            <w:tcW w:w="4636" w:type="dxa"/>
          </w:tcPr>
          <w:p w:rsidR="008E6A55" w:rsidRPr="007315E9" w:rsidRDefault="008E6A55" w:rsidP="008C00F8">
            <w:pPr>
              <w:spacing w:before="60" w:after="60"/>
              <w:rPr>
                <w:rFonts w:ascii="Arial" w:hAnsi="Arial" w:cs="Arial"/>
              </w:rPr>
            </w:pPr>
            <w:r w:rsidRPr="007315E9">
              <w:rPr>
                <w:rFonts w:ascii="Arial" w:hAnsi="Arial" w:cs="Arial"/>
                <w:iCs/>
                <w:sz w:val="22"/>
                <w:szCs w:val="22"/>
              </w:rPr>
              <w:t>Canterbury</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Programme accredited by</w:t>
            </w:r>
          </w:p>
        </w:tc>
        <w:tc>
          <w:tcPr>
            <w:tcW w:w="4636" w:type="dxa"/>
          </w:tcPr>
          <w:p w:rsidR="008E6A55" w:rsidRPr="004211C6" w:rsidRDefault="008E6A55" w:rsidP="008C00F8">
            <w:pPr>
              <w:spacing w:before="60" w:after="60"/>
              <w:rPr>
                <w:rFonts w:ascii="Arial" w:hAnsi="Arial" w:cs="Arial"/>
              </w:rPr>
            </w:pPr>
            <w:r>
              <w:rPr>
                <w:rFonts w:ascii="Arial" w:hAnsi="Arial" w:cs="Arial"/>
                <w:i/>
                <w:iCs/>
                <w:sz w:val="22"/>
                <w:szCs w:val="22"/>
              </w:rPr>
              <w:t>N/A</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Final Award</w:t>
            </w:r>
          </w:p>
        </w:tc>
        <w:tc>
          <w:tcPr>
            <w:tcW w:w="4636" w:type="dxa"/>
          </w:tcPr>
          <w:p w:rsidR="008E6A55" w:rsidRPr="007315E9" w:rsidRDefault="007315E9" w:rsidP="008C00F8">
            <w:pPr>
              <w:spacing w:before="60" w:after="60"/>
              <w:rPr>
                <w:rFonts w:ascii="Arial" w:hAnsi="Arial" w:cs="Arial"/>
                <w:iCs/>
              </w:rPr>
            </w:pPr>
            <w:r>
              <w:rPr>
                <w:rFonts w:ascii="Arial" w:hAnsi="Arial" w:cs="Arial"/>
                <w:iCs/>
                <w:sz w:val="22"/>
                <w:szCs w:val="22"/>
              </w:rPr>
              <w:t>PG Cert, PG Dip, MA</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Programme</w:t>
            </w:r>
          </w:p>
        </w:tc>
        <w:tc>
          <w:tcPr>
            <w:tcW w:w="4636" w:type="dxa"/>
          </w:tcPr>
          <w:p w:rsidR="008E6A55" w:rsidRPr="007315E9" w:rsidRDefault="008E6A55" w:rsidP="008C00F8">
            <w:pPr>
              <w:spacing w:before="60" w:after="60"/>
              <w:rPr>
                <w:rFonts w:ascii="Arial" w:hAnsi="Arial" w:cs="Arial"/>
                <w:iCs/>
              </w:rPr>
            </w:pPr>
            <w:r w:rsidRPr="007315E9">
              <w:rPr>
                <w:rFonts w:ascii="Arial" w:hAnsi="Arial" w:cs="Arial"/>
                <w:iCs/>
                <w:sz w:val="22"/>
                <w:szCs w:val="22"/>
              </w:rPr>
              <w:t>Theory and Method in Study of Religion</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UCAS Code (or other code)</w:t>
            </w:r>
          </w:p>
        </w:tc>
        <w:tc>
          <w:tcPr>
            <w:tcW w:w="4636" w:type="dxa"/>
          </w:tcPr>
          <w:p w:rsidR="008E6A55" w:rsidRPr="004211C6" w:rsidRDefault="008E6A55" w:rsidP="008C00F8">
            <w:pPr>
              <w:spacing w:before="60" w:after="60"/>
              <w:rPr>
                <w:rFonts w:ascii="Arial" w:hAnsi="Arial" w:cs="Arial"/>
              </w:rPr>
            </w:pPr>
            <w:r>
              <w:rPr>
                <w:rFonts w:ascii="Arial" w:hAnsi="Arial" w:cs="Arial"/>
              </w:rPr>
              <w:t>N/A</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Relevant QAA subject benchmarking group(s)</w:t>
            </w:r>
          </w:p>
        </w:tc>
        <w:tc>
          <w:tcPr>
            <w:tcW w:w="4636" w:type="dxa"/>
          </w:tcPr>
          <w:p w:rsidR="008E6A55" w:rsidRPr="007315E9" w:rsidRDefault="008E6A55" w:rsidP="008C00F8">
            <w:pPr>
              <w:spacing w:before="60" w:after="60"/>
              <w:rPr>
                <w:rFonts w:ascii="Arial" w:hAnsi="Arial" w:cs="Arial"/>
                <w:iCs/>
              </w:rPr>
            </w:pPr>
            <w:r w:rsidRPr="007315E9">
              <w:rPr>
                <w:rFonts w:ascii="Arial" w:hAnsi="Arial" w:cs="Arial"/>
                <w:iCs/>
                <w:sz w:val="22"/>
                <w:szCs w:val="22"/>
              </w:rPr>
              <w:t>Theology and Religious Studies</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Date of production/revision</w:t>
            </w:r>
          </w:p>
        </w:tc>
        <w:tc>
          <w:tcPr>
            <w:tcW w:w="4636" w:type="dxa"/>
          </w:tcPr>
          <w:p w:rsidR="008E6A55" w:rsidRPr="007315E9" w:rsidRDefault="008E6A55" w:rsidP="008C00F8">
            <w:pPr>
              <w:spacing w:before="60" w:after="60"/>
              <w:rPr>
                <w:rFonts w:ascii="Arial" w:hAnsi="Arial" w:cs="Arial"/>
                <w:iCs/>
              </w:rPr>
            </w:pPr>
            <w:r w:rsidRPr="007315E9">
              <w:rPr>
                <w:rFonts w:ascii="Arial" w:hAnsi="Arial" w:cs="Arial"/>
                <w:iCs/>
                <w:sz w:val="22"/>
                <w:szCs w:val="22"/>
              </w:rPr>
              <w:t>16 November 2010</w:t>
            </w:r>
          </w:p>
        </w:tc>
      </w:tr>
      <w:tr w:rsidR="008E6A55" w:rsidRPr="008C00F8">
        <w:tc>
          <w:tcPr>
            <w:tcW w:w="4579" w:type="dxa"/>
            <w:shd w:val="pct5" w:color="auto" w:fill="FFFFFF"/>
          </w:tcPr>
          <w:p w:rsidR="008E6A55" w:rsidRPr="008C00F8" w:rsidRDefault="008E6A55" w:rsidP="008C00F8">
            <w:pPr>
              <w:numPr>
                <w:ilvl w:val="0"/>
                <w:numId w:val="1"/>
              </w:numPr>
              <w:spacing w:before="60" w:after="60"/>
              <w:rPr>
                <w:rFonts w:ascii="Arial" w:hAnsi="Arial" w:cs="Arial"/>
              </w:rPr>
            </w:pPr>
            <w:r w:rsidRPr="008C00F8">
              <w:rPr>
                <w:rFonts w:ascii="Arial" w:hAnsi="Arial" w:cs="Arial"/>
                <w:b/>
                <w:bCs/>
                <w:sz w:val="22"/>
                <w:szCs w:val="22"/>
              </w:rPr>
              <w:t>Applicable cohort(s)</w:t>
            </w:r>
          </w:p>
        </w:tc>
        <w:tc>
          <w:tcPr>
            <w:tcW w:w="4636" w:type="dxa"/>
          </w:tcPr>
          <w:p w:rsidR="008E6A55" w:rsidRPr="007315E9" w:rsidRDefault="008E6A55" w:rsidP="008C00F8">
            <w:pPr>
              <w:spacing w:before="60" w:after="60"/>
              <w:rPr>
                <w:rFonts w:ascii="Arial" w:hAnsi="Arial" w:cs="Arial"/>
                <w:iCs/>
              </w:rPr>
            </w:pPr>
            <w:r w:rsidRPr="007315E9">
              <w:rPr>
                <w:rFonts w:ascii="Arial" w:hAnsi="Arial" w:cs="Arial"/>
                <w:iCs/>
                <w:sz w:val="22"/>
                <w:szCs w:val="22"/>
              </w:rPr>
              <w:t>From September 2011</w:t>
            </w:r>
          </w:p>
        </w:tc>
      </w:tr>
    </w:tbl>
    <w:p w:rsidR="008E6A55" w:rsidRPr="008C00F8" w:rsidRDefault="008E6A55" w:rsidP="008C00F8">
      <w:pPr>
        <w:spacing w:before="60" w:after="60"/>
        <w:rPr>
          <w:rFonts w:ascii="Arial" w:hAnsi="Arial" w:cs="Arial"/>
          <w:sz w:val="22"/>
          <w:szCs w:val="22"/>
        </w:rPr>
      </w:pP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8E6A55" w:rsidRPr="008C00F8">
        <w:tc>
          <w:tcPr>
            <w:tcW w:w="9215" w:type="dxa"/>
            <w:shd w:val="pct5" w:color="auto" w:fill="FFFFFF"/>
          </w:tcPr>
          <w:p w:rsidR="008E6A55" w:rsidRPr="008C00F8" w:rsidRDefault="008E6A55" w:rsidP="004211C6">
            <w:pPr>
              <w:numPr>
                <w:ilvl w:val="0"/>
                <w:numId w:val="1"/>
              </w:numPr>
              <w:spacing w:before="60" w:after="60"/>
              <w:rPr>
                <w:rFonts w:ascii="Arial" w:hAnsi="Arial" w:cs="Arial"/>
              </w:rPr>
            </w:pPr>
            <w:r w:rsidRPr="008C00F8">
              <w:rPr>
                <w:rFonts w:ascii="Arial" w:hAnsi="Arial" w:cs="Arial"/>
                <w:b/>
                <w:bCs/>
                <w:sz w:val="22"/>
                <w:szCs w:val="22"/>
              </w:rPr>
              <w:t>Educational Aims of the Programme</w:t>
            </w:r>
          </w:p>
          <w:p w:rsidR="008E6A55" w:rsidRPr="008C00F8" w:rsidRDefault="008E6A55" w:rsidP="004211C6">
            <w:pPr>
              <w:spacing w:before="60" w:after="60"/>
              <w:rPr>
                <w:rFonts w:ascii="Arial" w:hAnsi="Arial" w:cs="Arial"/>
              </w:rPr>
            </w:pPr>
            <w:r w:rsidRPr="008C00F8">
              <w:rPr>
                <w:rFonts w:ascii="Arial" w:hAnsi="Arial" w:cs="Arial"/>
                <w:sz w:val="22"/>
                <w:szCs w:val="22"/>
              </w:rPr>
              <w:t>The programme aims to:</w:t>
            </w:r>
          </w:p>
        </w:tc>
      </w:tr>
      <w:tr w:rsidR="008E6A55" w:rsidRPr="008C00F8">
        <w:tc>
          <w:tcPr>
            <w:tcW w:w="9215" w:type="dxa"/>
          </w:tcPr>
          <w:p w:rsidR="008E6A55" w:rsidRPr="007315E9" w:rsidRDefault="008E6A55" w:rsidP="00DE33C8">
            <w:pPr>
              <w:numPr>
                <w:ilvl w:val="0"/>
                <w:numId w:val="2"/>
              </w:numPr>
              <w:spacing w:before="60" w:after="60"/>
              <w:rPr>
                <w:rFonts w:ascii="Arial" w:hAnsi="Arial" w:cs="Arial"/>
              </w:rPr>
            </w:pPr>
            <w:r w:rsidRPr="007315E9">
              <w:rPr>
                <w:rFonts w:ascii="Arial" w:hAnsi="Arial" w:cs="Arial"/>
                <w:iCs/>
                <w:sz w:val="22"/>
                <w:szCs w:val="22"/>
              </w:rPr>
              <w:t>provide students with a strong grounding in current theoretical and methodological debates in the study of contemporary religion, drawing both on wider theories and debates in social research, as well as issues and approaches specific to the study of religion</w:t>
            </w:r>
          </w:p>
          <w:p w:rsidR="008E6A55" w:rsidRPr="007315E9" w:rsidRDefault="008E6A55" w:rsidP="00DE33C8">
            <w:pPr>
              <w:numPr>
                <w:ilvl w:val="0"/>
                <w:numId w:val="2"/>
              </w:numPr>
              <w:spacing w:before="60" w:after="60"/>
              <w:rPr>
                <w:rFonts w:ascii="Arial" w:hAnsi="Arial" w:cs="Arial"/>
              </w:rPr>
            </w:pPr>
            <w:r w:rsidRPr="007315E9">
              <w:rPr>
                <w:rFonts w:ascii="Arial" w:hAnsi="Arial" w:cs="Arial"/>
                <w:iCs/>
                <w:sz w:val="22"/>
                <w:szCs w:val="22"/>
              </w:rPr>
              <w:t>enable students to understand key elements and processes in research design, such that they are able both to evaluate the design of other projects and construct their own theoretically and methodologically-coherent projects</w:t>
            </w:r>
          </w:p>
          <w:p w:rsidR="008E6A55" w:rsidRPr="007315E9" w:rsidRDefault="008E6A55" w:rsidP="00AC0249">
            <w:pPr>
              <w:numPr>
                <w:ilvl w:val="0"/>
                <w:numId w:val="2"/>
              </w:numPr>
              <w:spacing w:before="60" w:after="60"/>
              <w:rPr>
                <w:rFonts w:ascii="Arial" w:hAnsi="Arial" w:cs="Arial"/>
              </w:rPr>
            </w:pPr>
            <w:r w:rsidRPr="007315E9">
              <w:rPr>
                <w:rFonts w:ascii="Arial" w:hAnsi="Arial" w:cs="Arial"/>
                <w:iCs/>
                <w:sz w:val="22"/>
                <w:szCs w:val="22"/>
              </w:rPr>
              <w:t>provide a nationally-excellent training which would enable students, as appropriate, to develop proposals for further study at doctoral level or to undertake research in other contexts (e.g. applied policy settings)</w:t>
            </w:r>
          </w:p>
          <w:p w:rsidR="008E6A55" w:rsidRPr="00AC0249" w:rsidRDefault="008E6A55" w:rsidP="00AC0249">
            <w:pPr>
              <w:numPr>
                <w:ilvl w:val="0"/>
                <w:numId w:val="2"/>
              </w:numPr>
              <w:spacing w:before="60" w:after="60"/>
              <w:rPr>
                <w:rFonts w:ascii="Arial" w:hAnsi="Arial" w:cs="Arial"/>
              </w:rPr>
            </w:pPr>
            <w:r w:rsidRPr="007315E9">
              <w:rPr>
                <w:rFonts w:ascii="Arial" w:hAnsi="Arial" w:cs="Arial"/>
                <w:iCs/>
                <w:sz w:val="22"/>
                <w:szCs w:val="22"/>
              </w:rPr>
              <w:t>enable students to engage with other specialist debates in the study of religion and contemporary society, and other relevant debates in social and cultural research, in order to help them understand a wider context for their particular research interests or to help them to develop research projects from existing fields of literature</w:t>
            </w:r>
          </w:p>
        </w:tc>
      </w:tr>
    </w:tbl>
    <w:p w:rsidR="008E6A55" w:rsidRDefault="008E6A55"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Default="007315E9" w:rsidP="008C00F8">
      <w:pPr>
        <w:spacing w:before="60" w:after="60"/>
        <w:rPr>
          <w:rFonts w:ascii="Arial" w:hAnsi="Arial" w:cs="Arial"/>
          <w:sz w:val="22"/>
          <w:szCs w:val="22"/>
        </w:rPr>
      </w:pPr>
    </w:p>
    <w:p w:rsidR="007315E9" w:rsidRPr="008C00F8" w:rsidRDefault="007315E9" w:rsidP="008C00F8">
      <w:pPr>
        <w:spacing w:before="60" w:after="60"/>
        <w:rPr>
          <w:rFonts w:ascii="Arial" w:hAnsi="Arial" w:cs="Arial"/>
          <w:sz w:val="22"/>
          <w:szCs w:val="22"/>
        </w:rPr>
      </w:pP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8E6A55" w:rsidRPr="008C00F8">
        <w:trPr>
          <w:cantSplit/>
        </w:trPr>
        <w:tc>
          <w:tcPr>
            <w:tcW w:w="9215" w:type="dxa"/>
            <w:gridSpan w:val="2"/>
            <w:tcBorders>
              <w:bottom w:val="nil"/>
            </w:tcBorders>
            <w:shd w:val="pct5" w:color="auto" w:fill="FFFFFF"/>
          </w:tcPr>
          <w:p w:rsidR="008E6A55" w:rsidRPr="008C00F8" w:rsidRDefault="008E6A55" w:rsidP="008C00F8">
            <w:pPr>
              <w:numPr>
                <w:ilvl w:val="0"/>
                <w:numId w:val="3"/>
              </w:numPr>
              <w:spacing w:before="60" w:after="60"/>
              <w:rPr>
                <w:rFonts w:ascii="Arial" w:hAnsi="Arial" w:cs="Arial"/>
              </w:rPr>
            </w:pPr>
            <w:r w:rsidRPr="008C00F8">
              <w:rPr>
                <w:rFonts w:ascii="Arial" w:hAnsi="Arial" w:cs="Arial"/>
                <w:b/>
                <w:bCs/>
                <w:sz w:val="22"/>
                <w:szCs w:val="22"/>
              </w:rPr>
              <w:lastRenderedPageBreak/>
              <w:t>Programme Outcomes</w:t>
            </w:r>
          </w:p>
          <w:p w:rsidR="008E6A55" w:rsidRPr="008C00F8" w:rsidRDefault="008E6A55" w:rsidP="007315E9">
            <w:pPr>
              <w:spacing w:before="60" w:after="60"/>
              <w:jc w:val="both"/>
              <w:rPr>
                <w:rFonts w:ascii="Arial" w:hAnsi="Arial" w:cs="Arial"/>
                <w:i/>
                <w:iCs/>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w:t>
            </w:r>
            <w:r w:rsidR="007315E9">
              <w:rPr>
                <w:rFonts w:ascii="Arial" w:hAnsi="Arial" w:cs="Arial"/>
                <w:sz w:val="22"/>
                <w:szCs w:val="22"/>
              </w:rPr>
              <w:t>All learning outcomes are applicable to both the PG Cert and MA awards (unless marked ‘MA only’)</w:t>
            </w:r>
          </w:p>
        </w:tc>
      </w:tr>
      <w:tr w:rsidR="008E6A55" w:rsidRPr="008C00F8">
        <w:trPr>
          <w:trHeight w:val="1187"/>
        </w:trPr>
        <w:tc>
          <w:tcPr>
            <w:tcW w:w="4579"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Knowledge and Understanding</w:t>
            </w:r>
          </w:p>
        </w:tc>
        <w:tc>
          <w:tcPr>
            <w:tcW w:w="4636"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Teaching/learning and assessment methods and strategies used to enable outcomes to be achieved and demonstrated</w:t>
            </w:r>
          </w:p>
        </w:tc>
      </w:tr>
      <w:tr w:rsidR="008E6A55" w:rsidRPr="008C00F8">
        <w:tc>
          <w:tcPr>
            <w:tcW w:w="4579"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A. Knowledge and Understanding of:</w:t>
            </w:r>
          </w:p>
        </w:tc>
        <w:tc>
          <w:tcPr>
            <w:tcW w:w="4636" w:type="dxa"/>
            <w:shd w:val="pct5" w:color="auto" w:fill="FFFFFF"/>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current theoretical debates in the study of contemporary religion</w:t>
            </w:r>
          </w:p>
        </w:tc>
        <w:tc>
          <w:tcPr>
            <w:tcW w:w="4636" w:type="dxa"/>
            <w:vMerge w:val="restart"/>
          </w:tcPr>
          <w:p w:rsidR="008E6A55" w:rsidRDefault="008E6A55" w:rsidP="008C00F8">
            <w:pPr>
              <w:spacing w:before="60" w:after="60"/>
              <w:rPr>
                <w:rFonts w:ascii="Arial" w:hAnsi="Arial" w:cs="Arial"/>
              </w:rPr>
            </w:pPr>
            <w:r w:rsidRPr="004C5915">
              <w:rPr>
                <w:rFonts w:ascii="Arial" w:hAnsi="Arial" w:cs="Arial"/>
                <w:b/>
                <w:bCs/>
                <w:i/>
                <w:iCs/>
                <w:sz w:val="22"/>
                <w:szCs w:val="22"/>
              </w:rPr>
              <w:t>Teaching/Learning methods and strategies</w:t>
            </w:r>
            <w:r>
              <w:rPr>
                <w:rFonts w:ascii="Arial" w:hAnsi="Arial" w:cs="Arial"/>
                <w:sz w:val="22"/>
                <w:szCs w:val="22"/>
              </w:rPr>
              <w:t>:</w:t>
            </w:r>
          </w:p>
          <w:p w:rsidR="008E6A55" w:rsidRDefault="008E6A55" w:rsidP="008C00F8">
            <w:pPr>
              <w:spacing w:before="60" w:after="60"/>
              <w:rPr>
                <w:rFonts w:ascii="Arial" w:hAnsi="Arial" w:cs="Arial"/>
              </w:rPr>
            </w:pPr>
            <w:r>
              <w:rPr>
                <w:rFonts w:ascii="Arial" w:hAnsi="Arial" w:cs="Arial"/>
                <w:sz w:val="22"/>
                <w:szCs w:val="22"/>
              </w:rPr>
              <w:t>Mini-lectures, seminars based around set readings, student panel presentations on set topics and debates, and individual and group exercises (including short written exercises in class). Workshops on preparing research proposals and studentship applications. Individual tutorials and one-to-one dissertation supervision.</w:t>
            </w:r>
          </w:p>
          <w:p w:rsidR="008E6A55" w:rsidRDefault="008E6A55" w:rsidP="008C00F8">
            <w:pPr>
              <w:spacing w:before="60" w:after="60"/>
              <w:rPr>
                <w:rFonts w:ascii="Arial" w:hAnsi="Arial" w:cs="Arial"/>
              </w:rPr>
            </w:pPr>
          </w:p>
          <w:p w:rsidR="008E6A55" w:rsidRDefault="008E6A55" w:rsidP="008C00F8">
            <w:pPr>
              <w:spacing w:before="60" w:after="60"/>
              <w:rPr>
                <w:rFonts w:ascii="Arial" w:hAnsi="Arial" w:cs="Arial"/>
              </w:rPr>
            </w:pPr>
            <w:r>
              <w:rPr>
                <w:rFonts w:ascii="Arial" w:hAnsi="Arial" w:cs="Arial"/>
                <w:sz w:val="22"/>
                <w:szCs w:val="22"/>
              </w:rPr>
              <w:t>The two core modules will each be delivered in an intensive week-long block of teaching, for which students will be expected to work through a reading and exercise pack in advance. Throughout the learning process, students will be encouraged to think about course material in relation to their own research interests</w:t>
            </w:r>
          </w:p>
          <w:p w:rsidR="008E6A55" w:rsidRPr="004C5915" w:rsidRDefault="008E6A55" w:rsidP="008C00F8">
            <w:pPr>
              <w:spacing w:before="60" w:after="60"/>
              <w:rPr>
                <w:rFonts w:ascii="Arial" w:hAnsi="Arial" w:cs="Arial"/>
                <w:b/>
                <w:bCs/>
              </w:rPr>
            </w:pPr>
          </w:p>
          <w:p w:rsidR="008E6A55" w:rsidRPr="004C5915" w:rsidRDefault="008E6A55" w:rsidP="008C00F8">
            <w:pPr>
              <w:spacing w:before="60" w:after="60"/>
              <w:rPr>
                <w:rFonts w:ascii="Arial" w:hAnsi="Arial" w:cs="Arial"/>
                <w:b/>
                <w:bCs/>
                <w:i/>
                <w:iCs/>
              </w:rPr>
            </w:pPr>
            <w:r w:rsidRPr="004C5915">
              <w:rPr>
                <w:rFonts w:ascii="Arial" w:hAnsi="Arial" w:cs="Arial"/>
                <w:b/>
                <w:bCs/>
                <w:i/>
                <w:iCs/>
                <w:sz w:val="22"/>
                <w:szCs w:val="22"/>
              </w:rPr>
              <w:t>Assessment</w:t>
            </w:r>
          </w:p>
          <w:p w:rsidR="008E6A55" w:rsidRPr="00376382" w:rsidRDefault="008E6A55" w:rsidP="00376382">
            <w:pPr>
              <w:tabs>
                <w:tab w:val="left" w:pos="1072"/>
              </w:tabs>
              <w:rPr>
                <w:rFonts w:ascii="Arial" w:hAnsi="Arial" w:cs="Arial"/>
              </w:rPr>
            </w:pPr>
            <w:r>
              <w:rPr>
                <w:rFonts w:ascii="Arial" w:hAnsi="Arial" w:cs="Arial"/>
                <w:sz w:val="22"/>
                <w:szCs w:val="22"/>
              </w:rPr>
              <w:t>Formative feedback will be provided to students through discussion of class exercises</w:t>
            </w:r>
            <w:r>
              <w:rPr>
                <w:rFonts w:ascii="Arial" w:hAnsi="Arial" w:cs="Arial"/>
              </w:rPr>
              <w:t xml:space="preserve">. </w:t>
            </w:r>
            <w:r w:rsidRPr="004C5915">
              <w:rPr>
                <w:rFonts w:ascii="Arial" w:hAnsi="Arial" w:cs="Arial"/>
                <w:sz w:val="22"/>
                <w:szCs w:val="22"/>
              </w:rPr>
              <w:t>Summative</w:t>
            </w:r>
            <w:r>
              <w:rPr>
                <w:rFonts w:ascii="Arial" w:hAnsi="Arial" w:cs="Arial"/>
                <w:sz w:val="22"/>
                <w:szCs w:val="22"/>
              </w:rPr>
              <w:t xml:space="preserve"> assessment and feedback through essays, and a 12-15,000 word dissertation.</w:t>
            </w: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debates about the ontologies and epistemologies of social research</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key elements of the process of research design</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the role of quantitative data-sets for supporting research on contemporary religion</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the nature and role of a range of quantitative and qualitative research methods</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4"/>
              </w:numPr>
              <w:spacing w:before="60" w:after="60"/>
              <w:rPr>
                <w:rFonts w:ascii="Arial" w:hAnsi="Arial" w:cs="Arial"/>
              </w:rPr>
            </w:pPr>
            <w:r>
              <w:rPr>
                <w:rFonts w:ascii="Arial" w:hAnsi="Arial" w:cs="Arial"/>
              </w:rPr>
              <w:t>broader debates in the study of religion, sociology, anthropology, political science, media and cultural studies, as appropriate, which frame the student’s particular areas of interest in contemporary religion</w:t>
            </w:r>
            <w:r w:rsidR="00FA5D9B">
              <w:rPr>
                <w:rFonts w:ascii="Arial" w:hAnsi="Arial" w:cs="Arial"/>
              </w:rPr>
              <w:t xml:space="preserve"> (MA only)</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Skills and Other Attributes</w:t>
            </w:r>
          </w:p>
          <w:p w:rsidR="008E6A55" w:rsidRPr="008C00F8" w:rsidRDefault="008E6A55" w:rsidP="008C00F8">
            <w:pPr>
              <w:spacing w:before="60" w:after="60"/>
              <w:rPr>
                <w:rFonts w:ascii="Arial" w:hAnsi="Arial" w:cs="Arial"/>
                <w:b/>
                <w:bCs/>
              </w:rPr>
            </w:pPr>
            <w:r w:rsidRPr="008C00F8">
              <w:rPr>
                <w:rFonts w:ascii="Arial" w:hAnsi="Arial" w:cs="Arial"/>
                <w:b/>
                <w:bCs/>
                <w:sz w:val="22"/>
                <w:szCs w:val="22"/>
              </w:rPr>
              <w:t>B. Intellectual Skills:</w:t>
            </w:r>
          </w:p>
        </w:tc>
        <w:tc>
          <w:tcPr>
            <w:tcW w:w="4636" w:type="dxa"/>
            <w:shd w:val="pct5" w:color="auto" w:fill="FFFFFF"/>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0"/>
              </w:numPr>
              <w:spacing w:before="60" w:after="60"/>
              <w:rPr>
                <w:rFonts w:ascii="Arial" w:hAnsi="Arial" w:cs="Arial"/>
              </w:rPr>
            </w:pPr>
            <w:r>
              <w:rPr>
                <w:rFonts w:ascii="Arial" w:hAnsi="Arial" w:cs="Arial"/>
              </w:rPr>
              <w:t>ability to understand, analyse and evaluate relevant theoretical and methodological literature, appropriate to study at Masters level</w:t>
            </w:r>
          </w:p>
        </w:tc>
        <w:tc>
          <w:tcPr>
            <w:tcW w:w="4636" w:type="dxa"/>
            <w:vMerge w:val="restart"/>
          </w:tcPr>
          <w:p w:rsidR="008E6A55" w:rsidRDefault="008E6A55" w:rsidP="00AB70AC">
            <w:pPr>
              <w:spacing w:before="60" w:after="60"/>
              <w:rPr>
                <w:rFonts w:ascii="Arial" w:hAnsi="Arial" w:cs="Arial"/>
              </w:rPr>
            </w:pPr>
            <w:r w:rsidRPr="004C5915">
              <w:rPr>
                <w:rFonts w:ascii="Arial" w:hAnsi="Arial" w:cs="Arial"/>
                <w:b/>
                <w:bCs/>
                <w:i/>
                <w:iCs/>
                <w:sz w:val="22"/>
                <w:szCs w:val="22"/>
              </w:rPr>
              <w:t>Teaching/Learning methods and strategies</w:t>
            </w:r>
            <w:r>
              <w:rPr>
                <w:rFonts w:ascii="Arial" w:hAnsi="Arial" w:cs="Arial"/>
                <w:sz w:val="22"/>
                <w:szCs w:val="22"/>
              </w:rPr>
              <w:t>:</w:t>
            </w:r>
          </w:p>
          <w:p w:rsidR="008E6A55" w:rsidRDefault="008E6A55" w:rsidP="00AB70AC">
            <w:pPr>
              <w:spacing w:before="60" w:after="60"/>
              <w:rPr>
                <w:rFonts w:ascii="Arial" w:hAnsi="Arial" w:cs="Arial"/>
              </w:rPr>
            </w:pPr>
            <w:r>
              <w:rPr>
                <w:rFonts w:ascii="Arial" w:hAnsi="Arial" w:cs="Arial"/>
                <w:sz w:val="22"/>
                <w:szCs w:val="22"/>
              </w:rPr>
              <w:t>Mini-lectures, seminars based around set readings, student panel presentations on set topics and debates, and individual and group exercises (including short written exercises in class). Workshops on preparing research proposals and studentship applications. Individual tutorials and one-to-one dissertation supervision.</w:t>
            </w:r>
          </w:p>
          <w:p w:rsidR="008E6A55" w:rsidRDefault="008E6A55" w:rsidP="008C00F8">
            <w:pPr>
              <w:spacing w:before="60" w:after="60"/>
              <w:rPr>
                <w:rFonts w:ascii="Arial" w:hAnsi="Arial" w:cs="Arial"/>
              </w:rPr>
            </w:pPr>
          </w:p>
          <w:p w:rsidR="008E6A55" w:rsidRPr="004C5915" w:rsidRDefault="008E6A55" w:rsidP="00AB70AC">
            <w:pPr>
              <w:spacing w:before="60" w:after="60"/>
              <w:rPr>
                <w:rFonts w:ascii="Arial" w:hAnsi="Arial" w:cs="Arial"/>
                <w:b/>
                <w:bCs/>
                <w:i/>
                <w:iCs/>
              </w:rPr>
            </w:pPr>
            <w:r w:rsidRPr="004C5915">
              <w:rPr>
                <w:rFonts w:ascii="Arial" w:hAnsi="Arial" w:cs="Arial"/>
                <w:b/>
                <w:bCs/>
                <w:i/>
                <w:iCs/>
                <w:sz w:val="22"/>
                <w:szCs w:val="22"/>
              </w:rPr>
              <w:lastRenderedPageBreak/>
              <w:t>Assessment</w:t>
            </w:r>
          </w:p>
          <w:p w:rsidR="008E6A55" w:rsidRDefault="008E6A55" w:rsidP="00AB70AC">
            <w:pPr>
              <w:spacing w:before="60" w:after="60"/>
              <w:rPr>
                <w:rFonts w:ascii="Arial" w:hAnsi="Arial" w:cs="Arial"/>
              </w:rPr>
            </w:pPr>
            <w:r>
              <w:rPr>
                <w:rFonts w:ascii="Arial" w:hAnsi="Arial" w:cs="Arial"/>
                <w:sz w:val="22"/>
                <w:szCs w:val="22"/>
              </w:rPr>
              <w:t>Formative feedback will be provided to students through discussion of class exercises</w:t>
            </w:r>
            <w:r>
              <w:rPr>
                <w:rFonts w:ascii="Arial" w:hAnsi="Arial" w:cs="Arial"/>
              </w:rPr>
              <w:t xml:space="preserve">. </w:t>
            </w:r>
            <w:r w:rsidRPr="004C5915">
              <w:rPr>
                <w:rFonts w:ascii="Arial" w:hAnsi="Arial" w:cs="Arial"/>
                <w:sz w:val="22"/>
                <w:szCs w:val="22"/>
              </w:rPr>
              <w:t>Summative</w:t>
            </w:r>
            <w:r>
              <w:rPr>
                <w:rFonts w:ascii="Arial" w:hAnsi="Arial" w:cs="Arial"/>
                <w:sz w:val="22"/>
                <w:szCs w:val="22"/>
              </w:rPr>
              <w:t xml:space="preserve"> assessment and feedback through essays, and a 12-15,000 word dissertation.</w:t>
            </w:r>
          </w:p>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0"/>
              </w:numPr>
              <w:spacing w:before="60" w:after="60"/>
              <w:rPr>
                <w:rFonts w:ascii="Arial" w:hAnsi="Arial" w:cs="Arial"/>
              </w:rPr>
            </w:pPr>
            <w:r>
              <w:rPr>
                <w:rFonts w:ascii="Arial" w:hAnsi="Arial" w:cs="Arial"/>
              </w:rPr>
              <w:t>articulate clearly verbally and in writing one’s position in the context of broader theoretical and methodological debates</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0"/>
              </w:numPr>
              <w:spacing w:before="60" w:after="60"/>
              <w:rPr>
                <w:rFonts w:ascii="Arial" w:hAnsi="Arial" w:cs="Arial"/>
              </w:rPr>
            </w:pPr>
            <w:r>
              <w:rPr>
                <w:rFonts w:ascii="Arial" w:hAnsi="Arial" w:cs="Arial"/>
              </w:rPr>
              <w:t>ability to understand and evaluate the research design and knowledge-</w:t>
            </w:r>
            <w:r>
              <w:rPr>
                <w:rFonts w:ascii="Arial" w:hAnsi="Arial" w:cs="Arial"/>
              </w:rPr>
              <w:lastRenderedPageBreak/>
              <w:t>claims of other projects</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0"/>
              </w:numPr>
              <w:spacing w:before="60" w:after="60"/>
              <w:rPr>
                <w:rFonts w:ascii="Arial" w:hAnsi="Arial" w:cs="Arial"/>
              </w:rPr>
            </w:pPr>
            <w:r>
              <w:rPr>
                <w:rFonts w:ascii="Arial" w:hAnsi="Arial" w:cs="Arial"/>
              </w:rPr>
              <w:lastRenderedPageBreak/>
              <w:t>ability to develop a coherent research design and to undertake a Masters’ level dissertation on the basis of this project design</w:t>
            </w:r>
            <w:r w:rsidR="00FA5D9B">
              <w:rPr>
                <w:rFonts w:ascii="Arial" w:hAnsi="Arial" w:cs="Arial"/>
              </w:rPr>
              <w:t xml:space="preserve"> (MA only)</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shd w:val="pct5" w:color="auto" w:fill="FFFFFF"/>
          </w:tcPr>
          <w:p w:rsidR="008E6A55" w:rsidRPr="008C00F8" w:rsidRDefault="008E6A55" w:rsidP="007315E9">
            <w:pPr>
              <w:spacing w:before="60" w:after="60"/>
              <w:rPr>
                <w:rFonts w:ascii="Arial" w:hAnsi="Arial" w:cs="Arial"/>
                <w:b/>
                <w:bCs/>
              </w:rPr>
            </w:pPr>
            <w:r w:rsidRPr="008C00F8">
              <w:rPr>
                <w:rFonts w:ascii="Arial" w:hAnsi="Arial" w:cs="Arial"/>
                <w:b/>
                <w:bCs/>
                <w:sz w:val="22"/>
                <w:szCs w:val="22"/>
              </w:rPr>
              <w:t>C. Subject-specific Skills:</w:t>
            </w:r>
            <w:r>
              <w:rPr>
                <w:rFonts w:ascii="Arial" w:hAnsi="Arial" w:cs="Arial"/>
                <w:b/>
                <w:bCs/>
                <w:sz w:val="22"/>
                <w:szCs w:val="22"/>
              </w:rPr>
              <w:t xml:space="preserve"> </w:t>
            </w:r>
          </w:p>
        </w:tc>
        <w:tc>
          <w:tcPr>
            <w:tcW w:w="4636" w:type="dxa"/>
            <w:shd w:val="pct5" w:color="auto" w:fill="FFFFFF"/>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pStyle w:val="ListParagraph"/>
              <w:numPr>
                <w:ilvl w:val="0"/>
                <w:numId w:val="11"/>
              </w:numPr>
              <w:spacing w:before="60" w:after="60"/>
              <w:rPr>
                <w:rFonts w:ascii="Arial" w:hAnsi="Arial" w:cs="Arial"/>
              </w:rPr>
            </w:pPr>
            <w:r>
              <w:rPr>
                <w:rFonts w:ascii="Arial" w:hAnsi="Arial" w:cs="Arial"/>
              </w:rPr>
              <w:t>ability to make basic use of quantitative data-sets to contextualise research projects or to answer particular research questions</w:t>
            </w:r>
          </w:p>
        </w:tc>
        <w:tc>
          <w:tcPr>
            <w:tcW w:w="4636" w:type="dxa"/>
            <w:vMerge w:val="restart"/>
          </w:tcPr>
          <w:p w:rsidR="008E6A55" w:rsidRDefault="008E6A55" w:rsidP="00AB70AC">
            <w:pPr>
              <w:spacing w:before="60" w:after="60"/>
              <w:rPr>
                <w:rFonts w:ascii="Arial" w:hAnsi="Arial" w:cs="Arial"/>
              </w:rPr>
            </w:pPr>
            <w:r w:rsidRPr="004C5915">
              <w:rPr>
                <w:rFonts w:ascii="Arial" w:hAnsi="Arial" w:cs="Arial"/>
                <w:b/>
                <w:bCs/>
                <w:i/>
                <w:iCs/>
                <w:sz w:val="22"/>
                <w:szCs w:val="22"/>
              </w:rPr>
              <w:t>Teaching/Learning methods and strategies</w:t>
            </w:r>
            <w:r>
              <w:rPr>
                <w:rFonts w:ascii="Arial" w:hAnsi="Arial" w:cs="Arial"/>
                <w:sz w:val="22"/>
                <w:szCs w:val="22"/>
              </w:rPr>
              <w:t>:</w:t>
            </w:r>
          </w:p>
          <w:p w:rsidR="008E6A55" w:rsidRDefault="008E6A55" w:rsidP="008C00F8">
            <w:pPr>
              <w:spacing w:before="60" w:after="60"/>
              <w:rPr>
                <w:rFonts w:ascii="Arial" w:hAnsi="Arial" w:cs="Arial"/>
              </w:rPr>
            </w:pPr>
            <w:r w:rsidRPr="00AB70AC">
              <w:rPr>
                <w:rFonts w:ascii="Arial" w:hAnsi="Arial" w:cs="Arial"/>
                <w:sz w:val="22"/>
                <w:szCs w:val="22"/>
              </w:rPr>
              <w:t>Mini-lectures, seminars, class discussions, computer-based teaching and exercises</w:t>
            </w:r>
            <w:r>
              <w:rPr>
                <w:rFonts w:ascii="Arial" w:hAnsi="Arial" w:cs="Arial"/>
                <w:sz w:val="22"/>
                <w:szCs w:val="22"/>
              </w:rPr>
              <w:t>.</w:t>
            </w:r>
          </w:p>
          <w:p w:rsidR="008E6A55" w:rsidRDefault="008E6A55" w:rsidP="008C00F8">
            <w:pPr>
              <w:spacing w:before="60" w:after="60"/>
              <w:rPr>
                <w:rFonts w:ascii="Arial" w:hAnsi="Arial" w:cs="Arial"/>
              </w:rPr>
            </w:pPr>
          </w:p>
          <w:p w:rsidR="008E6A55" w:rsidRPr="004C5915" w:rsidRDefault="008E6A55" w:rsidP="00AB70AC">
            <w:pPr>
              <w:spacing w:before="60" w:after="60"/>
              <w:rPr>
                <w:rFonts w:ascii="Arial" w:hAnsi="Arial" w:cs="Arial"/>
                <w:b/>
                <w:bCs/>
                <w:i/>
                <w:iCs/>
              </w:rPr>
            </w:pPr>
            <w:r w:rsidRPr="004C5915">
              <w:rPr>
                <w:rFonts w:ascii="Arial" w:hAnsi="Arial" w:cs="Arial"/>
                <w:b/>
                <w:bCs/>
                <w:i/>
                <w:iCs/>
                <w:sz w:val="22"/>
                <w:szCs w:val="22"/>
              </w:rPr>
              <w:t>Assessment</w:t>
            </w:r>
          </w:p>
          <w:p w:rsidR="008E6A55" w:rsidRDefault="008E6A55" w:rsidP="00AB70AC">
            <w:pPr>
              <w:spacing w:before="60" w:after="60"/>
              <w:rPr>
                <w:rFonts w:ascii="Arial" w:hAnsi="Arial" w:cs="Arial"/>
              </w:rPr>
            </w:pPr>
            <w:r>
              <w:rPr>
                <w:rFonts w:ascii="Arial" w:hAnsi="Arial" w:cs="Arial"/>
                <w:sz w:val="22"/>
                <w:szCs w:val="22"/>
              </w:rPr>
              <w:t>Formative feedback will be provided to students through discussion of class exercises</w:t>
            </w:r>
            <w:r>
              <w:rPr>
                <w:rFonts w:ascii="Arial" w:hAnsi="Arial" w:cs="Arial"/>
              </w:rPr>
              <w:t xml:space="preserve">. </w:t>
            </w:r>
            <w:r w:rsidRPr="004C5915">
              <w:rPr>
                <w:rFonts w:ascii="Arial" w:hAnsi="Arial" w:cs="Arial"/>
                <w:sz w:val="22"/>
                <w:szCs w:val="22"/>
              </w:rPr>
              <w:t>Summative</w:t>
            </w:r>
            <w:r>
              <w:rPr>
                <w:rFonts w:ascii="Arial" w:hAnsi="Arial" w:cs="Arial"/>
                <w:sz w:val="22"/>
                <w:szCs w:val="22"/>
              </w:rPr>
              <w:t xml:space="preserve"> assessment and feedback through essays, and a 12-15,000 word dissertation.</w:t>
            </w:r>
          </w:p>
          <w:p w:rsidR="008E6A55" w:rsidRPr="00AB70AC"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pStyle w:val="ListParagraph"/>
              <w:numPr>
                <w:ilvl w:val="0"/>
                <w:numId w:val="11"/>
              </w:numPr>
              <w:spacing w:before="60" w:after="60"/>
              <w:rPr>
                <w:rFonts w:ascii="Arial" w:hAnsi="Arial" w:cs="Arial"/>
              </w:rPr>
            </w:pPr>
            <w:r>
              <w:rPr>
                <w:rFonts w:ascii="Arial" w:hAnsi="Arial" w:cs="Arial"/>
              </w:rPr>
              <w:t>ability to identify relevant ethical issues in relation to a particular research project, and reflect appropriate on how these might be addressed</w:t>
            </w:r>
            <w:r w:rsidR="00FA5D9B">
              <w:rPr>
                <w:rFonts w:ascii="Arial" w:hAnsi="Arial" w:cs="Arial"/>
              </w:rPr>
              <w:t xml:space="preserve"> (MA only)</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pStyle w:val="ListParagraph"/>
              <w:numPr>
                <w:ilvl w:val="0"/>
                <w:numId w:val="11"/>
              </w:numPr>
              <w:spacing w:before="60" w:after="60"/>
              <w:rPr>
                <w:rFonts w:ascii="Arial" w:hAnsi="Arial" w:cs="Arial"/>
              </w:rPr>
            </w:pPr>
            <w:r>
              <w:rPr>
                <w:rFonts w:ascii="Arial" w:hAnsi="Arial" w:cs="Arial"/>
              </w:rPr>
              <w:t>make effective use of electronic databases and other relevant resources to conduct effective literature searches</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pStyle w:val="ListParagraph"/>
              <w:numPr>
                <w:ilvl w:val="0"/>
                <w:numId w:val="11"/>
              </w:numPr>
              <w:spacing w:before="60" w:after="60"/>
              <w:rPr>
                <w:rFonts w:ascii="Arial" w:hAnsi="Arial" w:cs="Arial"/>
              </w:rPr>
            </w:pPr>
            <w:r>
              <w:rPr>
                <w:rFonts w:ascii="Arial" w:hAnsi="Arial" w:cs="Arial"/>
              </w:rPr>
              <w:t>reflect on the extent, and ways in which, the study of contemporary religion and the sacred is distinctive in relation to other forms of social and cultural research</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D. Transferable Skills:</w:t>
            </w:r>
          </w:p>
        </w:tc>
        <w:tc>
          <w:tcPr>
            <w:tcW w:w="4636" w:type="dxa"/>
            <w:shd w:val="pct5" w:color="auto" w:fill="FFFFFF"/>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2"/>
              </w:numPr>
              <w:spacing w:before="60" w:after="60"/>
              <w:rPr>
                <w:rFonts w:ascii="Arial" w:hAnsi="Arial" w:cs="Arial"/>
              </w:rPr>
            </w:pPr>
            <w:r>
              <w:rPr>
                <w:rFonts w:ascii="Arial" w:hAnsi="Arial" w:cs="Arial"/>
              </w:rPr>
              <w:t>ability to manage time and to produce work of a high standard to fixed deadlines</w:t>
            </w:r>
          </w:p>
        </w:tc>
        <w:tc>
          <w:tcPr>
            <w:tcW w:w="4636" w:type="dxa"/>
            <w:vMerge w:val="restart"/>
          </w:tcPr>
          <w:p w:rsidR="008E6A55" w:rsidRDefault="008E6A55" w:rsidP="00AB70AC">
            <w:pPr>
              <w:spacing w:before="60" w:after="60"/>
              <w:rPr>
                <w:rFonts w:ascii="Arial" w:hAnsi="Arial" w:cs="Arial"/>
              </w:rPr>
            </w:pPr>
            <w:r w:rsidRPr="004C5915">
              <w:rPr>
                <w:rFonts w:ascii="Arial" w:hAnsi="Arial" w:cs="Arial"/>
                <w:b/>
                <w:bCs/>
                <w:i/>
                <w:iCs/>
                <w:sz w:val="22"/>
                <w:szCs w:val="22"/>
              </w:rPr>
              <w:t>Teaching/Learning methods and strategies</w:t>
            </w:r>
            <w:r>
              <w:rPr>
                <w:rFonts w:ascii="Arial" w:hAnsi="Arial" w:cs="Arial"/>
                <w:sz w:val="22"/>
                <w:szCs w:val="22"/>
              </w:rPr>
              <w:t>:</w:t>
            </w:r>
          </w:p>
          <w:p w:rsidR="008E6A55" w:rsidRDefault="008E6A55" w:rsidP="008C00F8">
            <w:pPr>
              <w:spacing w:before="60" w:after="60"/>
              <w:rPr>
                <w:rFonts w:ascii="Arial" w:hAnsi="Arial" w:cs="Arial"/>
              </w:rPr>
            </w:pPr>
            <w:r>
              <w:rPr>
                <w:rFonts w:ascii="Arial" w:hAnsi="Arial" w:cs="Arial"/>
                <w:sz w:val="22"/>
                <w:szCs w:val="22"/>
              </w:rPr>
              <w:t>Transferable skills are embedded in all learning and teaching activities, including class interaction, written exercises, student preparation for class presentations and use of study packs.</w:t>
            </w:r>
          </w:p>
          <w:p w:rsidR="008E6A55" w:rsidRDefault="008E6A55" w:rsidP="008C00F8">
            <w:pPr>
              <w:spacing w:before="60" w:after="60"/>
              <w:rPr>
                <w:rFonts w:ascii="Arial" w:hAnsi="Arial" w:cs="Arial"/>
              </w:rPr>
            </w:pPr>
          </w:p>
          <w:p w:rsidR="008E6A55" w:rsidRPr="004C5915" w:rsidRDefault="008E6A55" w:rsidP="00D806FB">
            <w:pPr>
              <w:spacing w:before="60" w:after="60"/>
              <w:rPr>
                <w:rFonts w:ascii="Arial" w:hAnsi="Arial" w:cs="Arial"/>
                <w:b/>
                <w:bCs/>
                <w:i/>
                <w:iCs/>
              </w:rPr>
            </w:pPr>
            <w:r w:rsidRPr="004C5915">
              <w:rPr>
                <w:rFonts w:ascii="Arial" w:hAnsi="Arial" w:cs="Arial"/>
                <w:b/>
                <w:bCs/>
                <w:i/>
                <w:iCs/>
                <w:sz w:val="22"/>
                <w:szCs w:val="22"/>
              </w:rPr>
              <w:t>Assessment</w:t>
            </w:r>
          </w:p>
          <w:p w:rsidR="008E6A55" w:rsidRDefault="008E6A55" w:rsidP="00D806FB">
            <w:pPr>
              <w:spacing w:before="60" w:after="60"/>
              <w:rPr>
                <w:rFonts w:ascii="Arial" w:hAnsi="Arial" w:cs="Arial"/>
              </w:rPr>
            </w:pPr>
            <w:r>
              <w:rPr>
                <w:rFonts w:ascii="Arial" w:hAnsi="Arial" w:cs="Arial"/>
                <w:sz w:val="22"/>
                <w:szCs w:val="22"/>
              </w:rPr>
              <w:t>Formative feedback will be provided to students through discussion of class exercises</w:t>
            </w:r>
            <w:r>
              <w:rPr>
                <w:rFonts w:ascii="Arial" w:hAnsi="Arial" w:cs="Arial"/>
              </w:rPr>
              <w:t xml:space="preserve">. </w:t>
            </w:r>
            <w:r w:rsidRPr="004C5915">
              <w:rPr>
                <w:rFonts w:ascii="Arial" w:hAnsi="Arial" w:cs="Arial"/>
                <w:sz w:val="22"/>
                <w:szCs w:val="22"/>
              </w:rPr>
              <w:t>Summative</w:t>
            </w:r>
            <w:r>
              <w:rPr>
                <w:rFonts w:ascii="Arial" w:hAnsi="Arial" w:cs="Arial"/>
                <w:sz w:val="22"/>
                <w:szCs w:val="22"/>
              </w:rPr>
              <w:t xml:space="preserve"> assessment and feedback through essays, and a 12-15,000 word dissertation.</w:t>
            </w:r>
          </w:p>
          <w:p w:rsidR="008E6A55" w:rsidRDefault="008E6A55" w:rsidP="008C00F8">
            <w:pPr>
              <w:spacing w:before="60" w:after="60"/>
              <w:rPr>
                <w:rFonts w:ascii="Arial" w:hAnsi="Arial" w:cs="Arial"/>
              </w:rPr>
            </w:pPr>
          </w:p>
          <w:p w:rsidR="008E6A55" w:rsidRPr="00AB70AC"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2"/>
              </w:numPr>
              <w:spacing w:before="60" w:after="60"/>
              <w:rPr>
                <w:rFonts w:ascii="Arial" w:hAnsi="Arial" w:cs="Arial"/>
              </w:rPr>
            </w:pPr>
            <w:r>
              <w:rPr>
                <w:rFonts w:ascii="Arial" w:hAnsi="Arial" w:cs="Arial"/>
              </w:rPr>
              <w:t>ability to engage in independent study and research, supported by appropriate resources</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numPr>
                <w:ilvl w:val="0"/>
                <w:numId w:val="12"/>
              </w:numPr>
              <w:spacing w:before="60" w:after="60"/>
              <w:rPr>
                <w:rFonts w:ascii="Arial" w:hAnsi="Arial" w:cs="Arial"/>
              </w:rPr>
            </w:pPr>
            <w:r>
              <w:rPr>
                <w:rFonts w:ascii="Arial" w:hAnsi="Arial" w:cs="Arial"/>
              </w:rPr>
              <w:t>ability to articulate ideas and arguments clearly in writing and verbally</w:t>
            </w:r>
          </w:p>
        </w:tc>
        <w:tc>
          <w:tcPr>
            <w:tcW w:w="4636" w:type="dxa"/>
            <w:vMerge/>
          </w:tcPr>
          <w:p w:rsidR="008E6A55" w:rsidRPr="008C00F8" w:rsidRDefault="008E6A55" w:rsidP="008C00F8">
            <w:pPr>
              <w:spacing w:before="60" w:after="60"/>
              <w:rPr>
                <w:rFonts w:ascii="Arial" w:hAnsi="Arial" w:cs="Arial"/>
              </w:rPr>
            </w:pPr>
          </w:p>
        </w:tc>
      </w:tr>
      <w:tr w:rsidR="008E6A55" w:rsidRPr="008C00F8">
        <w:tc>
          <w:tcPr>
            <w:tcW w:w="4579" w:type="dxa"/>
          </w:tcPr>
          <w:p w:rsidR="008E6A55" w:rsidRPr="008C00F8" w:rsidRDefault="008E6A55" w:rsidP="008C00F8">
            <w:pPr>
              <w:spacing w:before="60" w:after="60"/>
              <w:rPr>
                <w:rFonts w:ascii="Arial" w:hAnsi="Arial" w:cs="Arial"/>
              </w:rPr>
            </w:pPr>
            <w:r w:rsidRPr="008C00F8">
              <w:rPr>
                <w:rFonts w:ascii="Arial" w:hAnsi="Arial" w:cs="Arial"/>
                <w:sz w:val="22"/>
                <w:szCs w:val="22"/>
              </w:rPr>
              <w:t>For more information on which modules provide which skills, see the module mapping</w:t>
            </w:r>
          </w:p>
        </w:tc>
        <w:tc>
          <w:tcPr>
            <w:tcW w:w="4636" w:type="dxa"/>
          </w:tcPr>
          <w:p w:rsidR="008E6A55" w:rsidRPr="008C00F8" w:rsidRDefault="008E6A55" w:rsidP="008C00F8">
            <w:pPr>
              <w:spacing w:before="60" w:after="60"/>
              <w:rPr>
                <w:rFonts w:ascii="Arial" w:hAnsi="Arial" w:cs="Arial"/>
              </w:rPr>
            </w:pPr>
            <w:r>
              <w:rPr>
                <w:rFonts w:ascii="Arial" w:hAnsi="Arial" w:cs="Arial"/>
              </w:rPr>
              <w:t>Module map attached as separate document</w:t>
            </w:r>
          </w:p>
        </w:tc>
      </w:tr>
    </w:tbl>
    <w:p w:rsidR="008E6A55" w:rsidRPr="008C00F8" w:rsidRDefault="008E6A55" w:rsidP="008C00F8">
      <w:pPr>
        <w:spacing w:before="60" w:after="60"/>
        <w:rPr>
          <w:rFonts w:ascii="Arial" w:hAnsi="Arial" w:cs="Arial"/>
          <w:sz w:val="22"/>
          <w:szCs w:val="22"/>
        </w:rPr>
      </w:pP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977"/>
        <w:gridCol w:w="1417"/>
        <w:gridCol w:w="1463"/>
        <w:gridCol w:w="2081"/>
      </w:tblGrid>
      <w:tr w:rsidR="008E6A55" w:rsidRPr="008C00F8">
        <w:trPr>
          <w:cantSplit/>
        </w:trPr>
        <w:tc>
          <w:tcPr>
            <w:tcW w:w="9215" w:type="dxa"/>
            <w:gridSpan w:val="5"/>
            <w:tcBorders>
              <w:bottom w:val="nil"/>
            </w:tcBorders>
            <w:shd w:val="pct5" w:color="auto" w:fill="FFFFFF"/>
          </w:tcPr>
          <w:p w:rsidR="008E6A55" w:rsidRPr="0079568C" w:rsidRDefault="008E6A55" w:rsidP="008C00F8">
            <w:pPr>
              <w:numPr>
                <w:ilvl w:val="0"/>
                <w:numId w:val="5"/>
              </w:numPr>
              <w:spacing w:before="60" w:after="60"/>
              <w:rPr>
                <w:rFonts w:ascii="Arial" w:hAnsi="Arial" w:cs="Arial"/>
              </w:rPr>
            </w:pPr>
            <w:r w:rsidRPr="008C00F8">
              <w:rPr>
                <w:rFonts w:ascii="Arial" w:hAnsi="Arial" w:cs="Arial"/>
                <w:b/>
                <w:bCs/>
                <w:sz w:val="22"/>
                <w:szCs w:val="22"/>
              </w:rPr>
              <w:t>Programme Structures and Requirements, Levels, Modules, Credits and Awards</w:t>
            </w:r>
          </w:p>
          <w:p w:rsidR="008E6A55" w:rsidRDefault="008E6A55" w:rsidP="0079568C">
            <w:pPr>
              <w:rPr>
                <w:rFonts w:ascii="Arial" w:hAnsi="Arial" w:cs="Arial"/>
              </w:rPr>
            </w:pPr>
          </w:p>
          <w:p w:rsidR="008E6A55" w:rsidRDefault="008E6A55" w:rsidP="0079568C">
            <w:pPr>
              <w:rPr>
                <w:rFonts w:ascii="Arial" w:hAnsi="Arial" w:cs="Arial"/>
              </w:rPr>
            </w:pPr>
            <w:r>
              <w:rPr>
                <w:rFonts w:ascii="Arial" w:hAnsi="Arial" w:cs="Arial"/>
                <w:sz w:val="22"/>
                <w:szCs w:val="22"/>
              </w:rPr>
              <w:t>The programme can be studied on a one year full-time or two year part-time basis. Students undertaking the MA programme will be required to take two 30-credit core modules, ‘Theory and the study of religion’ and ‘Methodological approaches to the study of religion’. In addition to this, students would need to take a further two optional 30-credit modules either from a range of modules on religion, culture and society offered within the School of European Culture and Languages or from other Schools in the University</w:t>
            </w:r>
            <w:r w:rsidR="00FA5D9B">
              <w:rPr>
                <w:rFonts w:ascii="Arial" w:hAnsi="Arial" w:cs="Arial"/>
                <w:sz w:val="22"/>
                <w:szCs w:val="22"/>
              </w:rPr>
              <w:t xml:space="preserve"> (at least 30 credits of which should be at Level M)</w:t>
            </w:r>
            <w:r>
              <w:rPr>
                <w:rFonts w:ascii="Arial" w:hAnsi="Arial" w:cs="Arial"/>
                <w:sz w:val="22"/>
                <w:szCs w:val="22"/>
              </w:rPr>
              <w:t>. A recommended list of optional modules available in each year will be publicised in advance of the September start of the programme, which will also contain other relevant modules on social and cultural theory, or social research, that would give greater depth and context to students’ particular interests but which may not directly address religion. Students may also ask to undertake optional modules not on the recommended list by consultation with the Programme Director.</w:t>
            </w:r>
          </w:p>
          <w:p w:rsidR="008E6A55" w:rsidRDefault="008E6A55" w:rsidP="0079568C">
            <w:pPr>
              <w:rPr>
                <w:rFonts w:ascii="Arial" w:hAnsi="Arial" w:cs="Arial"/>
              </w:rPr>
            </w:pPr>
          </w:p>
          <w:p w:rsidR="008E6A55" w:rsidRDefault="008E6A55" w:rsidP="0079568C">
            <w:pPr>
              <w:rPr>
                <w:rFonts w:ascii="Arial" w:hAnsi="Arial" w:cs="Arial"/>
              </w:rPr>
            </w:pPr>
            <w:r>
              <w:rPr>
                <w:rFonts w:ascii="Arial" w:hAnsi="Arial" w:cs="Arial"/>
                <w:sz w:val="22"/>
                <w:szCs w:val="22"/>
              </w:rPr>
              <w:t>To make the core theoretical and methodological training in the programme available to a wide range of people (including those undertaking the related award of the PG Cert in Theory and Method in the Study of Religion), the teaching of the two core modules will take place in the form of a block teaching week for each core module. For those undertaking the programme on a part-time basis, it would normally be recommended that students undertake these two core modules in their first year of registration and then their optional modules in their second-year, however this may be varied with the agreement of the Programme Director.</w:t>
            </w:r>
          </w:p>
          <w:p w:rsidR="008E6A55" w:rsidRDefault="008E6A55" w:rsidP="0079568C">
            <w:pPr>
              <w:rPr>
                <w:rFonts w:ascii="Arial" w:hAnsi="Arial" w:cs="Arial"/>
              </w:rPr>
            </w:pPr>
          </w:p>
          <w:p w:rsidR="008E6A55" w:rsidRDefault="008E6A55" w:rsidP="0079568C">
            <w:pPr>
              <w:rPr>
                <w:rFonts w:ascii="Arial" w:hAnsi="Arial" w:cs="Arial"/>
              </w:rPr>
            </w:pPr>
            <w:r>
              <w:rPr>
                <w:rFonts w:ascii="Arial" w:hAnsi="Arial" w:cs="Arial"/>
                <w:sz w:val="22"/>
                <w:szCs w:val="22"/>
              </w:rPr>
              <w:t>For students wishing to undertake a substantial literature review, or who are unable to attend weekly teaching sessions for their optional modules, a 30-credit Independent Study Module is available in which students would be given tutorial support to produce a critical review of literature relevant to their particular research interests.</w:t>
            </w:r>
          </w:p>
          <w:p w:rsidR="008E6A55" w:rsidRDefault="008E6A55" w:rsidP="0079568C">
            <w:pPr>
              <w:rPr>
                <w:rFonts w:ascii="Arial" w:hAnsi="Arial" w:cs="Arial"/>
              </w:rPr>
            </w:pPr>
          </w:p>
          <w:p w:rsidR="008E6A55" w:rsidRDefault="008E6A55" w:rsidP="0079568C">
            <w:pPr>
              <w:rPr>
                <w:rFonts w:ascii="Arial" w:hAnsi="Arial" w:cs="Arial"/>
              </w:rPr>
            </w:pPr>
            <w:r>
              <w:rPr>
                <w:rFonts w:ascii="Arial" w:hAnsi="Arial" w:cs="Arial"/>
                <w:sz w:val="22"/>
                <w:szCs w:val="22"/>
              </w:rPr>
              <w:t>In addition to the 120 credits of taught modules, students will also be required to undertake a 15,000 word dissertation involving either an extended theoretical discussion, a critical review of a body of literature, or a small-scale piece of original empirical research. For students planning to use the MA as a preparation for future doctoral level research, the dissertation can provide an opportunity for a pilot study for a larger scale project that might be developed at doctoral level.</w:t>
            </w:r>
          </w:p>
          <w:p w:rsidR="008E6A55" w:rsidRDefault="008E6A55" w:rsidP="0079568C">
            <w:pPr>
              <w:rPr>
                <w:rFonts w:ascii="Arial" w:hAnsi="Arial" w:cs="Arial"/>
              </w:rPr>
            </w:pPr>
          </w:p>
          <w:p w:rsidR="008E6A55" w:rsidRDefault="008E6A55" w:rsidP="0079568C">
            <w:pPr>
              <w:rPr>
                <w:rFonts w:ascii="Arial" w:hAnsi="Arial" w:cs="Arial"/>
              </w:rPr>
            </w:pPr>
            <w:r>
              <w:rPr>
                <w:rFonts w:ascii="Arial" w:hAnsi="Arial" w:cs="Arial"/>
                <w:sz w:val="22"/>
                <w:szCs w:val="22"/>
              </w:rPr>
              <w:t>Students who withdraw from the programme following successful completion of the two core modules will be eligible for the award of a PG Cert in Theory and Method in the Study of Religion, and students withdrawing following successful completion of 120 credits of taught modules will be eligible for a PG Dip in Theory and Method in the Study of Religion.</w:t>
            </w:r>
          </w:p>
          <w:p w:rsidR="008E6A55" w:rsidRDefault="008E6A55" w:rsidP="0079568C">
            <w:pPr>
              <w:rPr>
                <w:rFonts w:ascii="Arial" w:hAnsi="Arial" w:cs="Arial"/>
                <w:i/>
                <w:iCs/>
              </w:rPr>
            </w:pPr>
          </w:p>
          <w:p w:rsidR="008E6A55" w:rsidRPr="008C00F8" w:rsidRDefault="008E6A55" w:rsidP="0079568C">
            <w:pPr>
              <w:spacing w:before="60" w:after="60"/>
              <w:rPr>
                <w:rFonts w:ascii="Arial" w:hAnsi="Arial" w:cs="Arial"/>
              </w:rPr>
            </w:pPr>
            <w:r>
              <w:rPr>
                <w:rFonts w:ascii="Arial" w:hAnsi="Arial" w:cs="Arial"/>
                <w:i/>
                <w:iCs/>
                <w:sz w:val="22"/>
                <w:szCs w:val="22"/>
              </w:rPr>
              <w:t xml:space="preserve"> </w:t>
            </w:r>
          </w:p>
        </w:tc>
      </w:tr>
      <w:tr w:rsidR="008E6A55" w:rsidRPr="008C00F8">
        <w:tc>
          <w:tcPr>
            <w:tcW w:w="1277"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Code</w:t>
            </w:r>
          </w:p>
        </w:tc>
        <w:tc>
          <w:tcPr>
            <w:tcW w:w="2977"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Title</w:t>
            </w:r>
          </w:p>
        </w:tc>
        <w:tc>
          <w:tcPr>
            <w:tcW w:w="1417"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Level</w:t>
            </w:r>
          </w:p>
        </w:tc>
        <w:tc>
          <w:tcPr>
            <w:tcW w:w="1463"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Credits</w:t>
            </w:r>
          </w:p>
        </w:tc>
        <w:tc>
          <w:tcPr>
            <w:tcW w:w="2081"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Term(s)</w:t>
            </w:r>
          </w:p>
        </w:tc>
      </w:tr>
      <w:tr w:rsidR="008E6A55" w:rsidRPr="008C00F8">
        <w:trPr>
          <w:cantSplit/>
        </w:trPr>
        <w:tc>
          <w:tcPr>
            <w:tcW w:w="9215" w:type="dxa"/>
            <w:gridSpan w:val="5"/>
          </w:tcPr>
          <w:p w:rsidR="008E6A55" w:rsidRPr="008C00F8" w:rsidRDefault="008E6A55" w:rsidP="008C00F8">
            <w:pPr>
              <w:spacing w:before="60" w:after="60"/>
              <w:rPr>
                <w:rFonts w:ascii="Arial" w:hAnsi="Arial" w:cs="Arial"/>
              </w:rPr>
            </w:pPr>
          </w:p>
        </w:tc>
      </w:tr>
      <w:tr w:rsidR="008E6A55" w:rsidRPr="008C00F8">
        <w:trPr>
          <w:cantSplit/>
        </w:trPr>
        <w:tc>
          <w:tcPr>
            <w:tcW w:w="9215" w:type="dxa"/>
            <w:gridSpan w:val="5"/>
          </w:tcPr>
          <w:p w:rsidR="008E6A55" w:rsidRPr="008C00F8" w:rsidRDefault="008E6A55" w:rsidP="008C00F8">
            <w:pPr>
              <w:spacing w:before="60" w:after="60"/>
              <w:rPr>
                <w:rFonts w:ascii="Arial" w:hAnsi="Arial" w:cs="Arial"/>
              </w:rPr>
            </w:pPr>
            <w:r w:rsidRPr="008C00F8">
              <w:rPr>
                <w:rFonts w:ascii="Arial" w:hAnsi="Arial" w:cs="Arial"/>
                <w:b/>
                <w:bCs/>
                <w:i/>
                <w:iCs/>
                <w:sz w:val="22"/>
                <w:szCs w:val="22"/>
              </w:rPr>
              <w:t>Required Modules</w:t>
            </w:r>
          </w:p>
        </w:tc>
      </w:tr>
      <w:tr w:rsidR="008E6A55" w:rsidRPr="008C00F8">
        <w:tc>
          <w:tcPr>
            <w:tcW w:w="1277" w:type="dxa"/>
          </w:tcPr>
          <w:p w:rsidR="008E6A55" w:rsidRPr="008C00F8" w:rsidRDefault="008E6A55" w:rsidP="008C00F8">
            <w:pPr>
              <w:spacing w:before="60" w:after="60"/>
              <w:rPr>
                <w:rFonts w:ascii="Arial" w:hAnsi="Arial" w:cs="Arial"/>
              </w:rPr>
            </w:pPr>
            <w:proofErr w:type="spellStart"/>
            <w:r>
              <w:rPr>
                <w:rFonts w:ascii="Arial" w:hAnsi="Arial" w:cs="Arial"/>
                <w:sz w:val="22"/>
                <w:szCs w:val="22"/>
              </w:rPr>
              <w:t>tbc</w:t>
            </w:r>
            <w:proofErr w:type="spellEnd"/>
          </w:p>
        </w:tc>
        <w:tc>
          <w:tcPr>
            <w:tcW w:w="2977" w:type="dxa"/>
          </w:tcPr>
          <w:p w:rsidR="008E6A55" w:rsidRPr="008C00F8" w:rsidRDefault="008E6A55" w:rsidP="008C00F8">
            <w:pPr>
              <w:spacing w:before="60" w:after="60"/>
              <w:rPr>
                <w:rFonts w:ascii="Arial" w:hAnsi="Arial" w:cs="Arial"/>
              </w:rPr>
            </w:pPr>
            <w:r>
              <w:rPr>
                <w:rFonts w:ascii="Arial" w:hAnsi="Arial" w:cs="Arial"/>
              </w:rPr>
              <w:t>Theory and the Study of Religion</w:t>
            </w:r>
          </w:p>
        </w:tc>
        <w:tc>
          <w:tcPr>
            <w:tcW w:w="1417" w:type="dxa"/>
          </w:tcPr>
          <w:p w:rsidR="008E6A55" w:rsidRPr="008C00F8" w:rsidRDefault="008E6A55" w:rsidP="008C00F8">
            <w:pPr>
              <w:spacing w:before="60" w:after="60"/>
              <w:rPr>
                <w:rFonts w:ascii="Arial" w:hAnsi="Arial" w:cs="Arial"/>
              </w:rPr>
            </w:pPr>
            <w:r>
              <w:rPr>
                <w:rFonts w:ascii="Arial" w:hAnsi="Arial" w:cs="Arial"/>
              </w:rPr>
              <w:t>M</w:t>
            </w:r>
          </w:p>
        </w:tc>
        <w:tc>
          <w:tcPr>
            <w:tcW w:w="1463" w:type="dxa"/>
          </w:tcPr>
          <w:p w:rsidR="008E6A55" w:rsidRPr="008C00F8" w:rsidRDefault="008E6A55" w:rsidP="008C00F8">
            <w:pPr>
              <w:spacing w:before="60" w:after="60"/>
              <w:rPr>
                <w:rFonts w:ascii="Arial" w:hAnsi="Arial" w:cs="Arial"/>
              </w:rPr>
            </w:pPr>
            <w:r>
              <w:rPr>
                <w:rFonts w:ascii="Arial" w:hAnsi="Arial" w:cs="Arial"/>
              </w:rPr>
              <w:t>30</w:t>
            </w:r>
          </w:p>
        </w:tc>
        <w:tc>
          <w:tcPr>
            <w:tcW w:w="2081" w:type="dxa"/>
          </w:tcPr>
          <w:p w:rsidR="008E6A55" w:rsidRPr="008C00F8" w:rsidRDefault="008E6A55" w:rsidP="008C00F8">
            <w:pPr>
              <w:spacing w:before="60" w:after="60"/>
              <w:rPr>
                <w:rFonts w:ascii="Arial" w:hAnsi="Arial" w:cs="Arial"/>
              </w:rPr>
            </w:pPr>
            <w:r>
              <w:rPr>
                <w:rFonts w:ascii="Arial" w:hAnsi="Arial" w:cs="Arial"/>
              </w:rPr>
              <w:t>Autumn</w:t>
            </w:r>
          </w:p>
        </w:tc>
      </w:tr>
      <w:tr w:rsidR="008E6A55" w:rsidRPr="008C00F8">
        <w:tc>
          <w:tcPr>
            <w:tcW w:w="1277" w:type="dxa"/>
          </w:tcPr>
          <w:p w:rsidR="008E6A55" w:rsidRPr="008C00F8" w:rsidRDefault="008E6A55" w:rsidP="008C00F8">
            <w:pPr>
              <w:spacing w:before="60" w:after="60"/>
              <w:rPr>
                <w:rFonts w:ascii="Arial" w:hAnsi="Arial" w:cs="Arial"/>
              </w:rPr>
            </w:pPr>
            <w:proofErr w:type="spellStart"/>
            <w:r>
              <w:rPr>
                <w:rFonts w:ascii="Arial" w:hAnsi="Arial" w:cs="Arial"/>
                <w:sz w:val="22"/>
                <w:szCs w:val="22"/>
              </w:rPr>
              <w:t>tbc</w:t>
            </w:r>
            <w:proofErr w:type="spellEnd"/>
          </w:p>
        </w:tc>
        <w:tc>
          <w:tcPr>
            <w:tcW w:w="2977" w:type="dxa"/>
          </w:tcPr>
          <w:p w:rsidR="008E6A55" w:rsidRPr="008C00F8" w:rsidRDefault="008E6A55" w:rsidP="008C00F8">
            <w:pPr>
              <w:spacing w:before="60" w:after="60"/>
              <w:rPr>
                <w:rFonts w:ascii="Arial" w:hAnsi="Arial" w:cs="Arial"/>
              </w:rPr>
            </w:pPr>
            <w:r>
              <w:rPr>
                <w:rFonts w:ascii="Arial" w:hAnsi="Arial" w:cs="Arial"/>
              </w:rPr>
              <w:t xml:space="preserve">Methodological Approaches to the Study </w:t>
            </w:r>
            <w:r>
              <w:rPr>
                <w:rFonts w:ascii="Arial" w:hAnsi="Arial" w:cs="Arial"/>
              </w:rPr>
              <w:lastRenderedPageBreak/>
              <w:t>of Religion</w:t>
            </w:r>
          </w:p>
        </w:tc>
        <w:tc>
          <w:tcPr>
            <w:tcW w:w="1417" w:type="dxa"/>
          </w:tcPr>
          <w:p w:rsidR="008E6A55" w:rsidRPr="008C00F8" w:rsidRDefault="008E6A55" w:rsidP="008C00F8">
            <w:pPr>
              <w:spacing w:before="60" w:after="60"/>
              <w:rPr>
                <w:rFonts w:ascii="Arial" w:hAnsi="Arial" w:cs="Arial"/>
              </w:rPr>
            </w:pPr>
            <w:r>
              <w:rPr>
                <w:rFonts w:ascii="Arial" w:hAnsi="Arial" w:cs="Arial"/>
              </w:rPr>
              <w:lastRenderedPageBreak/>
              <w:t>M</w:t>
            </w:r>
          </w:p>
        </w:tc>
        <w:tc>
          <w:tcPr>
            <w:tcW w:w="1463" w:type="dxa"/>
          </w:tcPr>
          <w:p w:rsidR="008E6A55" w:rsidRPr="008C00F8" w:rsidRDefault="008E6A55" w:rsidP="008C00F8">
            <w:pPr>
              <w:spacing w:before="60" w:after="60"/>
              <w:rPr>
                <w:rFonts w:ascii="Arial" w:hAnsi="Arial" w:cs="Arial"/>
              </w:rPr>
            </w:pPr>
            <w:r>
              <w:rPr>
                <w:rFonts w:ascii="Arial" w:hAnsi="Arial" w:cs="Arial"/>
              </w:rPr>
              <w:t xml:space="preserve">30 </w:t>
            </w:r>
          </w:p>
        </w:tc>
        <w:tc>
          <w:tcPr>
            <w:tcW w:w="2081" w:type="dxa"/>
          </w:tcPr>
          <w:p w:rsidR="008E6A55" w:rsidRPr="008C00F8" w:rsidRDefault="008E6A55" w:rsidP="008C00F8">
            <w:pPr>
              <w:spacing w:before="60" w:after="60"/>
              <w:rPr>
                <w:rFonts w:ascii="Arial" w:hAnsi="Arial" w:cs="Arial"/>
              </w:rPr>
            </w:pPr>
            <w:r>
              <w:rPr>
                <w:rFonts w:ascii="Arial" w:hAnsi="Arial" w:cs="Arial"/>
              </w:rPr>
              <w:t>Spring</w:t>
            </w:r>
          </w:p>
        </w:tc>
      </w:tr>
      <w:tr w:rsidR="008E6A55" w:rsidRPr="008C00F8">
        <w:tc>
          <w:tcPr>
            <w:tcW w:w="1277" w:type="dxa"/>
          </w:tcPr>
          <w:p w:rsidR="008E6A55" w:rsidRDefault="008E6A55" w:rsidP="008C00F8">
            <w:pPr>
              <w:spacing w:before="60" w:after="60"/>
              <w:rPr>
                <w:rFonts w:ascii="Arial" w:hAnsi="Arial" w:cs="Arial"/>
              </w:rPr>
            </w:pPr>
            <w:proofErr w:type="spellStart"/>
            <w:r>
              <w:rPr>
                <w:rFonts w:ascii="Arial" w:hAnsi="Arial" w:cs="Arial"/>
                <w:sz w:val="22"/>
                <w:szCs w:val="22"/>
              </w:rPr>
              <w:lastRenderedPageBreak/>
              <w:t>tbc</w:t>
            </w:r>
            <w:proofErr w:type="spellEnd"/>
          </w:p>
        </w:tc>
        <w:tc>
          <w:tcPr>
            <w:tcW w:w="2977" w:type="dxa"/>
          </w:tcPr>
          <w:p w:rsidR="008E6A55" w:rsidRDefault="008E6A55" w:rsidP="008C00F8">
            <w:pPr>
              <w:spacing w:before="60" w:after="60"/>
              <w:rPr>
                <w:rFonts w:ascii="Arial" w:hAnsi="Arial" w:cs="Arial"/>
              </w:rPr>
            </w:pPr>
            <w:r>
              <w:rPr>
                <w:rFonts w:ascii="Arial" w:hAnsi="Arial" w:cs="Arial"/>
              </w:rPr>
              <w:t>Dissertation</w:t>
            </w:r>
          </w:p>
        </w:tc>
        <w:tc>
          <w:tcPr>
            <w:tcW w:w="1417" w:type="dxa"/>
          </w:tcPr>
          <w:p w:rsidR="008E6A55" w:rsidRDefault="008E6A55" w:rsidP="008C00F8">
            <w:pPr>
              <w:spacing w:before="60" w:after="60"/>
              <w:rPr>
                <w:rFonts w:ascii="Arial" w:hAnsi="Arial" w:cs="Arial"/>
              </w:rPr>
            </w:pPr>
            <w:r>
              <w:rPr>
                <w:rFonts w:ascii="Arial" w:hAnsi="Arial" w:cs="Arial"/>
              </w:rPr>
              <w:t>M</w:t>
            </w:r>
          </w:p>
        </w:tc>
        <w:tc>
          <w:tcPr>
            <w:tcW w:w="1463" w:type="dxa"/>
          </w:tcPr>
          <w:p w:rsidR="008E6A55" w:rsidRDefault="008E6A55" w:rsidP="008C00F8">
            <w:pPr>
              <w:spacing w:before="60" w:after="60"/>
              <w:rPr>
                <w:rFonts w:ascii="Arial" w:hAnsi="Arial" w:cs="Arial"/>
              </w:rPr>
            </w:pPr>
            <w:r>
              <w:rPr>
                <w:rFonts w:ascii="Arial" w:hAnsi="Arial" w:cs="Arial"/>
              </w:rPr>
              <w:t>60</w:t>
            </w:r>
          </w:p>
        </w:tc>
        <w:tc>
          <w:tcPr>
            <w:tcW w:w="2081" w:type="dxa"/>
          </w:tcPr>
          <w:p w:rsidR="008E6A55" w:rsidRDefault="008E6A55" w:rsidP="008C00F8">
            <w:pPr>
              <w:spacing w:before="60" w:after="60"/>
              <w:rPr>
                <w:rFonts w:ascii="Arial" w:hAnsi="Arial" w:cs="Arial"/>
              </w:rPr>
            </w:pPr>
            <w:r>
              <w:rPr>
                <w:rFonts w:ascii="Arial" w:hAnsi="Arial" w:cs="Arial"/>
              </w:rPr>
              <w:t>Spring/</w:t>
            </w:r>
          </w:p>
          <w:p w:rsidR="008E6A55" w:rsidRDefault="008E6A55" w:rsidP="008C00F8">
            <w:pPr>
              <w:spacing w:before="60" w:after="60"/>
              <w:rPr>
                <w:rFonts w:ascii="Arial" w:hAnsi="Arial" w:cs="Arial"/>
              </w:rPr>
            </w:pPr>
            <w:r>
              <w:rPr>
                <w:rFonts w:ascii="Arial" w:hAnsi="Arial" w:cs="Arial"/>
              </w:rPr>
              <w:t>Summer</w:t>
            </w:r>
          </w:p>
        </w:tc>
      </w:tr>
      <w:tr w:rsidR="008E6A55" w:rsidRPr="008C00F8">
        <w:trPr>
          <w:cantSplit/>
        </w:trPr>
        <w:tc>
          <w:tcPr>
            <w:tcW w:w="9215" w:type="dxa"/>
            <w:gridSpan w:val="5"/>
          </w:tcPr>
          <w:p w:rsidR="008E6A55" w:rsidRPr="008C00F8" w:rsidRDefault="008E6A55" w:rsidP="008C00F8">
            <w:pPr>
              <w:spacing w:before="60" w:after="60"/>
              <w:rPr>
                <w:rFonts w:ascii="Arial" w:hAnsi="Arial" w:cs="Arial"/>
                <w:b/>
                <w:bCs/>
                <w:i/>
                <w:iCs/>
              </w:rPr>
            </w:pPr>
            <w:r w:rsidRPr="008C00F8">
              <w:rPr>
                <w:rFonts w:ascii="Arial" w:hAnsi="Arial" w:cs="Arial"/>
                <w:b/>
                <w:bCs/>
                <w:i/>
                <w:iCs/>
                <w:sz w:val="22"/>
                <w:szCs w:val="22"/>
              </w:rPr>
              <w:t>Optional Modules</w:t>
            </w:r>
          </w:p>
        </w:tc>
      </w:tr>
      <w:tr w:rsidR="008E6A55" w:rsidRPr="008C00F8">
        <w:tc>
          <w:tcPr>
            <w:tcW w:w="1277" w:type="dxa"/>
          </w:tcPr>
          <w:p w:rsidR="008E6A55" w:rsidRPr="008C00F8" w:rsidRDefault="008E6A55" w:rsidP="008C00F8">
            <w:pPr>
              <w:spacing w:before="60" w:after="60"/>
              <w:rPr>
                <w:rFonts w:ascii="Arial" w:hAnsi="Arial" w:cs="Arial"/>
              </w:rPr>
            </w:pPr>
          </w:p>
        </w:tc>
        <w:tc>
          <w:tcPr>
            <w:tcW w:w="2977" w:type="dxa"/>
          </w:tcPr>
          <w:p w:rsidR="008E6A55" w:rsidRPr="008C00F8" w:rsidRDefault="008E6A55" w:rsidP="008C00F8">
            <w:pPr>
              <w:spacing w:before="60" w:after="60"/>
              <w:rPr>
                <w:rFonts w:ascii="Arial" w:hAnsi="Arial" w:cs="Arial"/>
              </w:rPr>
            </w:pPr>
            <w:r>
              <w:rPr>
                <w:rFonts w:ascii="Arial" w:hAnsi="Arial" w:cs="Arial"/>
              </w:rPr>
              <w:t>A list of relevant optional modules from Religious Studies, the School of European Culture and Languages, and other relevant Schools (e.g. SPSSR) will be publicised each year. In addition to these, the following optional module is being proposed along with this programme:</w:t>
            </w:r>
          </w:p>
        </w:tc>
        <w:tc>
          <w:tcPr>
            <w:tcW w:w="1417" w:type="dxa"/>
          </w:tcPr>
          <w:p w:rsidR="008E6A55" w:rsidRPr="008C00F8" w:rsidRDefault="008E6A55" w:rsidP="008C00F8">
            <w:pPr>
              <w:spacing w:before="60" w:after="60"/>
              <w:rPr>
                <w:rFonts w:ascii="Arial" w:hAnsi="Arial" w:cs="Arial"/>
              </w:rPr>
            </w:pPr>
          </w:p>
        </w:tc>
        <w:tc>
          <w:tcPr>
            <w:tcW w:w="1463" w:type="dxa"/>
          </w:tcPr>
          <w:p w:rsidR="008E6A55" w:rsidRPr="008C00F8" w:rsidRDefault="008E6A55" w:rsidP="008C00F8">
            <w:pPr>
              <w:spacing w:before="60" w:after="60"/>
              <w:rPr>
                <w:rFonts w:ascii="Arial" w:hAnsi="Arial" w:cs="Arial"/>
              </w:rPr>
            </w:pPr>
          </w:p>
        </w:tc>
        <w:tc>
          <w:tcPr>
            <w:tcW w:w="2081" w:type="dxa"/>
          </w:tcPr>
          <w:p w:rsidR="008E6A55" w:rsidRPr="008C00F8" w:rsidRDefault="008E6A55" w:rsidP="008C00F8">
            <w:pPr>
              <w:spacing w:before="60" w:after="60"/>
              <w:rPr>
                <w:rFonts w:ascii="Arial" w:hAnsi="Arial" w:cs="Arial"/>
              </w:rPr>
            </w:pPr>
          </w:p>
        </w:tc>
      </w:tr>
      <w:tr w:rsidR="008E6A55" w:rsidRPr="008C00F8">
        <w:tc>
          <w:tcPr>
            <w:tcW w:w="1277" w:type="dxa"/>
            <w:tcBorders>
              <w:bottom w:val="nil"/>
            </w:tcBorders>
          </w:tcPr>
          <w:p w:rsidR="008E6A55" w:rsidRPr="008C00F8" w:rsidRDefault="008E6A55" w:rsidP="008C00F8">
            <w:pPr>
              <w:spacing w:before="60" w:after="60"/>
              <w:rPr>
                <w:rFonts w:ascii="Arial" w:hAnsi="Arial" w:cs="Arial"/>
              </w:rPr>
            </w:pPr>
            <w:proofErr w:type="spellStart"/>
            <w:r>
              <w:rPr>
                <w:rFonts w:ascii="Arial" w:hAnsi="Arial" w:cs="Arial"/>
                <w:sz w:val="22"/>
                <w:szCs w:val="22"/>
              </w:rPr>
              <w:t>tbc</w:t>
            </w:r>
            <w:proofErr w:type="spellEnd"/>
          </w:p>
        </w:tc>
        <w:tc>
          <w:tcPr>
            <w:tcW w:w="2977" w:type="dxa"/>
            <w:tcBorders>
              <w:bottom w:val="nil"/>
            </w:tcBorders>
          </w:tcPr>
          <w:p w:rsidR="008E6A55" w:rsidRPr="008C00F8" w:rsidRDefault="008E6A55" w:rsidP="008C00F8">
            <w:pPr>
              <w:spacing w:before="60" w:after="60"/>
              <w:rPr>
                <w:rFonts w:ascii="Arial" w:hAnsi="Arial" w:cs="Arial"/>
              </w:rPr>
            </w:pPr>
            <w:r>
              <w:rPr>
                <w:rFonts w:ascii="Arial" w:hAnsi="Arial" w:cs="Arial"/>
              </w:rPr>
              <w:t>Independent Study Module: Critical Literature Review</w:t>
            </w:r>
          </w:p>
        </w:tc>
        <w:tc>
          <w:tcPr>
            <w:tcW w:w="1417" w:type="dxa"/>
            <w:tcBorders>
              <w:bottom w:val="nil"/>
            </w:tcBorders>
          </w:tcPr>
          <w:p w:rsidR="008E6A55" w:rsidRPr="008C00F8" w:rsidRDefault="008E6A55" w:rsidP="008C00F8">
            <w:pPr>
              <w:spacing w:before="60" w:after="60"/>
              <w:rPr>
                <w:rFonts w:ascii="Arial" w:hAnsi="Arial" w:cs="Arial"/>
              </w:rPr>
            </w:pPr>
            <w:r>
              <w:rPr>
                <w:rFonts w:ascii="Arial" w:hAnsi="Arial" w:cs="Arial"/>
              </w:rPr>
              <w:t>M</w:t>
            </w:r>
          </w:p>
        </w:tc>
        <w:tc>
          <w:tcPr>
            <w:tcW w:w="1463" w:type="dxa"/>
            <w:tcBorders>
              <w:bottom w:val="nil"/>
            </w:tcBorders>
          </w:tcPr>
          <w:p w:rsidR="008E6A55" w:rsidRPr="008C00F8" w:rsidRDefault="008E6A55" w:rsidP="008C00F8">
            <w:pPr>
              <w:spacing w:before="60" w:after="60"/>
              <w:rPr>
                <w:rFonts w:ascii="Arial" w:hAnsi="Arial" w:cs="Arial"/>
              </w:rPr>
            </w:pPr>
            <w:r>
              <w:rPr>
                <w:rFonts w:ascii="Arial" w:hAnsi="Arial" w:cs="Arial"/>
              </w:rPr>
              <w:t>30</w:t>
            </w:r>
          </w:p>
        </w:tc>
        <w:tc>
          <w:tcPr>
            <w:tcW w:w="2081" w:type="dxa"/>
            <w:tcBorders>
              <w:bottom w:val="nil"/>
            </w:tcBorders>
          </w:tcPr>
          <w:p w:rsidR="008E6A55" w:rsidRPr="008C00F8" w:rsidRDefault="008E6A55" w:rsidP="008C00F8">
            <w:pPr>
              <w:spacing w:before="60" w:after="60"/>
              <w:rPr>
                <w:rFonts w:ascii="Arial" w:hAnsi="Arial" w:cs="Arial"/>
              </w:rPr>
            </w:pPr>
            <w:r>
              <w:rPr>
                <w:rFonts w:ascii="Arial" w:hAnsi="Arial" w:cs="Arial"/>
              </w:rPr>
              <w:t>Autumn</w:t>
            </w:r>
            <w:r w:rsidR="00FA5D9B">
              <w:rPr>
                <w:rFonts w:ascii="Arial" w:hAnsi="Arial" w:cs="Arial"/>
              </w:rPr>
              <w:t xml:space="preserve"> (part-time students only)</w:t>
            </w:r>
            <w:r>
              <w:rPr>
                <w:rFonts w:ascii="Arial" w:hAnsi="Arial" w:cs="Arial"/>
              </w:rPr>
              <w:t xml:space="preserve"> or Spring</w:t>
            </w:r>
          </w:p>
        </w:tc>
      </w:tr>
    </w:tbl>
    <w:p w:rsidR="008E6A55" w:rsidRPr="008C00F8" w:rsidRDefault="008E6A55" w:rsidP="008C00F8">
      <w:pPr>
        <w:spacing w:before="60" w:after="60"/>
        <w:rPr>
          <w:rFonts w:ascii="Arial" w:hAnsi="Arial" w:cs="Arial"/>
          <w:sz w:val="22"/>
          <w:szCs w:val="22"/>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7"/>
      </w:tblGrid>
      <w:tr w:rsidR="008E6A55" w:rsidRPr="008C00F8">
        <w:tc>
          <w:tcPr>
            <w:tcW w:w="9357" w:type="dxa"/>
          </w:tcPr>
          <w:p w:rsidR="008E6A55" w:rsidRPr="005009DA" w:rsidRDefault="008E6A55" w:rsidP="005009DA">
            <w:pPr>
              <w:numPr>
                <w:ilvl w:val="0"/>
                <w:numId w:val="5"/>
              </w:numPr>
              <w:spacing w:before="60" w:after="60"/>
              <w:rPr>
                <w:rFonts w:ascii="Arial" w:hAnsi="Arial" w:cs="Arial"/>
                <w:b/>
                <w:bCs/>
              </w:rPr>
            </w:pPr>
            <w:r w:rsidRPr="005009DA">
              <w:rPr>
                <w:rFonts w:ascii="Arial" w:hAnsi="Arial" w:cs="Arial"/>
                <w:b/>
                <w:bCs/>
                <w:sz w:val="22"/>
                <w:szCs w:val="22"/>
              </w:rPr>
              <w:t>Work-Based Learning</w:t>
            </w:r>
          </w:p>
          <w:p w:rsidR="008E6A55" w:rsidRPr="005009DA" w:rsidRDefault="008E6A55" w:rsidP="005009DA">
            <w:pPr>
              <w:spacing w:before="60" w:after="60"/>
              <w:jc w:val="both"/>
              <w:rPr>
                <w:rFonts w:ascii="Arial" w:hAnsi="Arial" w:cs="Arial"/>
              </w:rPr>
            </w:pPr>
            <w:r w:rsidRPr="005009DA">
              <w:rPr>
                <w:rFonts w:ascii="Arial" w:hAnsi="Arial" w:cs="Arial"/>
                <w:sz w:val="22"/>
                <w:szCs w:val="22"/>
              </w:rPr>
              <w:t>Where relevant to the programme of study, provide details of any work-based learning element, inclusive of employer details, delivery, assessment and support for students.</w:t>
            </w:r>
          </w:p>
        </w:tc>
      </w:tr>
      <w:tr w:rsidR="008E6A55" w:rsidRPr="0065537D">
        <w:tc>
          <w:tcPr>
            <w:tcW w:w="9357" w:type="dxa"/>
          </w:tcPr>
          <w:p w:rsidR="008E6A55" w:rsidRDefault="008E6A55" w:rsidP="005009DA">
            <w:pPr>
              <w:spacing w:before="60" w:after="60"/>
              <w:ind w:left="720"/>
              <w:rPr>
                <w:rFonts w:ascii="Arial" w:hAnsi="Arial" w:cs="Arial"/>
                <w:i/>
                <w:iCs/>
              </w:rPr>
            </w:pPr>
          </w:p>
          <w:p w:rsidR="008E6A55" w:rsidRPr="009D2123" w:rsidRDefault="008E6A55" w:rsidP="009D2123">
            <w:pPr>
              <w:spacing w:before="60" w:after="60"/>
              <w:rPr>
                <w:rFonts w:ascii="Arial" w:hAnsi="Arial" w:cs="Arial"/>
              </w:rPr>
            </w:pPr>
            <w:r>
              <w:rPr>
                <w:rFonts w:ascii="Arial" w:hAnsi="Arial" w:cs="Arial"/>
                <w:sz w:val="22"/>
                <w:szCs w:val="22"/>
              </w:rPr>
              <w:t>N/A</w:t>
            </w:r>
          </w:p>
        </w:tc>
      </w:tr>
    </w:tbl>
    <w:p w:rsidR="008E6A55" w:rsidRPr="008C00F8" w:rsidRDefault="008E6A55" w:rsidP="008C00F8">
      <w:pPr>
        <w:spacing w:before="60" w:after="60"/>
        <w:rPr>
          <w:rFonts w:ascii="Arial" w:hAnsi="Arial" w:cs="Arial"/>
          <w:sz w:val="22"/>
          <w:szCs w:val="22"/>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E6A55" w:rsidRPr="008C00F8">
        <w:tc>
          <w:tcPr>
            <w:tcW w:w="9357" w:type="dxa"/>
            <w:shd w:val="pct5" w:color="auto" w:fill="FFFFFF"/>
          </w:tcPr>
          <w:p w:rsidR="008E6A55" w:rsidRPr="008C00F8" w:rsidRDefault="008E6A55" w:rsidP="008C00F8">
            <w:pPr>
              <w:numPr>
                <w:ilvl w:val="0"/>
                <w:numId w:val="5"/>
              </w:numPr>
              <w:spacing w:before="60" w:after="60"/>
              <w:rPr>
                <w:rFonts w:ascii="Arial" w:hAnsi="Arial" w:cs="Arial"/>
              </w:rPr>
            </w:pPr>
            <w:r w:rsidRPr="008C00F8">
              <w:rPr>
                <w:rFonts w:ascii="Arial" w:hAnsi="Arial" w:cs="Arial"/>
                <w:b/>
                <w:bCs/>
                <w:sz w:val="22"/>
                <w:szCs w:val="22"/>
              </w:rPr>
              <w:t>Support for Students and their Learning</w:t>
            </w:r>
          </w:p>
        </w:tc>
      </w:tr>
      <w:tr w:rsidR="008E6A55" w:rsidRPr="008C00F8">
        <w:tc>
          <w:tcPr>
            <w:tcW w:w="9357" w:type="dxa"/>
          </w:tcPr>
          <w:p w:rsidR="008E6A55" w:rsidRPr="008E5844" w:rsidRDefault="008E6A55" w:rsidP="008E5844">
            <w:pPr>
              <w:pStyle w:val="Heading9"/>
              <w:numPr>
                <w:ilvl w:val="0"/>
                <w:numId w:val="15"/>
              </w:numPr>
              <w:tabs>
                <w:tab w:val="left" w:pos="360"/>
              </w:tabs>
              <w:suppressAutoHyphens/>
              <w:snapToGrid w:val="0"/>
              <w:spacing w:before="0" w:after="0"/>
            </w:pPr>
            <w:r w:rsidRPr="008E5844">
              <w:t>The MA convenor, the Director of Graduate Studies for Religious Studies, and finally the Director of Graduate Studies for the School are available for consultation about academic or non-academic matters.</w:t>
            </w:r>
          </w:p>
          <w:p w:rsidR="008E6A55" w:rsidRPr="008E5844" w:rsidRDefault="008E6A55" w:rsidP="008E5844">
            <w:pPr>
              <w:pStyle w:val="Heading9"/>
              <w:numPr>
                <w:ilvl w:val="0"/>
                <w:numId w:val="15"/>
              </w:numPr>
              <w:tabs>
                <w:tab w:val="left" w:pos="360"/>
              </w:tabs>
              <w:suppressAutoHyphens/>
              <w:spacing w:before="0" w:after="0"/>
            </w:pPr>
            <w:r w:rsidRPr="008E5844">
              <w:t xml:space="preserve">All staff </w:t>
            </w:r>
            <w:proofErr w:type="gramStart"/>
            <w:r w:rsidRPr="008E5844">
              <w:t>have</w:t>
            </w:r>
            <w:proofErr w:type="gramEnd"/>
            <w:r w:rsidRPr="008E5844">
              <w:t xml:space="preserve"> regular published office hours and are contactable by e-mail.  Appointments may be made outside of office hours.</w:t>
            </w:r>
          </w:p>
          <w:p w:rsidR="008E6A55" w:rsidRPr="008E5844" w:rsidRDefault="008E6A55" w:rsidP="008E5844">
            <w:pPr>
              <w:pStyle w:val="Heading9"/>
              <w:numPr>
                <w:ilvl w:val="0"/>
                <w:numId w:val="15"/>
              </w:numPr>
              <w:tabs>
                <w:tab w:val="left" w:pos="360"/>
              </w:tabs>
              <w:suppressAutoHyphens/>
              <w:spacing w:before="0" w:after="0"/>
            </w:pPr>
            <w:r w:rsidRPr="008E5844">
              <w:t>All students are encouraged to seek advice from any member of staff to discuss any matters of academic or non-academic concern.</w:t>
            </w:r>
          </w:p>
          <w:p w:rsidR="008E6A55" w:rsidRPr="008E5844" w:rsidRDefault="008E6A55" w:rsidP="008E5844">
            <w:pPr>
              <w:rPr>
                <w:rFonts w:cs="Times New Roman"/>
              </w:rPr>
            </w:pPr>
          </w:p>
          <w:p w:rsidR="008E6A55" w:rsidRPr="008E5844" w:rsidRDefault="008E6A55" w:rsidP="008E5844">
            <w:pPr>
              <w:pStyle w:val="Heading9"/>
              <w:numPr>
                <w:ilvl w:val="8"/>
                <w:numId w:val="0"/>
              </w:numPr>
              <w:tabs>
                <w:tab w:val="left" w:pos="0"/>
              </w:tabs>
              <w:suppressAutoHyphens/>
              <w:spacing w:before="0" w:after="0"/>
            </w:pPr>
            <w:r w:rsidRPr="008E5844">
              <w:t xml:space="preserve">In addition to support with the department the following services are available within the University.  </w:t>
            </w:r>
          </w:p>
          <w:p w:rsidR="008E6A55" w:rsidRPr="008E5844" w:rsidRDefault="008E6A55" w:rsidP="008E5844">
            <w:pPr>
              <w:numPr>
                <w:ilvl w:val="0"/>
                <w:numId w:val="15"/>
              </w:numPr>
              <w:tabs>
                <w:tab w:val="left" w:pos="360"/>
              </w:tabs>
              <w:suppressAutoHyphens/>
              <w:rPr>
                <w:rFonts w:ascii="Arial" w:hAnsi="Arial" w:cs="Arial"/>
              </w:rPr>
            </w:pPr>
            <w:r w:rsidRPr="008E5844">
              <w:rPr>
                <w:rFonts w:ascii="Arial" w:hAnsi="Arial" w:cs="Arial"/>
                <w:sz w:val="22"/>
                <w:szCs w:val="22"/>
              </w:rPr>
              <w:t>University Medical Centre for health related issues</w:t>
            </w:r>
            <w:proofErr w:type="gramStart"/>
            <w:r w:rsidRPr="008E5844">
              <w:rPr>
                <w:rFonts w:ascii="Arial" w:hAnsi="Arial" w:cs="Arial"/>
                <w:sz w:val="22"/>
                <w:szCs w:val="22"/>
              </w:rPr>
              <w:t>..</w:t>
            </w:r>
            <w:proofErr w:type="gramEnd"/>
            <w:r w:rsidRPr="008E5844">
              <w:rPr>
                <w:rFonts w:ascii="Arial" w:hAnsi="Arial" w:cs="Arial"/>
                <w:sz w:val="22"/>
                <w:szCs w:val="22"/>
              </w:rPr>
              <w:t xml:space="preserve"> </w:t>
            </w:r>
          </w:p>
          <w:p w:rsidR="008E6A55" w:rsidRPr="008E5844" w:rsidRDefault="008E6A55" w:rsidP="008E5844">
            <w:pPr>
              <w:numPr>
                <w:ilvl w:val="0"/>
                <w:numId w:val="15"/>
              </w:numPr>
              <w:tabs>
                <w:tab w:val="left" w:pos="360"/>
              </w:tabs>
              <w:suppressAutoHyphens/>
              <w:rPr>
                <w:rFonts w:ascii="Arial" w:hAnsi="Arial" w:cs="Arial"/>
              </w:rPr>
            </w:pPr>
            <w:r w:rsidRPr="008E5844">
              <w:rPr>
                <w:rFonts w:ascii="Arial" w:hAnsi="Arial" w:cs="Arial"/>
                <w:sz w:val="22"/>
                <w:szCs w:val="22"/>
              </w:rPr>
              <w:t>Counselling Service</w:t>
            </w:r>
          </w:p>
          <w:p w:rsidR="008E6A55" w:rsidRPr="008E5844" w:rsidRDefault="008E6A55" w:rsidP="008E5844">
            <w:pPr>
              <w:pStyle w:val="BodyText"/>
              <w:numPr>
                <w:ilvl w:val="0"/>
                <w:numId w:val="15"/>
              </w:numPr>
              <w:tabs>
                <w:tab w:val="left" w:pos="360"/>
              </w:tabs>
              <w:rPr>
                <w:rFonts w:ascii="Arial" w:hAnsi="Arial" w:cs="Arial"/>
              </w:rPr>
            </w:pPr>
            <w:r w:rsidRPr="008E5844">
              <w:rPr>
                <w:rFonts w:ascii="Arial" w:hAnsi="Arial" w:cs="Arial"/>
              </w:rPr>
              <w:t>Careers Advisory Service</w:t>
            </w:r>
          </w:p>
          <w:p w:rsidR="008E6A55" w:rsidRPr="008E5844" w:rsidRDefault="008E6A55" w:rsidP="008E5844">
            <w:pPr>
              <w:numPr>
                <w:ilvl w:val="0"/>
                <w:numId w:val="15"/>
              </w:numPr>
              <w:tabs>
                <w:tab w:val="left" w:pos="360"/>
              </w:tabs>
              <w:suppressAutoHyphens/>
              <w:rPr>
                <w:rFonts w:ascii="Arial" w:hAnsi="Arial" w:cs="Arial"/>
              </w:rPr>
            </w:pPr>
            <w:r w:rsidRPr="008E5844">
              <w:rPr>
                <w:rFonts w:ascii="Arial" w:hAnsi="Arial" w:cs="Arial"/>
                <w:sz w:val="22"/>
                <w:szCs w:val="22"/>
              </w:rPr>
              <w:t>Disability Support Unit</w:t>
            </w:r>
          </w:p>
          <w:p w:rsidR="008E6A55" w:rsidRPr="008E5844" w:rsidRDefault="008E6A55" w:rsidP="008E5844">
            <w:pPr>
              <w:pStyle w:val="BodyText"/>
              <w:numPr>
                <w:ilvl w:val="0"/>
                <w:numId w:val="15"/>
              </w:numPr>
              <w:tabs>
                <w:tab w:val="left" w:pos="360"/>
              </w:tabs>
              <w:rPr>
                <w:rFonts w:ascii="Arial" w:hAnsi="Arial" w:cs="Arial"/>
              </w:rPr>
            </w:pPr>
            <w:r w:rsidRPr="008E5844">
              <w:rPr>
                <w:rFonts w:ascii="Arial" w:hAnsi="Arial" w:cs="Arial"/>
              </w:rPr>
              <w:t>The Student Learning Advisory Suppo</w:t>
            </w:r>
            <w:r>
              <w:rPr>
                <w:rFonts w:ascii="Arial" w:hAnsi="Arial" w:cs="Arial"/>
              </w:rPr>
              <w:t xml:space="preserve">rt Service on campus offers </w:t>
            </w:r>
            <w:r w:rsidRPr="008E5844">
              <w:rPr>
                <w:rFonts w:ascii="Arial" w:hAnsi="Arial" w:cs="Arial"/>
              </w:rPr>
              <w:t>advice on many learning activities: revision, essay writing, making presentations</w:t>
            </w:r>
            <w:r>
              <w:rPr>
                <w:rFonts w:ascii="Arial" w:hAnsi="Arial" w:cs="Arial"/>
              </w:rPr>
              <w:t>, effective learning in lecture</w:t>
            </w:r>
            <w:r w:rsidRPr="008E5844">
              <w:rPr>
                <w:rFonts w:ascii="Arial" w:hAnsi="Arial" w:cs="Arial"/>
              </w:rPr>
              <w:t>s and seminars, time management.</w:t>
            </w:r>
          </w:p>
          <w:p w:rsidR="008E6A55" w:rsidRPr="008E5844" w:rsidRDefault="008E6A55" w:rsidP="008E5844">
            <w:pPr>
              <w:numPr>
                <w:ilvl w:val="0"/>
                <w:numId w:val="15"/>
              </w:numPr>
              <w:tabs>
                <w:tab w:val="left" w:pos="360"/>
              </w:tabs>
              <w:suppressAutoHyphens/>
              <w:rPr>
                <w:rFonts w:ascii="Arial" w:hAnsi="Arial" w:cs="Arial"/>
              </w:rPr>
            </w:pPr>
            <w:r w:rsidRPr="008E5844">
              <w:rPr>
                <w:rFonts w:ascii="Arial" w:hAnsi="Arial" w:cs="Arial"/>
                <w:sz w:val="22"/>
                <w:szCs w:val="22"/>
              </w:rPr>
              <w:t>The Library runs induction courses in how to use its facilities</w:t>
            </w:r>
          </w:p>
          <w:p w:rsidR="008E6A55" w:rsidRPr="008E5844" w:rsidRDefault="008E6A55" w:rsidP="008E5844">
            <w:pPr>
              <w:numPr>
                <w:ilvl w:val="0"/>
                <w:numId w:val="15"/>
              </w:numPr>
              <w:tabs>
                <w:tab w:val="left" w:pos="360"/>
              </w:tabs>
              <w:suppressAutoHyphens/>
              <w:rPr>
                <w:rFonts w:ascii="Arial" w:hAnsi="Arial" w:cs="Arial"/>
              </w:rPr>
            </w:pPr>
            <w:r w:rsidRPr="008E5844">
              <w:rPr>
                <w:rFonts w:ascii="Arial" w:hAnsi="Arial" w:cs="Arial"/>
                <w:sz w:val="22"/>
                <w:szCs w:val="22"/>
              </w:rPr>
              <w:t>The Students’ Union particularly offers advice on welfare.</w:t>
            </w:r>
          </w:p>
          <w:p w:rsidR="008E6A55" w:rsidRPr="008C00F8" w:rsidRDefault="008E6A55" w:rsidP="008E5844">
            <w:pPr>
              <w:spacing w:before="60" w:after="60"/>
              <w:rPr>
                <w:rFonts w:ascii="Arial" w:hAnsi="Arial" w:cs="Arial"/>
              </w:rPr>
            </w:pPr>
          </w:p>
          <w:p w:rsidR="008E6A55" w:rsidRPr="008C00F8" w:rsidRDefault="008E6A55" w:rsidP="0079568C">
            <w:pPr>
              <w:spacing w:before="60" w:after="60"/>
              <w:rPr>
                <w:rFonts w:ascii="Arial" w:hAnsi="Arial" w:cs="Arial"/>
              </w:rPr>
            </w:pPr>
          </w:p>
        </w:tc>
      </w:tr>
    </w:tbl>
    <w:p w:rsidR="008E6A55" w:rsidRPr="008C00F8" w:rsidRDefault="008E6A55" w:rsidP="008C00F8">
      <w:pPr>
        <w:spacing w:before="60" w:after="60"/>
        <w:rPr>
          <w:rFonts w:ascii="Arial" w:hAnsi="Arial" w:cs="Arial"/>
          <w:sz w:val="22"/>
          <w:szCs w:val="22"/>
        </w:rPr>
      </w:pPr>
    </w:p>
    <w:tbl>
      <w:tblPr>
        <w:tblW w:w="9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926"/>
        <w:gridCol w:w="5431"/>
        <w:gridCol w:w="121"/>
      </w:tblGrid>
      <w:tr w:rsidR="008E6A55" w:rsidRPr="008C00F8">
        <w:trPr>
          <w:gridBefore w:val="1"/>
          <w:gridAfter w:val="1"/>
          <w:wBefore w:w="10" w:type="dxa"/>
          <w:wAfter w:w="121" w:type="dxa"/>
        </w:trPr>
        <w:tc>
          <w:tcPr>
            <w:tcW w:w="9357" w:type="dxa"/>
            <w:gridSpan w:val="2"/>
            <w:shd w:val="pct5" w:color="auto" w:fill="FFFFFF"/>
          </w:tcPr>
          <w:p w:rsidR="008E6A55" w:rsidRPr="00AA1713" w:rsidRDefault="008E6A55" w:rsidP="008C00F8">
            <w:pPr>
              <w:numPr>
                <w:ilvl w:val="0"/>
                <w:numId w:val="5"/>
              </w:numPr>
              <w:spacing w:before="60" w:after="60"/>
              <w:rPr>
                <w:rFonts w:ascii="Arial" w:hAnsi="Arial" w:cs="Arial"/>
              </w:rPr>
            </w:pPr>
            <w:r w:rsidRPr="008C00F8">
              <w:rPr>
                <w:rFonts w:ascii="Arial" w:hAnsi="Arial" w:cs="Arial"/>
                <w:b/>
                <w:bCs/>
                <w:sz w:val="22"/>
                <w:szCs w:val="22"/>
              </w:rPr>
              <w:t>Entry Profile</w:t>
            </w:r>
          </w:p>
          <w:p w:rsidR="008E6A55" w:rsidRPr="00AA1713" w:rsidRDefault="008E6A55" w:rsidP="00AA1713">
            <w:pPr>
              <w:spacing w:before="60" w:after="60"/>
              <w:rPr>
                <w:rFonts w:ascii="Arial" w:hAnsi="Arial" w:cs="Arial"/>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E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Borders>
              <w:left w:val="single" w:sz="4" w:space="0" w:color="000000"/>
              <w:right w:val="single" w:sz="4" w:space="0" w:color="000000"/>
            </w:tcBorders>
            <w:shd w:val="clear" w:color="auto" w:fill="F2F2F2"/>
          </w:tcPr>
          <w:p w:rsidR="008E6A55" w:rsidRPr="008E5844" w:rsidRDefault="008E6A55" w:rsidP="00114BED">
            <w:pPr>
              <w:spacing w:before="100" w:after="100"/>
              <w:ind w:left="360"/>
              <w:rPr>
                <w:rFonts w:ascii="Arial" w:hAnsi="Arial" w:cs="Arial"/>
                <w:color w:val="000000"/>
              </w:rPr>
            </w:pPr>
            <w:r w:rsidRPr="008E5844">
              <w:rPr>
                <w:rFonts w:ascii="Arial" w:hAnsi="Arial" w:cs="Arial"/>
                <w:color w:val="000000"/>
                <w:sz w:val="22"/>
                <w:szCs w:val="22"/>
              </w:rPr>
              <w:t>Candidates for admission to this programme of study will normally be expected to have an Honours degree in an appropriate subject and, for registration for the degree of Masters, will normally be expected to have been awarded such a degree with First Class or good Second Class honours. Holders of other qualifications will be considered individually</w:t>
            </w:r>
          </w:p>
          <w:p w:rsidR="008E6A55" w:rsidRPr="008E5844" w:rsidRDefault="008E6A55" w:rsidP="00114BED">
            <w:pPr>
              <w:rPr>
                <w:rFonts w:ascii="Arial" w:hAnsi="Arial" w:cs="Arial"/>
              </w:rPr>
            </w:pPr>
            <w:r w:rsidRPr="008E5844">
              <w:rPr>
                <w:rFonts w:ascii="Arial" w:hAnsi="Arial" w:cs="Arial"/>
                <w:sz w:val="22"/>
                <w:szCs w:val="22"/>
              </w:rPr>
              <w:t>For fuller information, please refer to the University prospectus.</w:t>
            </w:r>
          </w:p>
        </w:tc>
      </w:tr>
      <w:tr w:rsidR="008E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3936" w:type="dxa"/>
            <w:gridSpan w:val="2"/>
            <w:tcBorders>
              <w:left w:val="single" w:sz="4" w:space="0" w:color="000000"/>
            </w:tcBorders>
            <w:shd w:val="clear" w:color="auto" w:fill="F2F2F2"/>
          </w:tcPr>
          <w:p w:rsidR="008E6A55" w:rsidRPr="008E5844" w:rsidRDefault="008E6A55" w:rsidP="008E5844">
            <w:pPr>
              <w:numPr>
                <w:ilvl w:val="0"/>
                <w:numId w:val="17"/>
              </w:numPr>
              <w:tabs>
                <w:tab w:val="left" w:pos="360"/>
              </w:tabs>
              <w:suppressAutoHyphens/>
              <w:snapToGrid w:val="0"/>
              <w:rPr>
                <w:rFonts w:ascii="Arial" w:hAnsi="Arial" w:cs="Arial"/>
                <w:b/>
                <w:bCs/>
              </w:rPr>
            </w:pPr>
            <w:r w:rsidRPr="008E5844">
              <w:rPr>
                <w:rFonts w:ascii="Arial" w:hAnsi="Arial" w:cs="Arial"/>
                <w:b/>
                <w:bCs/>
                <w:sz w:val="22"/>
                <w:szCs w:val="22"/>
              </w:rPr>
              <w:t>Minimum requirements:</w:t>
            </w:r>
          </w:p>
        </w:tc>
        <w:tc>
          <w:tcPr>
            <w:tcW w:w="5552" w:type="dxa"/>
            <w:gridSpan w:val="2"/>
            <w:tcBorders>
              <w:right w:val="single" w:sz="4" w:space="0" w:color="000000"/>
            </w:tcBorders>
          </w:tcPr>
          <w:p w:rsidR="008E6A55" w:rsidRPr="008E5844" w:rsidRDefault="008E6A55" w:rsidP="008E5844">
            <w:pPr>
              <w:numPr>
                <w:ilvl w:val="0"/>
                <w:numId w:val="18"/>
              </w:numPr>
              <w:tabs>
                <w:tab w:val="left" w:pos="393"/>
              </w:tabs>
              <w:suppressAutoHyphens/>
              <w:snapToGrid w:val="0"/>
              <w:ind w:left="393"/>
              <w:rPr>
                <w:rFonts w:ascii="Arial" w:hAnsi="Arial" w:cs="Arial"/>
              </w:rPr>
            </w:pPr>
            <w:r w:rsidRPr="008E5844">
              <w:rPr>
                <w:rFonts w:ascii="Arial" w:hAnsi="Arial" w:cs="Arial"/>
                <w:sz w:val="22"/>
                <w:szCs w:val="22"/>
              </w:rPr>
              <w:t>An Honours degree (or equivalent) in a relevant subject and normally of at least 2:1 level.</w:t>
            </w:r>
          </w:p>
          <w:p w:rsidR="008E6A55" w:rsidRPr="008E5844" w:rsidRDefault="008E6A55" w:rsidP="00114BED">
            <w:pPr>
              <w:rPr>
                <w:rFonts w:ascii="Arial" w:hAnsi="Arial" w:cs="Arial"/>
              </w:rPr>
            </w:pPr>
          </w:p>
        </w:tc>
      </w:tr>
      <w:tr w:rsidR="008E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3936" w:type="dxa"/>
            <w:gridSpan w:val="2"/>
            <w:tcBorders>
              <w:left w:val="single" w:sz="4" w:space="0" w:color="000000"/>
            </w:tcBorders>
            <w:shd w:val="clear" w:color="auto" w:fill="F2F2F2"/>
          </w:tcPr>
          <w:p w:rsidR="008E6A55" w:rsidRPr="008E5844" w:rsidRDefault="008E6A55" w:rsidP="008E5844">
            <w:pPr>
              <w:numPr>
                <w:ilvl w:val="0"/>
                <w:numId w:val="17"/>
              </w:numPr>
              <w:tabs>
                <w:tab w:val="left" w:pos="360"/>
              </w:tabs>
              <w:suppressAutoHyphens/>
              <w:snapToGrid w:val="0"/>
              <w:rPr>
                <w:rFonts w:ascii="Arial" w:hAnsi="Arial" w:cs="Arial"/>
                <w:b/>
                <w:bCs/>
              </w:rPr>
            </w:pPr>
          </w:p>
        </w:tc>
        <w:tc>
          <w:tcPr>
            <w:tcW w:w="5552" w:type="dxa"/>
            <w:gridSpan w:val="2"/>
            <w:tcBorders>
              <w:right w:val="single" w:sz="4" w:space="0" w:color="000000"/>
            </w:tcBorders>
          </w:tcPr>
          <w:p w:rsidR="008E6A55" w:rsidRPr="008E5844" w:rsidRDefault="008E6A55" w:rsidP="008E5844">
            <w:pPr>
              <w:numPr>
                <w:ilvl w:val="0"/>
                <w:numId w:val="16"/>
              </w:numPr>
              <w:tabs>
                <w:tab w:val="left" w:pos="393"/>
                <w:tab w:val="left" w:pos="468"/>
              </w:tabs>
              <w:suppressAutoHyphens/>
              <w:snapToGrid w:val="0"/>
              <w:ind w:left="393"/>
              <w:rPr>
                <w:rFonts w:ascii="Arial" w:hAnsi="Arial" w:cs="Arial"/>
              </w:rPr>
            </w:pPr>
            <w:r w:rsidRPr="008E5844">
              <w:rPr>
                <w:rFonts w:ascii="Arial" w:hAnsi="Arial" w:cs="Arial"/>
                <w:sz w:val="22"/>
                <w:szCs w:val="22"/>
              </w:rPr>
              <w:t>See the following for English requirements:</w:t>
            </w:r>
          </w:p>
          <w:p w:rsidR="008E6A55" w:rsidRPr="008E5844" w:rsidRDefault="008E6A55" w:rsidP="00114BED">
            <w:pPr>
              <w:tabs>
                <w:tab w:val="left" w:pos="468"/>
              </w:tabs>
              <w:ind w:left="33"/>
              <w:rPr>
                <w:rFonts w:ascii="Arial" w:hAnsi="Arial" w:cs="Arial"/>
              </w:rPr>
            </w:pPr>
            <w:r w:rsidRPr="008E5844">
              <w:rPr>
                <w:rFonts w:ascii="Arial" w:hAnsi="Arial" w:cs="Arial"/>
                <w:sz w:val="22"/>
                <w:szCs w:val="22"/>
              </w:rPr>
              <w:t>http://www.kent.ac.uk/studying/postgrad/apply/entry.html</w:t>
            </w:r>
          </w:p>
        </w:tc>
      </w:tr>
      <w:tr w:rsidR="008E6A55" w:rsidRPr="008C00F8">
        <w:trPr>
          <w:gridBefore w:val="1"/>
          <w:gridAfter w:val="1"/>
          <w:wBefore w:w="10" w:type="dxa"/>
          <w:wAfter w:w="121" w:type="dxa"/>
        </w:trPr>
        <w:tc>
          <w:tcPr>
            <w:tcW w:w="9357" w:type="dxa"/>
            <w:gridSpan w:val="2"/>
            <w:shd w:val="pct5" w:color="auto" w:fill="FFFFFF"/>
          </w:tcPr>
          <w:p w:rsidR="008E6A55" w:rsidRPr="008C00F8" w:rsidRDefault="008E6A55" w:rsidP="008C00F8">
            <w:pPr>
              <w:spacing w:before="60" w:after="60"/>
              <w:rPr>
                <w:rFonts w:ascii="Arial" w:hAnsi="Arial" w:cs="Arial"/>
              </w:rPr>
            </w:pPr>
          </w:p>
        </w:tc>
      </w:tr>
    </w:tbl>
    <w:p w:rsidR="008E6A55" w:rsidRDefault="008E6A55">
      <w:pPr>
        <w:rPr>
          <w:rFonts w:cs="Times New Roman"/>
        </w:rPr>
      </w:pPr>
    </w:p>
    <w:p w:rsidR="008E6A55" w:rsidRDefault="008E6A55">
      <w:pPr>
        <w:rPr>
          <w:rFonts w:cs="Times New Roman"/>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E6A55" w:rsidRPr="008C00F8">
        <w:tc>
          <w:tcPr>
            <w:tcW w:w="9357"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What does this programme have to offer?</w:t>
            </w:r>
          </w:p>
        </w:tc>
      </w:tr>
      <w:tr w:rsidR="008E6A55" w:rsidRPr="004641FE">
        <w:tc>
          <w:tcPr>
            <w:tcW w:w="9357" w:type="dxa"/>
          </w:tcPr>
          <w:p w:rsidR="008E6A55" w:rsidRPr="004641FE" w:rsidRDefault="008E6A55" w:rsidP="008C00F8">
            <w:pPr>
              <w:numPr>
                <w:ilvl w:val="0"/>
                <w:numId w:val="6"/>
              </w:numPr>
              <w:spacing w:before="60" w:after="60"/>
              <w:rPr>
                <w:rFonts w:ascii="Arial" w:hAnsi="Arial" w:cs="Arial"/>
              </w:rPr>
            </w:pPr>
            <w:r>
              <w:rPr>
                <w:rFonts w:ascii="Arial" w:hAnsi="Arial" w:cs="Arial"/>
                <w:sz w:val="22"/>
                <w:szCs w:val="22"/>
              </w:rPr>
              <w:t>This programme is designed to provide a core theoretical and methodological training in the study of religion for students interested in developing future research in academic contexts or in other settings (e.g. applied or institutional research), and is one of very few programmes in the UK which gives students interested in religion with a strong grounding in both social theory and methodology.</w:t>
            </w:r>
          </w:p>
          <w:p w:rsidR="008E6A55" w:rsidRPr="004641FE" w:rsidRDefault="008E6A55" w:rsidP="008C00F8">
            <w:pPr>
              <w:numPr>
                <w:ilvl w:val="0"/>
                <w:numId w:val="6"/>
              </w:numPr>
              <w:spacing w:before="60" w:after="60"/>
              <w:rPr>
                <w:rFonts w:ascii="Arial" w:hAnsi="Arial" w:cs="Arial"/>
              </w:rPr>
            </w:pPr>
            <w:r>
              <w:rPr>
                <w:rFonts w:ascii="Arial" w:hAnsi="Arial" w:cs="Arial"/>
                <w:sz w:val="22"/>
                <w:szCs w:val="22"/>
              </w:rPr>
              <w:t>It builds on the experience of the programme team of managing national level methodology training in the study of religion, funded by both the Higher Education Academy and the AHRC, and who have also written extensively on theoretical and methodological issues in the study of religion.</w:t>
            </w:r>
          </w:p>
          <w:p w:rsidR="008E6A55" w:rsidRPr="009E780C" w:rsidRDefault="008E6A55" w:rsidP="008C00F8">
            <w:pPr>
              <w:numPr>
                <w:ilvl w:val="0"/>
                <w:numId w:val="6"/>
              </w:numPr>
              <w:spacing w:before="60" w:after="60"/>
              <w:rPr>
                <w:rFonts w:ascii="Arial" w:hAnsi="Arial" w:cs="Arial"/>
              </w:rPr>
            </w:pPr>
            <w:r>
              <w:rPr>
                <w:rFonts w:ascii="Arial" w:hAnsi="Arial" w:cs="Arial"/>
                <w:sz w:val="22"/>
                <w:szCs w:val="22"/>
              </w:rPr>
              <w:t>It will support students intending to undertake doctoral research by helping them work towards well-designed doctoral projects, and will offer workshops on how to write strong applications for doctoral studentship funding.</w:t>
            </w:r>
          </w:p>
          <w:p w:rsidR="008E6A55" w:rsidRPr="004641FE" w:rsidRDefault="008E6A55" w:rsidP="008C00F8">
            <w:pPr>
              <w:numPr>
                <w:ilvl w:val="0"/>
                <w:numId w:val="6"/>
              </w:numPr>
              <w:spacing w:before="60" w:after="60"/>
              <w:rPr>
                <w:rFonts w:ascii="Arial" w:hAnsi="Arial" w:cs="Arial"/>
              </w:rPr>
            </w:pPr>
            <w:r>
              <w:rPr>
                <w:rFonts w:ascii="Arial" w:hAnsi="Arial" w:cs="Arial"/>
                <w:sz w:val="22"/>
                <w:szCs w:val="22"/>
              </w:rPr>
              <w:t>Its teaching structure means that it can be taken both by people able to travel to Canterbury on a weekly basis during term, as well as those living further away for whom it is easier to attend intensive teaching blocks.</w:t>
            </w:r>
          </w:p>
          <w:p w:rsidR="008E6A55" w:rsidRPr="009E780C" w:rsidRDefault="008E6A55" w:rsidP="009E780C">
            <w:pPr>
              <w:numPr>
                <w:ilvl w:val="0"/>
                <w:numId w:val="6"/>
              </w:numPr>
              <w:spacing w:before="60" w:after="60"/>
              <w:rPr>
                <w:rFonts w:ascii="Arial" w:hAnsi="Arial" w:cs="Arial"/>
              </w:rPr>
            </w:pPr>
            <w:r>
              <w:rPr>
                <w:rFonts w:ascii="Arial" w:hAnsi="Arial" w:cs="Arial"/>
                <w:sz w:val="22"/>
                <w:szCs w:val="22"/>
              </w:rPr>
              <w:t>It provides an opportunity to select from a range of option modules that can either extend students’ knowledge of the study of contemporary religion, or to take modules in other subject areas that will broaden and deepen students’ knowledge of social theory, contemporary society or specialist areas of research methodology such as quantitative methods and ethnography.</w:t>
            </w:r>
          </w:p>
          <w:p w:rsidR="008E6A55" w:rsidRPr="004641FE" w:rsidRDefault="008E6A55" w:rsidP="009E780C">
            <w:pPr>
              <w:numPr>
                <w:ilvl w:val="0"/>
                <w:numId w:val="6"/>
              </w:numPr>
              <w:spacing w:before="60" w:after="60"/>
              <w:rPr>
                <w:rFonts w:ascii="Arial" w:hAnsi="Arial" w:cs="Arial"/>
              </w:rPr>
            </w:pPr>
            <w:r>
              <w:rPr>
                <w:rFonts w:ascii="Arial" w:hAnsi="Arial" w:cs="Arial"/>
                <w:sz w:val="22"/>
                <w:szCs w:val="22"/>
              </w:rPr>
              <w:t>It will give students interested in religion, but whose previous academic training has primarily been in the humanities, to develop their knowledge and confidence as social researchers.</w:t>
            </w:r>
          </w:p>
          <w:p w:rsidR="008E6A55" w:rsidRPr="004641FE" w:rsidRDefault="008E6A55" w:rsidP="004641FE">
            <w:pPr>
              <w:spacing w:before="60" w:after="60"/>
              <w:ind w:left="360"/>
              <w:rPr>
                <w:rFonts w:ascii="Arial" w:hAnsi="Arial" w:cs="Arial"/>
              </w:rPr>
            </w:pPr>
          </w:p>
        </w:tc>
      </w:tr>
      <w:tr w:rsidR="008E6A55" w:rsidRPr="008C00F8">
        <w:tc>
          <w:tcPr>
            <w:tcW w:w="9357" w:type="dxa"/>
            <w:shd w:val="pct5" w:color="auto" w:fill="FFFFFF"/>
          </w:tcPr>
          <w:p w:rsidR="008E6A55" w:rsidRPr="008C00F8" w:rsidRDefault="008E6A55" w:rsidP="008C00F8">
            <w:pPr>
              <w:spacing w:before="60" w:after="60"/>
              <w:rPr>
                <w:rFonts w:ascii="Arial" w:hAnsi="Arial" w:cs="Arial"/>
                <w:b/>
                <w:bCs/>
              </w:rPr>
            </w:pPr>
            <w:r w:rsidRPr="008C00F8">
              <w:rPr>
                <w:rFonts w:ascii="Arial" w:hAnsi="Arial" w:cs="Arial"/>
                <w:b/>
                <w:bCs/>
                <w:sz w:val="22"/>
                <w:szCs w:val="22"/>
              </w:rPr>
              <w:t>Personal Profile</w:t>
            </w:r>
          </w:p>
        </w:tc>
      </w:tr>
      <w:tr w:rsidR="008E6A55" w:rsidRPr="008C00F8">
        <w:tc>
          <w:tcPr>
            <w:tcW w:w="9357" w:type="dxa"/>
          </w:tcPr>
          <w:p w:rsidR="008E6A55" w:rsidRPr="009E780C" w:rsidRDefault="008E6A55" w:rsidP="009E780C">
            <w:pPr>
              <w:numPr>
                <w:ilvl w:val="0"/>
                <w:numId w:val="7"/>
              </w:numPr>
              <w:spacing w:before="60" w:after="60"/>
              <w:rPr>
                <w:rFonts w:ascii="Arial" w:hAnsi="Arial" w:cs="Arial"/>
                <w:b/>
                <w:bCs/>
              </w:rPr>
            </w:pPr>
            <w:proofErr w:type="gramStart"/>
            <w:r>
              <w:rPr>
                <w:rFonts w:ascii="Arial" w:hAnsi="Arial" w:cs="Arial"/>
                <w:sz w:val="22"/>
                <w:szCs w:val="22"/>
              </w:rPr>
              <w:lastRenderedPageBreak/>
              <w:t>interest</w:t>
            </w:r>
            <w:proofErr w:type="gramEnd"/>
            <w:r>
              <w:rPr>
                <w:rFonts w:ascii="Arial" w:hAnsi="Arial" w:cs="Arial"/>
                <w:sz w:val="22"/>
                <w:szCs w:val="22"/>
              </w:rPr>
              <w:t xml:space="preserve"> in the study of religion, from a range of previous disciplinary backgrounds.</w:t>
            </w:r>
          </w:p>
          <w:p w:rsidR="008E6A55" w:rsidRDefault="008E6A55" w:rsidP="009E780C">
            <w:pPr>
              <w:numPr>
                <w:ilvl w:val="0"/>
                <w:numId w:val="7"/>
              </w:numPr>
              <w:spacing w:before="60" w:after="60"/>
              <w:rPr>
                <w:rFonts w:ascii="Arial" w:hAnsi="Arial" w:cs="Arial"/>
                <w:b/>
                <w:bCs/>
              </w:rPr>
            </w:pPr>
            <w:r>
              <w:rPr>
                <w:rFonts w:ascii="Arial" w:hAnsi="Arial" w:cs="Arial"/>
                <w:sz w:val="22"/>
                <w:szCs w:val="22"/>
              </w:rPr>
              <w:t>commitment to developing as a researcher</w:t>
            </w:r>
          </w:p>
          <w:p w:rsidR="008E6A55" w:rsidRPr="009E780C" w:rsidRDefault="008E6A55" w:rsidP="009E780C">
            <w:pPr>
              <w:numPr>
                <w:ilvl w:val="0"/>
                <w:numId w:val="7"/>
              </w:numPr>
              <w:spacing w:before="60" w:after="60"/>
              <w:rPr>
                <w:rFonts w:ascii="Arial" w:hAnsi="Arial" w:cs="Arial"/>
              </w:rPr>
            </w:pPr>
            <w:proofErr w:type="gramStart"/>
            <w:r w:rsidRPr="009E780C">
              <w:rPr>
                <w:rFonts w:ascii="Arial" w:hAnsi="Arial" w:cs="Arial"/>
                <w:sz w:val="22"/>
                <w:szCs w:val="22"/>
              </w:rPr>
              <w:t>willingness</w:t>
            </w:r>
            <w:proofErr w:type="gramEnd"/>
            <w:r w:rsidRPr="009E780C">
              <w:rPr>
                <w:rFonts w:ascii="Arial" w:hAnsi="Arial" w:cs="Arial"/>
                <w:sz w:val="22"/>
                <w:szCs w:val="22"/>
              </w:rPr>
              <w:t xml:space="preserve"> to engage with theoretical debates</w:t>
            </w:r>
            <w:r>
              <w:rPr>
                <w:rFonts w:ascii="Arial" w:hAnsi="Arial" w:cs="Arial"/>
                <w:sz w:val="22"/>
                <w:szCs w:val="22"/>
              </w:rPr>
              <w:t>.</w:t>
            </w:r>
          </w:p>
          <w:p w:rsidR="008E6A55" w:rsidRPr="008C00F8" w:rsidRDefault="008E6A55" w:rsidP="009E780C">
            <w:pPr>
              <w:numPr>
                <w:ilvl w:val="0"/>
                <w:numId w:val="7"/>
              </w:numPr>
              <w:spacing w:before="60" w:after="60"/>
              <w:rPr>
                <w:rFonts w:ascii="Arial" w:hAnsi="Arial" w:cs="Arial"/>
                <w:b/>
                <w:bCs/>
              </w:rPr>
            </w:pPr>
            <w:proofErr w:type="gramStart"/>
            <w:r>
              <w:rPr>
                <w:rFonts w:ascii="Arial" w:hAnsi="Arial" w:cs="Arial"/>
                <w:sz w:val="22"/>
                <w:szCs w:val="22"/>
              </w:rPr>
              <w:t>interest</w:t>
            </w:r>
            <w:proofErr w:type="gramEnd"/>
            <w:r>
              <w:rPr>
                <w:rFonts w:ascii="Arial" w:hAnsi="Arial" w:cs="Arial"/>
                <w:sz w:val="22"/>
                <w:szCs w:val="22"/>
              </w:rPr>
              <w:t xml:space="preserve"> in undertaking empirical research.</w:t>
            </w:r>
          </w:p>
        </w:tc>
      </w:tr>
    </w:tbl>
    <w:p w:rsidR="008E6A55" w:rsidRPr="008C00F8" w:rsidRDefault="008E6A55" w:rsidP="008C00F8">
      <w:pPr>
        <w:spacing w:before="60" w:after="60"/>
        <w:rPr>
          <w:rFonts w:ascii="Arial" w:hAnsi="Arial" w:cs="Arial"/>
          <w:sz w:val="22"/>
          <w:szCs w:val="22"/>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E6A55" w:rsidRPr="008C00F8">
        <w:tc>
          <w:tcPr>
            <w:tcW w:w="9357" w:type="dxa"/>
            <w:shd w:val="pct5" w:color="auto" w:fill="FFFFFF"/>
          </w:tcPr>
          <w:p w:rsidR="008E6A55" w:rsidRPr="008C00F8" w:rsidRDefault="008E6A55" w:rsidP="008C00F8">
            <w:pPr>
              <w:numPr>
                <w:ilvl w:val="0"/>
                <w:numId w:val="5"/>
              </w:numPr>
              <w:spacing w:before="60" w:after="60"/>
              <w:rPr>
                <w:rFonts w:ascii="Arial" w:hAnsi="Arial" w:cs="Arial"/>
              </w:rPr>
            </w:pPr>
            <w:r w:rsidRPr="008C00F8">
              <w:rPr>
                <w:rFonts w:ascii="Arial" w:hAnsi="Arial" w:cs="Arial"/>
                <w:sz w:val="22"/>
                <w:szCs w:val="22"/>
              </w:rPr>
              <w:t xml:space="preserve"> </w:t>
            </w:r>
            <w:r w:rsidRPr="008C00F8">
              <w:rPr>
                <w:rFonts w:ascii="Arial" w:hAnsi="Arial" w:cs="Arial"/>
                <w:b/>
                <w:bCs/>
                <w:sz w:val="22"/>
                <w:szCs w:val="22"/>
              </w:rPr>
              <w:t>Methods for Evaluating and Enhancing the Quality and Standards of Teaching and Learning</w:t>
            </w:r>
          </w:p>
        </w:tc>
      </w:tr>
      <w:tr w:rsidR="008E6A55" w:rsidRPr="008C00F8">
        <w:tc>
          <w:tcPr>
            <w:tcW w:w="9357" w:type="dxa"/>
            <w:shd w:val="pct5" w:color="auto" w:fill="FFFFFF"/>
          </w:tcPr>
          <w:p w:rsidR="008E6A55" w:rsidRPr="008C00F8" w:rsidRDefault="008E6A55" w:rsidP="008C00F8">
            <w:pPr>
              <w:spacing w:before="60" w:after="60"/>
              <w:rPr>
                <w:rFonts w:ascii="Arial" w:hAnsi="Arial" w:cs="Arial"/>
              </w:rPr>
            </w:pPr>
            <w:r w:rsidRPr="008C00F8">
              <w:rPr>
                <w:rFonts w:ascii="Arial" w:hAnsi="Arial" w:cs="Arial"/>
                <w:b/>
                <w:bCs/>
                <w:sz w:val="22"/>
                <w:szCs w:val="22"/>
              </w:rPr>
              <w:t>Mechanisms for review and evaluation of teaching, learning, assessment, the curriculum and outcome standards</w:t>
            </w:r>
          </w:p>
        </w:tc>
      </w:tr>
      <w:tr w:rsidR="008E6A55" w:rsidRPr="008C00F8">
        <w:tc>
          <w:tcPr>
            <w:tcW w:w="9357" w:type="dxa"/>
            <w:shd w:val="pct5" w:color="auto" w:fill="FFFFFF"/>
          </w:tcPr>
          <w:p w:rsidR="008E6A55" w:rsidRPr="009E780C" w:rsidRDefault="008E6A55" w:rsidP="008E5844">
            <w:pPr>
              <w:numPr>
                <w:ilvl w:val="0"/>
                <w:numId w:val="20"/>
              </w:numPr>
              <w:tabs>
                <w:tab w:val="left" w:pos="360"/>
              </w:tabs>
              <w:suppressAutoHyphens/>
              <w:snapToGrid w:val="0"/>
              <w:rPr>
                <w:rFonts w:ascii="Arial" w:hAnsi="Arial" w:cs="Arial"/>
              </w:rPr>
            </w:pPr>
            <w:r w:rsidRPr="009E780C">
              <w:rPr>
                <w:rFonts w:ascii="Arial" w:hAnsi="Arial" w:cs="Arial"/>
                <w:sz w:val="22"/>
                <w:szCs w:val="22"/>
              </w:rPr>
              <w:t xml:space="preserve">Student evaluations (see Mechanisms for gaining student feedback, below) </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Annual Monitoring Report</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External Examiner’s Report</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Periodic Programme Review</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Annual Staff Appraisal</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Peer Observation of Teaching</w:t>
            </w:r>
          </w:p>
          <w:p w:rsidR="008E6A55" w:rsidRPr="009E780C" w:rsidRDefault="008E6A55" w:rsidP="008E5844">
            <w:pPr>
              <w:numPr>
                <w:ilvl w:val="0"/>
                <w:numId w:val="20"/>
              </w:numPr>
              <w:tabs>
                <w:tab w:val="left" w:pos="360"/>
              </w:tabs>
              <w:suppressAutoHyphens/>
              <w:autoSpaceDE w:val="0"/>
              <w:rPr>
                <w:rFonts w:ascii="Arial" w:hAnsi="Arial" w:cs="Arial"/>
              </w:rPr>
            </w:pPr>
            <w:r w:rsidRPr="009E780C">
              <w:rPr>
                <w:rFonts w:ascii="Arial" w:hAnsi="Arial" w:cs="Arial"/>
                <w:sz w:val="22"/>
                <w:szCs w:val="22"/>
              </w:rPr>
              <w:t>Mentoring of new and part-time lecturers</w:t>
            </w:r>
          </w:p>
        </w:tc>
      </w:tr>
      <w:tr w:rsidR="008E6A55" w:rsidRPr="008C00F8">
        <w:tc>
          <w:tcPr>
            <w:tcW w:w="9357" w:type="dxa"/>
          </w:tcPr>
          <w:p w:rsidR="008E6A55" w:rsidRPr="009E780C" w:rsidRDefault="008E6A55" w:rsidP="00114BED">
            <w:pPr>
              <w:snapToGrid w:val="0"/>
              <w:rPr>
                <w:rFonts w:ascii="Arial" w:hAnsi="Arial" w:cs="Arial"/>
                <w:b/>
                <w:bCs/>
              </w:rPr>
            </w:pPr>
            <w:r w:rsidRPr="009E780C">
              <w:rPr>
                <w:rFonts w:ascii="Arial" w:hAnsi="Arial" w:cs="Arial"/>
                <w:b/>
                <w:bCs/>
                <w:sz w:val="22"/>
                <w:szCs w:val="22"/>
              </w:rPr>
              <w:t>Committees with responsibility for monitoring and evaluating quality and standards</w:t>
            </w:r>
          </w:p>
        </w:tc>
      </w:tr>
      <w:tr w:rsidR="008E6A55" w:rsidRPr="008C00F8">
        <w:tc>
          <w:tcPr>
            <w:tcW w:w="9357" w:type="dxa"/>
            <w:shd w:val="pct5" w:color="auto" w:fill="FFFFFF"/>
          </w:tcPr>
          <w:p w:rsidR="008E6A55" w:rsidRPr="009E780C" w:rsidRDefault="008E6A55" w:rsidP="008E5844">
            <w:pPr>
              <w:numPr>
                <w:ilvl w:val="0"/>
                <w:numId w:val="20"/>
              </w:numPr>
              <w:tabs>
                <w:tab w:val="left" w:pos="360"/>
              </w:tabs>
              <w:suppressAutoHyphens/>
              <w:snapToGrid w:val="0"/>
              <w:rPr>
                <w:rFonts w:ascii="Arial" w:hAnsi="Arial" w:cs="Arial"/>
              </w:rPr>
            </w:pPr>
            <w:r w:rsidRPr="009E780C">
              <w:rPr>
                <w:rFonts w:ascii="Arial" w:hAnsi="Arial" w:cs="Arial"/>
                <w:sz w:val="22"/>
                <w:szCs w:val="22"/>
              </w:rPr>
              <w:t xml:space="preserve">Religious Studies Board of Studies </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Staff/Student Consultative Committee</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School of European Culture and Languages Learning and Teaching Committee</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Humanities Learning and Teaching Committee</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University Learning and Teaching Board</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Board of Examiners</w:t>
            </w:r>
          </w:p>
        </w:tc>
      </w:tr>
      <w:tr w:rsidR="008E6A55" w:rsidRPr="008C00F8">
        <w:tc>
          <w:tcPr>
            <w:tcW w:w="9357" w:type="dxa"/>
          </w:tcPr>
          <w:p w:rsidR="008E6A55" w:rsidRPr="009E780C" w:rsidRDefault="008E6A55" w:rsidP="00114BED">
            <w:pPr>
              <w:snapToGrid w:val="0"/>
              <w:rPr>
                <w:rFonts w:ascii="Arial" w:hAnsi="Arial" w:cs="Arial"/>
                <w:b/>
                <w:bCs/>
              </w:rPr>
            </w:pPr>
            <w:r w:rsidRPr="009E780C">
              <w:rPr>
                <w:rFonts w:ascii="Arial" w:hAnsi="Arial" w:cs="Arial"/>
                <w:b/>
                <w:bCs/>
                <w:sz w:val="22"/>
                <w:szCs w:val="22"/>
              </w:rPr>
              <w:t>Mechanisms for gaining student feedback on the quality of teaching and their learning experience</w:t>
            </w:r>
          </w:p>
        </w:tc>
      </w:tr>
      <w:tr w:rsidR="008E6A55" w:rsidRPr="008C00F8">
        <w:tc>
          <w:tcPr>
            <w:tcW w:w="9357" w:type="dxa"/>
            <w:shd w:val="pct5" w:color="auto" w:fill="FFFFFF"/>
          </w:tcPr>
          <w:p w:rsidR="008E6A55" w:rsidRPr="009E780C" w:rsidRDefault="008E6A55" w:rsidP="008E5844">
            <w:pPr>
              <w:pStyle w:val="Heading9"/>
              <w:numPr>
                <w:ilvl w:val="0"/>
                <w:numId w:val="19"/>
              </w:numPr>
              <w:tabs>
                <w:tab w:val="left" w:pos="360"/>
              </w:tabs>
              <w:suppressAutoHyphens/>
              <w:snapToGrid w:val="0"/>
              <w:rPr>
                <w:b/>
                <w:bCs/>
                <w:i/>
                <w:iCs/>
              </w:rPr>
            </w:pPr>
            <w:proofErr w:type="gramStart"/>
            <w:r w:rsidRPr="009E780C">
              <w:rPr>
                <w:i/>
                <w:iCs/>
              </w:rPr>
              <w:t>Student Feedback</w:t>
            </w:r>
            <w:r w:rsidRPr="009E780C">
              <w:rPr>
                <w:b/>
                <w:bCs/>
                <w:i/>
                <w:iCs/>
              </w:rPr>
              <w:t>.</w:t>
            </w:r>
            <w:proofErr w:type="gramEnd"/>
            <w:r w:rsidRPr="009E780C">
              <w:rPr>
                <w:b/>
                <w:bCs/>
                <w:i/>
                <w:iCs/>
              </w:rPr>
              <w:t xml:space="preserve"> </w:t>
            </w:r>
            <w:r w:rsidRPr="009E780C">
              <w:t>A number of discussions will be scheduled through the year to provide non-anonymous student feedback to the convenor of the MA who will feed this anonymously to the Board of Studies.</w:t>
            </w:r>
            <w:r w:rsidRPr="009E780C">
              <w:rPr>
                <w:b/>
                <w:bCs/>
                <w:i/>
                <w:iCs/>
              </w:rPr>
              <w:t xml:space="preserve"> </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Staff/Student Consultative Committee.  There will be one representative from a ‘Taught MA’ on the staff/student consultative committee who will also be invited to attend Board of Studies meetings and consult on a regular basis with other graduate students.</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Student representation for SECL and Faculty.  There may be an opportunity to represent postgraduate students from the School and from the Faculty.</w:t>
            </w:r>
          </w:p>
          <w:p w:rsidR="008E6A55" w:rsidRPr="009E780C" w:rsidRDefault="008E6A55" w:rsidP="00114BED">
            <w:pPr>
              <w:rPr>
                <w:rFonts w:ascii="Arial" w:hAnsi="Arial" w:cs="Arial"/>
                <w:b/>
                <w:bCs/>
              </w:rPr>
            </w:pPr>
          </w:p>
        </w:tc>
      </w:tr>
      <w:tr w:rsidR="008E6A55" w:rsidRPr="008C00F8">
        <w:tc>
          <w:tcPr>
            <w:tcW w:w="9357" w:type="dxa"/>
          </w:tcPr>
          <w:p w:rsidR="008E6A55" w:rsidRDefault="008E6A55" w:rsidP="00114BED">
            <w:pPr>
              <w:snapToGrid w:val="0"/>
              <w:rPr>
                <w:rFonts w:cs="Times New Roman"/>
                <w:b/>
                <w:bCs/>
              </w:rPr>
            </w:pPr>
            <w:r>
              <w:rPr>
                <w:b/>
                <w:bCs/>
                <w:sz w:val="22"/>
                <w:szCs w:val="22"/>
              </w:rPr>
              <w:t>Staff development priorities include:</w:t>
            </w:r>
          </w:p>
        </w:tc>
      </w:tr>
      <w:tr w:rsidR="008E6A55" w:rsidRPr="008C00F8">
        <w:tc>
          <w:tcPr>
            <w:tcW w:w="9357" w:type="dxa"/>
          </w:tcPr>
          <w:p w:rsidR="008E6A55" w:rsidRPr="009E780C" w:rsidRDefault="008E6A55" w:rsidP="008E5844">
            <w:pPr>
              <w:numPr>
                <w:ilvl w:val="0"/>
                <w:numId w:val="20"/>
              </w:numPr>
              <w:tabs>
                <w:tab w:val="left" w:pos="360"/>
              </w:tabs>
              <w:suppressAutoHyphens/>
              <w:snapToGrid w:val="0"/>
              <w:rPr>
                <w:rFonts w:ascii="Arial" w:hAnsi="Arial" w:cs="Arial"/>
              </w:rPr>
            </w:pPr>
            <w:r w:rsidRPr="009E780C">
              <w:rPr>
                <w:rFonts w:ascii="Arial" w:hAnsi="Arial" w:cs="Arial"/>
                <w:sz w:val="22"/>
                <w:szCs w:val="22"/>
              </w:rPr>
              <w:t>Research-led teaching</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All new members of staff are expected to have Ph.D. in Religious Studies or another relevant discipline</w:t>
            </w:r>
            <w:r w:rsidRPr="009E780C">
              <w:rPr>
                <w:rFonts w:ascii="Arial" w:hAnsi="Arial" w:cs="Arial"/>
                <w:i/>
                <w:iCs/>
                <w:sz w:val="22"/>
                <w:szCs w:val="22"/>
              </w:rPr>
              <w:t xml:space="preserve"> </w:t>
            </w:r>
            <w:r w:rsidRPr="009E780C">
              <w:rPr>
                <w:rFonts w:ascii="Arial" w:hAnsi="Arial" w:cs="Arial"/>
                <w:sz w:val="22"/>
                <w:szCs w:val="22"/>
              </w:rPr>
              <w:t xml:space="preserve">and a substantial list of publications </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All new members of staff are required to have/achieve a postgraduate certificate in higher education</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All staff are required to be appraised on a yearly basis</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All staff are required to attend staff development events related to teaching, research, and administration</w:t>
            </w:r>
          </w:p>
          <w:p w:rsidR="008E6A55" w:rsidRPr="009E780C" w:rsidRDefault="008E6A55" w:rsidP="008E5844">
            <w:pPr>
              <w:pStyle w:val="BodyText"/>
              <w:numPr>
                <w:ilvl w:val="0"/>
                <w:numId w:val="20"/>
              </w:numPr>
              <w:tabs>
                <w:tab w:val="left" w:pos="360"/>
              </w:tabs>
              <w:rPr>
                <w:rFonts w:ascii="Arial" w:hAnsi="Arial" w:cs="Arial"/>
              </w:rPr>
            </w:pPr>
            <w:r w:rsidRPr="009E780C">
              <w:rPr>
                <w:rFonts w:ascii="Arial" w:hAnsi="Arial" w:cs="Arial"/>
              </w:rPr>
              <w:t>Support for research including supporting attendance at conferences and providing appropriately covered leave to support staff on research projects (often resulting in publication), thus enhancing their body of knowledge in the field, their teaching and their career.</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lastRenderedPageBreak/>
              <w:t xml:space="preserve">Many staff are members of the </w:t>
            </w:r>
            <w:r w:rsidRPr="009E780C">
              <w:rPr>
                <w:rFonts w:ascii="Arial" w:hAnsi="Arial" w:cs="Arial"/>
                <w:i/>
                <w:iCs/>
                <w:sz w:val="22"/>
                <w:szCs w:val="22"/>
              </w:rPr>
              <w:t xml:space="preserve">Higher Education Academy </w:t>
            </w:r>
            <w:r w:rsidRPr="009E780C">
              <w:rPr>
                <w:rFonts w:ascii="Arial" w:hAnsi="Arial" w:cs="Arial"/>
                <w:sz w:val="22"/>
                <w:szCs w:val="22"/>
              </w:rPr>
              <w:t xml:space="preserve">(formerly the </w:t>
            </w:r>
            <w:r w:rsidRPr="009E780C">
              <w:rPr>
                <w:rFonts w:ascii="Arial" w:hAnsi="Arial" w:cs="Arial"/>
                <w:i/>
                <w:iCs/>
                <w:sz w:val="22"/>
                <w:szCs w:val="22"/>
              </w:rPr>
              <w:t>Institute for Learning and Teaching</w:t>
            </w:r>
            <w:r w:rsidRPr="009E780C">
              <w:rPr>
                <w:rFonts w:ascii="Arial" w:hAnsi="Arial" w:cs="Arial"/>
                <w:sz w:val="22"/>
                <w:szCs w:val="22"/>
              </w:rPr>
              <w:t>); many are members of other relevant professional bodies such as the BSA Sociology of Religion study group, the British Association for the Study of Religion, and the American Academy of Religion</w:t>
            </w:r>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 xml:space="preserve">All staff are required to attend Religious Studies and School </w:t>
            </w:r>
            <w:proofErr w:type="spellStart"/>
            <w:r w:rsidRPr="009E780C">
              <w:rPr>
                <w:rFonts w:ascii="Arial" w:hAnsi="Arial" w:cs="Arial"/>
                <w:sz w:val="22"/>
                <w:szCs w:val="22"/>
              </w:rPr>
              <w:t>awaydays</w:t>
            </w:r>
            <w:proofErr w:type="spellEnd"/>
          </w:p>
          <w:p w:rsidR="008E6A55" w:rsidRPr="009E780C" w:rsidRDefault="008E6A55" w:rsidP="008E5844">
            <w:pPr>
              <w:numPr>
                <w:ilvl w:val="0"/>
                <w:numId w:val="20"/>
              </w:numPr>
              <w:tabs>
                <w:tab w:val="left" w:pos="360"/>
              </w:tabs>
              <w:suppressAutoHyphens/>
              <w:rPr>
                <w:rFonts w:ascii="Arial" w:hAnsi="Arial" w:cs="Arial"/>
              </w:rPr>
            </w:pPr>
            <w:r w:rsidRPr="009E780C">
              <w:rPr>
                <w:rFonts w:ascii="Arial" w:hAnsi="Arial" w:cs="Arial"/>
                <w:sz w:val="22"/>
                <w:szCs w:val="22"/>
              </w:rPr>
              <w:t xml:space="preserve">There is a work in progress seminar that meets roughly every other week </w:t>
            </w:r>
          </w:p>
          <w:p w:rsidR="008E6A55" w:rsidRDefault="008E6A55" w:rsidP="008E5844">
            <w:pPr>
              <w:numPr>
                <w:ilvl w:val="0"/>
                <w:numId w:val="20"/>
              </w:numPr>
              <w:tabs>
                <w:tab w:val="left" w:pos="360"/>
              </w:tabs>
              <w:suppressAutoHyphens/>
              <w:rPr>
                <w:rFonts w:ascii="Californian FB" w:hAnsi="Californian FB" w:cs="Californian FB"/>
                <w:sz w:val="20"/>
                <w:szCs w:val="20"/>
              </w:rPr>
            </w:pPr>
            <w:r w:rsidRPr="009E780C">
              <w:rPr>
                <w:rFonts w:ascii="Arial" w:hAnsi="Arial" w:cs="Arial"/>
                <w:sz w:val="22"/>
                <w:szCs w:val="22"/>
              </w:rPr>
              <w:t xml:space="preserve">All staff </w:t>
            </w:r>
            <w:proofErr w:type="gramStart"/>
            <w:r w:rsidRPr="009E780C">
              <w:rPr>
                <w:rFonts w:ascii="Arial" w:hAnsi="Arial" w:cs="Arial"/>
                <w:sz w:val="22"/>
                <w:szCs w:val="22"/>
              </w:rPr>
              <w:t>are</w:t>
            </w:r>
            <w:proofErr w:type="gramEnd"/>
            <w:r w:rsidRPr="009E780C">
              <w:rPr>
                <w:rFonts w:ascii="Arial" w:hAnsi="Arial" w:cs="Arial"/>
                <w:sz w:val="22"/>
                <w:szCs w:val="22"/>
              </w:rPr>
              <w:t xml:space="preserve"> expected to attend/organise conferences, workshops, and other collaborative projects in Philosophy.</w:t>
            </w:r>
          </w:p>
        </w:tc>
      </w:tr>
      <w:tr w:rsidR="008E6A55" w:rsidRPr="008C00F8">
        <w:tc>
          <w:tcPr>
            <w:tcW w:w="9357" w:type="dxa"/>
          </w:tcPr>
          <w:p w:rsidR="008E6A55" w:rsidRDefault="008E6A55" w:rsidP="008E5844">
            <w:pPr>
              <w:numPr>
                <w:ilvl w:val="0"/>
                <w:numId w:val="20"/>
              </w:numPr>
              <w:tabs>
                <w:tab w:val="left" w:pos="360"/>
              </w:tabs>
              <w:suppressAutoHyphens/>
              <w:rPr>
                <w:rFonts w:ascii="Californian FB" w:hAnsi="Californian FB" w:cs="Californian FB"/>
                <w:sz w:val="20"/>
                <w:szCs w:val="20"/>
              </w:rPr>
            </w:pPr>
          </w:p>
        </w:tc>
      </w:tr>
    </w:tbl>
    <w:p w:rsidR="008E6A55" w:rsidRPr="008C00F8" w:rsidRDefault="008E6A55" w:rsidP="008C00F8">
      <w:pPr>
        <w:spacing w:before="60" w:after="60"/>
        <w:rPr>
          <w:rFonts w:ascii="Arial" w:hAnsi="Arial" w:cs="Arial"/>
          <w:sz w:val="22"/>
          <w:szCs w:val="22"/>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E6A55" w:rsidRPr="008C00F8">
        <w:tc>
          <w:tcPr>
            <w:tcW w:w="9357" w:type="dxa"/>
            <w:shd w:val="pct5" w:color="auto" w:fill="FFFFFF"/>
          </w:tcPr>
          <w:p w:rsidR="008E6A55" w:rsidRPr="008C00F8" w:rsidRDefault="008E6A55" w:rsidP="008C00F8">
            <w:pPr>
              <w:numPr>
                <w:ilvl w:val="0"/>
                <w:numId w:val="5"/>
              </w:numPr>
              <w:spacing w:before="60" w:after="60"/>
              <w:rPr>
                <w:rFonts w:ascii="Arial" w:hAnsi="Arial" w:cs="Arial"/>
              </w:rPr>
            </w:pPr>
            <w:r w:rsidRPr="008C00F8">
              <w:rPr>
                <w:rFonts w:ascii="Arial" w:hAnsi="Arial" w:cs="Arial"/>
                <w:sz w:val="22"/>
                <w:szCs w:val="22"/>
              </w:rPr>
              <w:t xml:space="preserve"> </w:t>
            </w:r>
            <w:r w:rsidRPr="008C00F8">
              <w:rPr>
                <w:rFonts w:ascii="Arial" w:hAnsi="Arial" w:cs="Arial"/>
                <w:b/>
                <w:bCs/>
                <w:sz w:val="22"/>
                <w:szCs w:val="22"/>
              </w:rPr>
              <w:t>Indicators of Quality and Standards</w:t>
            </w:r>
          </w:p>
        </w:tc>
      </w:tr>
      <w:tr w:rsidR="008E6A55" w:rsidRPr="008C00F8">
        <w:tc>
          <w:tcPr>
            <w:tcW w:w="9357" w:type="dxa"/>
          </w:tcPr>
          <w:p w:rsidR="008E6A55" w:rsidRPr="009E780C" w:rsidRDefault="008E6A55" w:rsidP="0079568C">
            <w:pPr>
              <w:numPr>
                <w:ilvl w:val="0"/>
                <w:numId w:val="8"/>
              </w:numPr>
              <w:spacing w:before="60" w:after="60"/>
              <w:rPr>
                <w:rFonts w:ascii="Arial" w:hAnsi="Arial" w:cs="Arial"/>
              </w:rPr>
            </w:pPr>
            <w:r w:rsidRPr="009E780C">
              <w:rPr>
                <w:rFonts w:ascii="Arial" w:hAnsi="Arial" w:cs="Arial"/>
                <w:sz w:val="22"/>
                <w:szCs w:val="22"/>
              </w:rPr>
              <w:t>The programme builds on the programme convenor’s experience and contacts in managing a recent AHRC Collaborative Research Training grant on advanced methods in the study of religion. This was the first such award at a national level for religious studies, and has involved the creation of an on-line teaching resource for methodology training in the study of religion, drawing on contributions from leading researchers in the UK, which will form part of the teaching materials for this programme. The programme convenor has also previously managed an HEA funded project on methodology training for postgraduate students in religious studies.</w:t>
            </w:r>
          </w:p>
          <w:p w:rsidR="008E6A55" w:rsidRPr="009E780C" w:rsidRDefault="008E6A55" w:rsidP="0079568C">
            <w:pPr>
              <w:numPr>
                <w:ilvl w:val="0"/>
                <w:numId w:val="8"/>
              </w:numPr>
              <w:spacing w:before="60" w:after="60"/>
              <w:rPr>
                <w:rFonts w:ascii="Arial" w:hAnsi="Arial" w:cs="Arial"/>
              </w:rPr>
            </w:pPr>
            <w:r w:rsidRPr="009E780C">
              <w:rPr>
                <w:rFonts w:ascii="Arial" w:hAnsi="Arial" w:cs="Arial"/>
                <w:sz w:val="22"/>
                <w:szCs w:val="22"/>
              </w:rPr>
              <w:t xml:space="preserve">All core staff in the Department </w:t>
            </w:r>
            <w:proofErr w:type="gramStart"/>
            <w:r w:rsidRPr="009E780C">
              <w:rPr>
                <w:rFonts w:ascii="Arial" w:hAnsi="Arial" w:cs="Arial"/>
                <w:sz w:val="22"/>
                <w:szCs w:val="22"/>
              </w:rPr>
              <w:t>have</w:t>
            </w:r>
            <w:proofErr w:type="gramEnd"/>
            <w:r w:rsidRPr="009E780C">
              <w:rPr>
                <w:rFonts w:ascii="Arial" w:hAnsi="Arial" w:cs="Arial"/>
                <w:sz w:val="22"/>
                <w:szCs w:val="22"/>
              </w:rPr>
              <w:t xml:space="preserve"> completed a PG Cert in Higher Education, or equivalent, and have experience of teaching theory and methods in the study of religion, as well as supervising research students at postgraduate level.</w:t>
            </w:r>
          </w:p>
          <w:p w:rsidR="008E6A55" w:rsidRPr="004641FE" w:rsidRDefault="008E6A55" w:rsidP="004641FE">
            <w:pPr>
              <w:spacing w:before="60" w:after="60"/>
              <w:ind w:left="360"/>
              <w:rPr>
                <w:rFonts w:ascii="Arial" w:hAnsi="Arial" w:cs="Arial"/>
              </w:rPr>
            </w:pPr>
          </w:p>
        </w:tc>
      </w:tr>
    </w:tbl>
    <w:p w:rsidR="008E6A55" w:rsidRPr="008C00F8" w:rsidRDefault="008E6A55" w:rsidP="008C00F8">
      <w:pPr>
        <w:spacing w:before="60" w:after="60"/>
        <w:rPr>
          <w:rFonts w:ascii="Arial" w:hAnsi="Arial" w:cs="Arial"/>
          <w:sz w:val="22"/>
          <w:szCs w:val="22"/>
        </w:rPr>
      </w:pP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E6A55" w:rsidRPr="008C00F8">
        <w:tc>
          <w:tcPr>
            <w:tcW w:w="9357" w:type="dxa"/>
            <w:shd w:val="pct5" w:color="auto" w:fill="FFFFFF"/>
          </w:tcPr>
          <w:p w:rsidR="008E6A55" w:rsidRPr="008C00F8" w:rsidRDefault="008E6A55" w:rsidP="008C00F8">
            <w:pPr>
              <w:spacing w:before="60" w:after="60"/>
              <w:rPr>
                <w:rFonts w:ascii="Arial" w:hAnsi="Arial" w:cs="Arial"/>
              </w:rPr>
            </w:pPr>
            <w:r w:rsidRPr="008C00F8">
              <w:rPr>
                <w:rFonts w:ascii="Arial" w:hAnsi="Arial" w:cs="Arial"/>
                <w:sz w:val="22"/>
                <w:szCs w:val="22"/>
              </w:rPr>
              <w:t>The following reference points were used in creating these specifications:</w:t>
            </w:r>
          </w:p>
        </w:tc>
      </w:tr>
      <w:tr w:rsidR="008E6A55" w:rsidRPr="008C00F8">
        <w:trPr>
          <w:trHeight w:val="2148"/>
        </w:trPr>
        <w:tc>
          <w:tcPr>
            <w:tcW w:w="9357" w:type="dxa"/>
          </w:tcPr>
          <w:p w:rsidR="008E6A55" w:rsidRPr="004641FE" w:rsidRDefault="008E6A55" w:rsidP="004641FE">
            <w:pPr>
              <w:rPr>
                <w:rFonts w:ascii="Arial" w:hAnsi="Arial" w:cs="Arial"/>
              </w:rPr>
            </w:pPr>
          </w:p>
          <w:p w:rsidR="008E6A55" w:rsidRPr="001C5A0F" w:rsidRDefault="008E6A55" w:rsidP="008E5844">
            <w:pPr>
              <w:numPr>
                <w:ilvl w:val="0"/>
                <w:numId w:val="9"/>
              </w:numPr>
              <w:tabs>
                <w:tab w:val="clear" w:pos="720"/>
                <w:tab w:val="num" w:pos="460"/>
              </w:tabs>
              <w:spacing w:before="60" w:after="60"/>
              <w:ind w:hanging="720"/>
              <w:rPr>
                <w:rFonts w:ascii="Arial" w:hAnsi="Arial" w:cs="Arial"/>
              </w:rPr>
            </w:pPr>
            <w:r w:rsidRPr="001C5A0F">
              <w:rPr>
                <w:rFonts w:ascii="Arial" w:hAnsi="Arial" w:cs="Arial"/>
                <w:iCs/>
                <w:sz w:val="22"/>
                <w:szCs w:val="22"/>
              </w:rPr>
              <w:t xml:space="preserve">QAA </w:t>
            </w:r>
            <w:r w:rsidR="001C5A0F" w:rsidRPr="001C5A0F">
              <w:rPr>
                <w:rFonts w:ascii="Arial" w:hAnsi="Arial" w:cs="Arial"/>
                <w:iCs/>
                <w:sz w:val="22"/>
                <w:szCs w:val="22"/>
              </w:rPr>
              <w:t xml:space="preserve">Honours </w:t>
            </w:r>
            <w:r w:rsidRPr="001C5A0F">
              <w:rPr>
                <w:rFonts w:ascii="Arial" w:hAnsi="Arial" w:cs="Arial"/>
                <w:iCs/>
                <w:sz w:val="22"/>
                <w:szCs w:val="22"/>
              </w:rPr>
              <w:t>benchmarking statement for Theology and Religious Studies</w:t>
            </w:r>
            <w:r w:rsidR="001C5A0F" w:rsidRPr="001C5A0F">
              <w:rPr>
                <w:rFonts w:ascii="Arial" w:hAnsi="Arial" w:cs="Arial"/>
                <w:iCs/>
                <w:sz w:val="22"/>
                <w:szCs w:val="22"/>
              </w:rPr>
              <w:t xml:space="preserve"> (2007), suitably amended for Masters level provision</w:t>
            </w:r>
          </w:p>
          <w:p w:rsidR="008E6A55" w:rsidRPr="001C5A0F" w:rsidRDefault="008E6A55" w:rsidP="008E5844">
            <w:pPr>
              <w:numPr>
                <w:ilvl w:val="0"/>
                <w:numId w:val="9"/>
              </w:numPr>
              <w:tabs>
                <w:tab w:val="clear" w:pos="720"/>
                <w:tab w:val="num" w:pos="460"/>
              </w:tabs>
              <w:spacing w:before="60" w:after="60"/>
              <w:ind w:hanging="720"/>
              <w:rPr>
                <w:rFonts w:ascii="Arial" w:hAnsi="Arial" w:cs="Arial"/>
              </w:rPr>
            </w:pPr>
            <w:r w:rsidRPr="001C5A0F">
              <w:rPr>
                <w:rFonts w:ascii="Arial" w:hAnsi="Arial" w:cs="Arial"/>
                <w:iCs/>
                <w:sz w:val="22"/>
                <w:szCs w:val="22"/>
              </w:rPr>
              <w:t>AHRC training requirements for doctoral students in Religious Studies (note this programme could be eligible in the future for Research Preparation Masters awards in a future Block Grant Partnership application)</w:t>
            </w:r>
          </w:p>
          <w:p w:rsidR="008E6A55" w:rsidRPr="001C5A0F" w:rsidRDefault="008E6A55" w:rsidP="008E5844">
            <w:pPr>
              <w:numPr>
                <w:ilvl w:val="0"/>
                <w:numId w:val="9"/>
              </w:numPr>
              <w:tabs>
                <w:tab w:val="clear" w:pos="720"/>
                <w:tab w:val="num" w:pos="460"/>
              </w:tabs>
              <w:spacing w:before="60" w:after="60"/>
              <w:ind w:hanging="720"/>
              <w:rPr>
                <w:rFonts w:ascii="Arial" w:hAnsi="Arial" w:cs="Arial"/>
              </w:rPr>
            </w:pPr>
            <w:r w:rsidRPr="001C5A0F">
              <w:rPr>
                <w:rFonts w:ascii="Arial" w:hAnsi="Arial" w:cs="Arial"/>
                <w:iCs/>
                <w:sz w:val="22"/>
                <w:szCs w:val="22"/>
              </w:rPr>
              <w:t>Staff experience i</w:t>
            </w:r>
            <w:r w:rsidR="001C5A0F">
              <w:rPr>
                <w:rFonts w:ascii="Arial" w:hAnsi="Arial" w:cs="Arial"/>
                <w:iCs/>
                <w:sz w:val="22"/>
                <w:szCs w:val="22"/>
              </w:rPr>
              <w:t>n designing national</w:t>
            </w:r>
            <w:r w:rsidRPr="001C5A0F">
              <w:rPr>
                <w:rFonts w:ascii="Arial" w:hAnsi="Arial" w:cs="Arial"/>
                <w:iCs/>
                <w:sz w:val="22"/>
                <w:szCs w:val="22"/>
              </w:rPr>
              <w:t xml:space="preserve"> training in research methodologies for PG students in Religious Studies</w:t>
            </w:r>
          </w:p>
          <w:p w:rsidR="008E6A55" w:rsidRPr="004641FE" w:rsidRDefault="008E6A55" w:rsidP="004641FE">
            <w:pPr>
              <w:spacing w:before="60" w:after="60"/>
              <w:ind w:left="720"/>
              <w:rPr>
                <w:rFonts w:ascii="Arial" w:hAnsi="Arial" w:cs="Arial"/>
              </w:rPr>
            </w:pPr>
          </w:p>
          <w:p w:rsidR="008E6A55" w:rsidRPr="008C00F8" w:rsidRDefault="008E6A55" w:rsidP="008C00F8">
            <w:pPr>
              <w:spacing w:before="60" w:after="60"/>
              <w:ind w:left="-360"/>
              <w:rPr>
                <w:rFonts w:ascii="Arial" w:hAnsi="Arial" w:cs="Arial"/>
              </w:rPr>
            </w:pPr>
          </w:p>
        </w:tc>
      </w:tr>
    </w:tbl>
    <w:p w:rsidR="008E6A55" w:rsidRPr="008C00F8" w:rsidRDefault="008E6A55" w:rsidP="008C00F8">
      <w:pPr>
        <w:spacing w:before="60" w:after="60"/>
        <w:rPr>
          <w:rFonts w:ascii="Arial" w:hAnsi="Arial" w:cs="Arial"/>
          <w:sz w:val="22"/>
          <w:szCs w:val="22"/>
        </w:rPr>
      </w:pPr>
      <w:bookmarkStart w:id="0" w:name="_GoBack"/>
      <w:bookmarkEnd w:id="0"/>
    </w:p>
    <w:sectPr w:rsidR="008E6A55" w:rsidRPr="008C00F8" w:rsidSect="008C00F8">
      <w:headerReference w:type="default" r:id="rId8"/>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55" w:rsidRDefault="008E6A55" w:rsidP="008C00F8">
      <w:pPr>
        <w:rPr>
          <w:rFonts w:cs="Times New Roman"/>
        </w:rPr>
      </w:pPr>
      <w:r>
        <w:rPr>
          <w:rFonts w:cs="Times New Roman"/>
        </w:rPr>
        <w:separator/>
      </w:r>
    </w:p>
  </w:endnote>
  <w:endnote w:type="continuationSeparator" w:id="0">
    <w:p w:rsidR="008E6A55" w:rsidRDefault="008E6A55" w:rsidP="008C00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antin">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55" w:rsidRDefault="008E6A55" w:rsidP="008C00F8">
      <w:pPr>
        <w:rPr>
          <w:rFonts w:cs="Times New Roman"/>
        </w:rPr>
      </w:pPr>
      <w:r>
        <w:rPr>
          <w:rFonts w:cs="Times New Roman"/>
        </w:rPr>
        <w:separator/>
      </w:r>
    </w:p>
  </w:footnote>
  <w:footnote w:type="continuationSeparator" w:id="0">
    <w:p w:rsidR="008E6A55" w:rsidRDefault="008E6A55" w:rsidP="008C00F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55" w:rsidRPr="008C00F8" w:rsidRDefault="008E6A55" w:rsidP="008C00F8">
    <w:pPr>
      <w:pStyle w:val="Heading1"/>
      <w:spacing w:before="60" w:after="60"/>
      <w:rPr>
        <w:rFonts w:ascii="Arial" w:hAnsi="Arial" w:cs="Arial"/>
      </w:rPr>
    </w:pPr>
    <w:r w:rsidRPr="008C00F8">
      <w:rPr>
        <w:rFonts w:ascii="Arial" w:hAnsi="Arial" w:cs="Arial"/>
      </w:rPr>
      <w:t>UNIVERSITY OF KENT</w:t>
    </w:r>
  </w:p>
  <w:p w:rsidR="008E6A55" w:rsidRDefault="008E6A5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4">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6">
    <w:nsid w:val="067C027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05710C7"/>
    <w:multiLevelType w:val="hybridMultilevel"/>
    <w:tmpl w:val="A84873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072211F"/>
    <w:multiLevelType w:val="singleLevel"/>
    <w:tmpl w:val="0809000F"/>
    <w:lvl w:ilvl="0">
      <w:start w:val="1"/>
      <w:numFmt w:val="decimal"/>
      <w:lvlText w:val="%1."/>
      <w:lvlJc w:val="left"/>
      <w:pPr>
        <w:tabs>
          <w:tab w:val="num" w:pos="360"/>
        </w:tabs>
        <w:ind w:left="360" w:hanging="360"/>
      </w:pPr>
    </w:lvl>
  </w:abstractNum>
  <w:abstractNum w:abstractNumId="9">
    <w:nsid w:val="1901687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nsid w:val="301D15C9"/>
    <w:multiLevelType w:val="hybridMultilevel"/>
    <w:tmpl w:val="480A3096"/>
    <w:lvl w:ilvl="0" w:tplc="21DC5E54">
      <w:start w:val="1"/>
      <w:numFmt w:val="bullet"/>
      <w:lvlText w:val=""/>
      <w:lvlJc w:val="left"/>
      <w:pPr>
        <w:tabs>
          <w:tab w:val="num" w:pos="720"/>
        </w:tabs>
        <w:ind w:left="720" w:hanging="360"/>
      </w:pPr>
      <w:rPr>
        <w:rFonts w:ascii="Symbol" w:eastAsia="SimSu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2953E29"/>
    <w:multiLevelType w:val="singleLevel"/>
    <w:tmpl w:val="BAD29B40"/>
    <w:lvl w:ilvl="0">
      <w:start w:val="12"/>
      <w:numFmt w:val="decimal"/>
      <w:lvlText w:val="%1."/>
      <w:lvlJc w:val="left"/>
      <w:pPr>
        <w:tabs>
          <w:tab w:val="num" w:pos="360"/>
        </w:tabs>
        <w:ind w:left="360" w:hanging="360"/>
      </w:pPr>
    </w:lvl>
  </w:abstractNum>
  <w:abstractNum w:abstractNumId="12">
    <w:nsid w:val="360804B0"/>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13">
    <w:nsid w:val="376A0B0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3E37161B"/>
    <w:multiLevelType w:val="singleLevel"/>
    <w:tmpl w:val="73C826AC"/>
    <w:lvl w:ilvl="0">
      <w:start w:val="13"/>
      <w:numFmt w:val="decimal"/>
      <w:lvlText w:val="%1."/>
      <w:lvlJc w:val="left"/>
      <w:pPr>
        <w:tabs>
          <w:tab w:val="num" w:pos="360"/>
        </w:tabs>
        <w:ind w:left="360" w:hanging="360"/>
      </w:pPr>
      <w:rPr>
        <w:b/>
        <w:bCs/>
      </w:rPr>
    </w:lvl>
  </w:abstractNum>
  <w:abstractNum w:abstractNumId="15">
    <w:nsid w:val="52EA209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53360DFE"/>
    <w:multiLevelType w:val="singleLevel"/>
    <w:tmpl w:val="0809000F"/>
    <w:lvl w:ilvl="0">
      <w:start w:val="1"/>
      <w:numFmt w:val="decimal"/>
      <w:lvlText w:val="%1."/>
      <w:lvlJc w:val="left"/>
      <w:pPr>
        <w:tabs>
          <w:tab w:val="num" w:pos="360"/>
        </w:tabs>
        <w:ind w:left="360" w:hanging="360"/>
      </w:pPr>
    </w:lvl>
  </w:abstractNum>
  <w:abstractNum w:abstractNumId="17">
    <w:nsid w:val="592357A7"/>
    <w:multiLevelType w:val="singleLevel"/>
    <w:tmpl w:val="EDAEC262"/>
    <w:lvl w:ilvl="0">
      <w:start w:val="1"/>
      <w:numFmt w:val="decimal"/>
      <w:lvlText w:val="%1."/>
      <w:lvlJc w:val="left"/>
      <w:pPr>
        <w:tabs>
          <w:tab w:val="num" w:pos="360"/>
        </w:tabs>
        <w:ind w:left="360" w:hanging="360"/>
      </w:pPr>
    </w:lvl>
  </w:abstractNum>
  <w:abstractNum w:abstractNumId="18">
    <w:nsid w:val="606A1CB4"/>
    <w:multiLevelType w:val="hybridMultilevel"/>
    <w:tmpl w:val="DC124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690C2E4F"/>
    <w:multiLevelType w:val="hybridMultilevel"/>
    <w:tmpl w:val="E5DE26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7986552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6"/>
  </w:num>
  <w:num w:numId="3">
    <w:abstractNumId w:val="11"/>
  </w:num>
  <w:num w:numId="4">
    <w:abstractNumId w:val="17"/>
  </w:num>
  <w:num w:numId="5">
    <w:abstractNumId w:val="14"/>
  </w:num>
  <w:num w:numId="6">
    <w:abstractNumId w:val="9"/>
  </w:num>
  <w:num w:numId="7">
    <w:abstractNumId w:val="20"/>
  </w:num>
  <w:num w:numId="8">
    <w:abstractNumId w:val="13"/>
  </w:num>
  <w:num w:numId="9">
    <w:abstractNumId w:val="12"/>
  </w:num>
  <w:num w:numId="10">
    <w:abstractNumId w:val="19"/>
  </w:num>
  <w:num w:numId="11">
    <w:abstractNumId w:val="18"/>
  </w:num>
  <w:num w:numId="12">
    <w:abstractNumId w:val="7"/>
  </w:num>
  <w:num w:numId="13">
    <w:abstractNumId w:val="6"/>
  </w:num>
  <w:num w:numId="14">
    <w:abstractNumId w:val="15"/>
  </w:num>
  <w:num w:numId="15">
    <w:abstractNumId w:val="5"/>
  </w:num>
  <w:num w:numId="16">
    <w:abstractNumId w:val="0"/>
  </w:num>
  <w:num w:numId="17">
    <w:abstractNumId w:val="1"/>
  </w:num>
  <w:num w:numId="18">
    <w:abstractNumId w:val="4"/>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71E10"/>
    <w:rsid w:val="000B6B4B"/>
    <w:rsid w:val="00114BED"/>
    <w:rsid w:val="001B79FF"/>
    <w:rsid w:val="001C5A0F"/>
    <w:rsid w:val="001C5DBB"/>
    <w:rsid w:val="00291E3F"/>
    <w:rsid w:val="002E15B2"/>
    <w:rsid w:val="003664EE"/>
    <w:rsid w:val="0037112C"/>
    <w:rsid w:val="00376382"/>
    <w:rsid w:val="00391201"/>
    <w:rsid w:val="003A733A"/>
    <w:rsid w:val="003D1B68"/>
    <w:rsid w:val="003D6F5E"/>
    <w:rsid w:val="004211C6"/>
    <w:rsid w:val="004641FE"/>
    <w:rsid w:val="004B0C01"/>
    <w:rsid w:val="004C5915"/>
    <w:rsid w:val="005009DA"/>
    <w:rsid w:val="00523881"/>
    <w:rsid w:val="005A45F9"/>
    <w:rsid w:val="0062106C"/>
    <w:rsid w:val="00644EF0"/>
    <w:rsid w:val="0065537D"/>
    <w:rsid w:val="007315E9"/>
    <w:rsid w:val="0073664C"/>
    <w:rsid w:val="007628D9"/>
    <w:rsid w:val="007772FC"/>
    <w:rsid w:val="0079568C"/>
    <w:rsid w:val="007A48FF"/>
    <w:rsid w:val="007D179D"/>
    <w:rsid w:val="007E15F5"/>
    <w:rsid w:val="007F51AE"/>
    <w:rsid w:val="008036F0"/>
    <w:rsid w:val="0083793E"/>
    <w:rsid w:val="008410C9"/>
    <w:rsid w:val="008C00F8"/>
    <w:rsid w:val="008E5844"/>
    <w:rsid w:val="008E6A55"/>
    <w:rsid w:val="009619D1"/>
    <w:rsid w:val="009A4B01"/>
    <w:rsid w:val="009A6D2B"/>
    <w:rsid w:val="009D2123"/>
    <w:rsid w:val="009D2EEC"/>
    <w:rsid w:val="009E780C"/>
    <w:rsid w:val="00AA1713"/>
    <w:rsid w:val="00AB70AC"/>
    <w:rsid w:val="00AC0249"/>
    <w:rsid w:val="00AF1111"/>
    <w:rsid w:val="00C25559"/>
    <w:rsid w:val="00C54F1B"/>
    <w:rsid w:val="00CD197B"/>
    <w:rsid w:val="00CD7BB9"/>
    <w:rsid w:val="00CF705B"/>
    <w:rsid w:val="00D806FB"/>
    <w:rsid w:val="00D81BCB"/>
    <w:rsid w:val="00DA488A"/>
    <w:rsid w:val="00DC78BD"/>
    <w:rsid w:val="00DE1FA2"/>
    <w:rsid w:val="00DE33C8"/>
    <w:rsid w:val="00E34CA7"/>
    <w:rsid w:val="00E70AEB"/>
    <w:rsid w:val="00E71DA8"/>
    <w:rsid w:val="00EC046E"/>
    <w:rsid w:val="00EF037E"/>
    <w:rsid w:val="00F107BD"/>
    <w:rsid w:val="00F152CD"/>
    <w:rsid w:val="00F328E0"/>
    <w:rsid w:val="00F44571"/>
    <w:rsid w:val="00F65F4B"/>
    <w:rsid w:val="00FA5D9B"/>
    <w:rsid w:val="00FC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cs="Plantin"/>
      <w:sz w:val="24"/>
      <w:szCs w:val="24"/>
      <w:lang w:val="en-GB"/>
    </w:rPr>
  </w:style>
  <w:style w:type="paragraph" w:styleId="Heading1">
    <w:name w:val="heading 1"/>
    <w:basedOn w:val="Normal"/>
    <w:next w:val="Normal"/>
    <w:link w:val="Heading1Char"/>
    <w:uiPriority w:val="99"/>
    <w:qFormat/>
    <w:rsid w:val="008C00F8"/>
    <w:pPr>
      <w:keepNext/>
      <w:jc w:val="center"/>
      <w:outlineLvl w:val="0"/>
    </w:pPr>
    <w:rPr>
      <w:b/>
      <w:bCs/>
    </w:rPr>
  </w:style>
  <w:style w:type="paragraph" w:styleId="Heading9">
    <w:name w:val="heading 9"/>
    <w:basedOn w:val="Normal"/>
    <w:next w:val="Normal"/>
    <w:link w:val="Heading9Char"/>
    <w:uiPriority w:val="99"/>
    <w:qFormat/>
    <w:locked/>
    <w:rsid w:val="008E58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0F8"/>
    <w:rPr>
      <w:rFonts w:ascii="Plantin" w:hAnsi="Plantin" w:cs="Plantin"/>
      <w:b/>
      <w:bCs/>
      <w:sz w:val="20"/>
      <w:szCs w:val="20"/>
      <w:lang w:eastAsia="en-US"/>
    </w:rPr>
  </w:style>
  <w:style w:type="character" w:customStyle="1" w:styleId="Heading9Char">
    <w:name w:val="Heading 9 Char"/>
    <w:basedOn w:val="DefaultParagraphFont"/>
    <w:link w:val="Heading9"/>
    <w:uiPriority w:val="99"/>
    <w:semiHidden/>
    <w:locked/>
    <w:rsid w:val="00EF037E"/>
    <w:rPr>
      <w:rFonts w:ascii="Cambria" w:hAnsi="Cambria" w:cs="Cambria"/>
      <w:lang w:val="en-GB"/>
    </w:rPr>
  </w:style>
  <w:style w:type="table" w:styleId="TableGrid">
    <w:name w:val="Table Grid"/>
    <w:basedOn w:val="TableNormal"/>
    <w:uiPriority w:val="99"/>
    <w:rsid w:val="008C00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C00F8"/>
    <w:pPr>
      <w:tabs>
        <w:tab w:val="center" w:pos="4513"/>
        <w:tab w:val="right" w:pos="9026"/>
      </w:tabs>
    </w:pPr>
  </w:style>
  <w:style w:type="character" w:customStyle="1" w:styleId="HeaderChar">
    <w:name w:val="Header Char"/>
    <w:basedOn w:val="DefaultParagraphFont"/>
    <w:link w:val="Header"/>
    <w:uiPriority w:val="99"/>
    <w:semiHidden/>
    <w:locked/>
    <w:rsid w:val="008C00F8"/>
    <w:rPr>
      <w:rFonts w:ascii="Plantin" w:hAnsi="Plantin" w:cs="Plantin"/>
      <w:sz w:val="20"/>
      <w:szCs w:val="20"/>
      <w:lang w:eastAsia="en-US"/>
    </w:rPr>
  </w:style>
  <w:style w:type="paragraph" w:styleId="Footer">
    <w:name w:val="footer"/>
    <w:basedOn w:val="Normal"/>
    <w:link w:val="FooterChar"/>
    <w:uiPriority w:val="99"/>
    <w:semiHidden/>
    <w:rsid w:val="008C00F8"/>
    <w:pPr>
      <w:tabs>
        <w:tab w:val="center" w:pos="4513"/>
        <w:tab w:val="right" w:pos="9026"/>
      </w:tabs>
    </w:pPr>
  </w:style>
  <w:style w:type="character" w:customStyle="1" w:styleId="FooterChar">
    <w:name w:val="Footer Char"/>
    <w:basedOn w:val="DefaultParagraphFont"/>
    <w:link w:val="Footer"/>
    <w:uiPriority w:val="99"/>
    <w:semiHidden/>
    <w:locked/>
    <w:rsid w:val="008C00F8"/>
    <w:rPr>
      <w:rFonts w:ascii="Plantin" w:hAnsi="Plantin" w:cs="Plantin"/>
      <w:sz w:val="20"/>
      <w:szCs w:val="20"/>
      <w:lang w:eastAsia="en-US"/>
    </w:rPr>
  </w:style>
  <w:style w:type="paragraph" w:styleId="ListParagraph">
    <w:name w:val="List Paragraph"/>
    <w:basedOn w:val="Normal"/>
    <w:uiPriority w:val="99"/>
    <w:qFormat/>
    <w:rsid w:val="008C00F8"/>
    <w:pPr>
      <w:ind w:left="720"/>
    </w:pPr>
  </w:style>
  <w:style w:type="paragraph" w:styleId="BodyText">
    <w:name w:val="Body Text"/>
    <w:basedOn w:val="Normal"/>
    <w:link w:val="BodyTextChar"/>
    <w:uiPriority w:val="99"/>
    <w:rsid w:val="008E5844"/>
    <w:pPr>
      <w:suppressAutoHyphens/>
    </w:pPr>
    <w:rPr>
      <w:rFonts w:ascii="Times New Roman" w:hAnsi="Times New Roman" w:cs="Times New Roman"/>
      <w:sz w:val="22"/>
      <w:szCs w:val="22"/>
      <w:lang w:eastAsia="ar-SA"/>
    </w:rPr>
  </w:style>
  <w:style w:type="character" w:customStyle="1" w:styleId="BodyTextChar">
    <w:name w:val="Body Text Char"/>
    <w:basedOn w:val="DefaultParagraphFont"/>
    <w:link w:val="BodyText"/>
    <w:uiPriority w:val="99"/>
    <w:semiHidden/>
    <w:locked/>
    <w:rsid w:val="00EF037E"/>
    <w:rPr>
      <w:rFonts w:ascii="Plantin" w:hAnsi="Plantin" w:cs="Planti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cs="Plantin"/>
      <w:sz w:val="24"/>
      <w:szCs w:val="24"/>
      <w:lang w:val="en-GB"/>
    </w:rPr>
  </w:style>
  <w:style w:type="paragraph" w:styleId="Heading1">
    <w:name w:val="heading 1"/>
    <w:basedOn w:val="Normal"/>
    <w:next w:val="Normal"/>
    <w:link w:val="Heading1Char"/>
    <w:uiPriority w:val="99"/>
    <w:qFormat/>
    <w:rsid w:val="008C00F8"/>
    <w:pPr>
      <w:keepNext/>
      <w:jc w:val="center"/>
      <w:outlineLvl w:val="0"/>
    </w:pPr>
    <w:rPr>
      <w:b/>
      <w:bCs/>
    </w:rPr>
  </w:style>
  <w:style w:type="paragraph" w:styleId="Heading9">
    <w:name w:val="heading 9"/>
    <w:basedOn w:val="Normal"/>
    <w:next w:val="Normal"/>
    <w:link w:val="Heading9Char"/>
    <w:uiPriority w:val="99"/>
    <w:qFormat/>
    <w:locked/>
    <w:rsid w:val="008E58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0F8"/>
    <w:rPr>
      <w:rFonts w:ascii="Plantin" w:hAnsi="Plantin" w:cs="Plantin"/>
      <w:b/>
      <w:bCs/>
      <w:sz w:val="20"/>
      <w:szCs w:val="20"/>
      <w:lang w:eastAsia="en-US"/>
    </w:rPr>
  </w:style>
  <w:style w:type="character" w:customStyle="1" w:styleId="Heading9Char">
    <w:name w:val="Heading 9 Char"/>
    <w:basedOn w:val="DefaultParagraphFont"/>
    <w:link w:val="Heading9"/>
    <w:uiPriority w:val="99"/>
    <w:semiHidden/>
    <w:locked/>
    <w:rsid w:val="00EF037E"/>
    <w:rPr>
      <w:rFonts w:ascii="Cambria" w:hAnsi="Cambria" w:cs="Cambria"/>
      <w:lang w:val="en-GB"/>
    </w:rPr>
  </w:style>
  <w:style w:type="table" w:styleId="TableGrid">
    <w:name w:val="Table Grid"/>
    <w:basedOn w:val="TableNormal"/>
    <w:uiPriority w:val="99"/>
    <w:rsid w:val="008C00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C00F8"/>
    <w:pPr>
      <w:tabs>
        <w:tab w:val="center" w:pos="4513"/>
        <w:tab w:val="right" w:pos="9026"/>
      </w:tabs>
    </w:pPr>
  </w:style>
  <w:style w:type="character" w:customStyle="1" w:styleId="HeaderChar">
    <w:name w:val="Header Char"/>
    <w:basedOn w:val="DefaultParagraphFont"/>
    <w:link w:val="Header"/>
    <w:uiPriority w:val="99"/>
    <w:semiHidden/>
    <w:locked/>
    <w:rsid w:val="008C00F8"/>
    <w:rPr>
      <w:rFonts w:ascii="Plantin" w:hAnsi="Plantin" w:cs="Plantin"/>
      <w:sz w:val="20"/>
      <w:szCs w:val="20"/>
      <w:lang w:eastAsia="en-US"/>
    </w:rPr>
  </w:style>
  <w:style w:type="paragraph" w:styleId="Footer">
    <w:name w:val="footer"/>
    <w:basedOn w:val="Normal"/>
    <w:link w:val="FooterChar"/>
    <w:uiPriority w:val="99"/>
    <w:semiHidden/>
    <w:rsid w:val="008C00F8"/>
    <w:pPr>
      <w:tabs>
        <w:tab w:val="center" w:pos="4513"/>
        <w:tab w:val="right" w:pos="9026"/>
      </w:tabs>
    </w:pPr>
  </w:style>
  <w:style w:type="character" w:customStyle="1" w:styleId="FooterChar">
    <w:name w:val="Footer Char"/>
    <w:basedOn w:val="DefaultParagraphFont"/>
    <w:link w:val="Footer"/>
    <w:uiPriority w:val="99"/>
    <w:semiHidden/>
    <w:locked/>
    <w:rsid w:val="008C00F8"/>
    <w:rPr>
      <w:rFonts w:ascii="Plantin" w:hAnsi="Plantin" w:cs="Plantin"/>
      <w:sz w:val="20"/>
      <w:szCs w:val="20"/>
      <w:lang w:eastAsia="en-US"/>
    </w:rPr>
  </w:style>
  <w:style w:type="paragraph" w:styleId="ListParagraph">
    <w:name w:val="List Paragraph"/>
    <w:basedOn w:val="Normal"/>
    <w:uiPriority w:val="99"/>
    <w:qFormat/>
    <w:rsid w:val="008C00F8"/>
    <w:pPr>
      <w:ind w:left="720"/>
    </w:pPr>
  </w:style>
  <w:style w:type="paragraph" w:styleId="BodyText">
    <w:name w:val="Body Text"/>
    <w:basedOn w:val="Normal"/>
    <w:link w:val="BodyTextChar"/>
    <w:uiPriority w:val="99"/>
    <w:rsid w:val="008E5844"/>
    <w:pPr>
      <w:suppressAutoHyphens/>
    </w:pPr>
    <w:rPr>
      <w:rFonts w:ascii="Times New Roman" w:hAnsi="Times New Roman" w:cs="Times New Roman"/>
      <w:sz w:val="22"/>
      <w:szCs w:val="22"/>
      <w:lang w:eastAsia="ar-SA"/>
    </w:rPr>
  </w:style>
  <w:style w:type="character" w:customStyle="1" w:styleId="BodyTextChar">
    <w:name w:val="Body Text Char"/>
    <w:basedOn w:val="DefaultParagraphFont"/>
    <w:link w:val="BodyText"/>
    <w:uiPriority w:val="99"/>
    <w:semiHidden/>
    <w:locked/>
    <w:rsid w:val="00EF037E"/>
    <w:rPr>
      <w:rFonts w:ascii="Plantin" w:hAnsi="Plantin" w:cs="Planti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Annex 1: Programme Specifications Template with Guidance Notes</vt:lpstr>
    </vt:vector>
  </TitlesOfParts>
  <Company>University of Kent</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Programme Specifications Template with Guidance Notes</dc:title>
  <dc:creator>kb203</dc:creator>
  <cp:lastModifiedBy>Gordon</cp:lastModifiedBy>
  <cp:revision>2</cp:revision>
  <cp:lastPrinted>2011-02-04T11:50:00Z</cp:lastPrinted>
  <dcterms:created xsi:type="dcterms:W3CDTF">2011-04-21T13:40:00Z</dcterms:created>
  <dcterms:modified xsi:type="dcterms:W3CDTF">2011-04-21T13:40:00Z</dcterms:modified>
</cp:coreProperties>
</file>