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03CCA57F" w:rsidR="0083074C" w:rsidRPr="00EB30C2" w:rsidRDefault="004C2AD8" w:rsidP="00721A4C">
      <w:pPr>
        <w:spacing w:after="120" w:line="240" w:lineRule="auto"/>
        <w:ind w:left="567" w:right="260"/>
        <w:jc w:val="both"/>
        <w:rPr>
          <w:rFonts w:ascii="Arial" w:hAnsi="Arial" w:cs="Arial"/>
          <w:iCs/>
        </w:rPr>
      </w:pPr>
      <w:r>
        <w:rPr>
          <w:rFonts w:ascii="Arial" w:hAnsi="Arial" w:cs="Arial"/>
        </w:rPr>
        <w:t xml:space="preserve">ENAL4002 </w:t>
      </w:r>
      <w:r w:rsidR="005D3487">
        <w:rPr>
          <w:rFonts w:ascii="Arial" w:hAnsi="Arial" w:cs="Arial"/>
        </w:rPr>
        <w:t>(LZ330</w:t>
      </w:r>
      <w:r w:rsidR="00A00F79" w:rsidRPr="00EB30C2">
        <w:rPr>
          <w:rFonts w:ascii="Arial" w:hAnsi="Arial" w:cs="Arial"/>
        </w:rPr>
        <w:t xml:space="preserve">) </w:t>
      </w:r>
      <w:r w:rsidR="005D3487">
        <w:rPr>
          <w:rFonts w:ascii="Arial" w:hAnsi="Arial" w:cs="Arial"/>
        </w:rPr>
        <w:t>Extending English Language Skills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247FDC2C" w:rsidR="009A2D37" w:rsidRPr="00CC7B58" w:rsidRDefault="004B3499" w:rsidP="00696FF5">
      <w:pPr>
        <w:spacing w:after="120" w:line="240" w:lineRule="auto"/>
        <w:ind w:left="567" w:right="260"/>
        <w:jc w:val="both"/>
        <w:rPr>
          <w:rFonts w:ascii="Arial" w:hAnsi="Arial" w:cs="Arial"/>
        </w:rPr>
      </w:pPr>
      <w:r>
        <w:rPr>
          <w:rFonts w:ascii="Arial" w:hAnsi="Arial" w:cs="Arial"/>
        </w:rPr>
        <w:t>Level 4</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02F53E35" w:rsidR="001633E1" w:rsidRPr="001633E1" w:rsidRDefault="004B3499" w:rsidP="001633E1">
      <w:pPr>
        <w:pStyle w:val="ListParagraph"/>
        <w:ind w:left="567"/>
        <w:rPr>
          <w:rFonts w:ascii="Arial" w:hAnsi="Arial" w:cs="Arial"/>
          <w:szCs w:val="20"/>
        </w:rPr>
      </w:pPr>
      <w:r>
        <w:rPr>
          <w:rFonts w:ascii="Arial" w:hAnsi="Arial" w:cs="Arial"/>
          <w:szCs w:val="20"/>
        </w:rPr>
        <w:t>Spring</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0CEF0CAD" w:rsidR="000A6885" w:rsidRPr="000A6885" w:rsidRDefault="00BE79E2" w:rsidP="000A6885">
      <w:pPr>
        <w:pStyle w:val="ListParagraph"/>
        <w:spacing w:after="120" w:line="240" w:lineRule="auto"/>
        <w:ind w:left="360" w:right="260" w:firstLine="207"/>
        <w:jc w:val="both"/>
        <w:rPr>
          <w:rFonts w:ascii="Arial" w:hAnsi="Arial" w:cs="Arial"/>
          <w:b/>
          <w:szCs w:val="20"/>
        </w:rPr>
      </w:pPr>
      <w:r>
        <w:rPr>
          <w:rFonts w:ascii="Arial" w:hAnsi="Arial" w:cs="Arial"/>
          <w:szCs w:val="20"/>
        </w:rPr>
        <w:t>Wild module for Stage 1 – Social Sciences and Humanities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76A928" w14:textId="77777777" w:rsidR="004B3499" w:rsidRPr="009E69D2" w:rsidRDefault="004B3499" w:rsidP="004B3499">
      <w:pPr>
        <w:pStyle w:val="ListParagraph"/>
        <w:numPr>
          <w:ilvl w:val="1"/>
          <w:numId w:val="1"/>
        </w:numPr>
        <w:spacing w:after="0" w:line="360" w:lineRule="auto"/>
        <w:ind w:left="1134" w:hanging="431"/>
        <w:rPr>
          <w:rFonts w:ascii="Arial" w:hAnsi="Arial" w:cs="Arial"/>
        </w:rPr>
      </w:pPr>
      <w:r w:rsidRPr="009E69D2">
        <w:rPr>
          <w:rFonts w:ascii="Arial" w:hAnsi="Arial" w:cs="Arial"/>
        </w:rPr>
        <w:t>apply the conventions of academic discourse</w:t>
      </w:r>
    </w:p>
    <w:p w14:paraId="3D443966" w14:textId="77777777" w:rsidR="004B3499" w:rsidRPr="009E69D2" w:rsidRDefault="004B3499" w:rsidP="004B3499">
      <w:pPr>
        <w:pStyle w:val="ListParagraph"/>
        <w:numPr>
          <w:ilvl w:val="1"/>
          <w:numId w:val="1"/>
        </w:numPr>
        <w:spacing w:after="0" w:line="360" w:lineRule="auto"/>
        <w:ind w:left="1134" w:hanging="431"/>
        <w:rPr>
          <w:rFonts w:ascii="Arial" w:hAnsi="Arial" w:cs="Arial"/>
        </w:rPr>
      </w:pPr>
      <w:r w:rsidRPr="009E69D2">
        <w:rPr>
          <w:rFonts w:ascii="Arial" w:hAnsi="Arial" w:cs="Arial"/>
        </w:rPr>
        <w:t xml:space="preserve">appropriately incorporate information from required reading in written assignments </w:t>
      </w:r>
    </w:p>
    <w:p w14:paraId="7D5ADE09" w14:textId="77777777" w:rsidR="004B3499" w:rsidRPr="009E69D2" w:rsidRDefault="004B3499" w:rsidP="004B3499">
      <w:pPr>
        <w:numPr>
          <w:ilvl w:val="1"/>
          <w:numId w:val="1"/>
        </w:numPr>
        <w:spacing w:after="0" w:line="360" w:lineRule="auto"/>
        <w:ind w:left="1134" w:hanging="431"/>
        <w:rPr>
          <w:rFonts w:ascii="Arial" w:hAnsi="Arial" w:cs="Arial"/>
        </w:rPr>
      </w:pPr>
      <w:r w:rsidRPr="009E69D2">
        <w:rPr>
          <w:rFonts w:ascii="Arial" w:hAnsi="Arial" w:cs="Arial"/>
        </w:rPr>
        <w:t xml:space="preserve">use a wide range of grammatically accurate written structures in extended writing </w:t>
      </w:r>
    </w:p>
    <w:p w14:paraId="2204F343" w14:textId="77777777" w:rsidR="004B3499" w:rsidRPr="009E69D2" w:rsidRDefault="004B3499" w:rsidP="004B3499">
      <w:pPr>
        <w:numPr>
          <w:ilvl w:val="1"/>
          <w:numId w:val="1"/>
        </w:numPr>
        <w:spacing w:after="0" w:line="360" w:lineRule="auto"/>
        <w:ind w:left="1134" w:hanging="431"/>
        <w:rPr>
          <w:rFonts w:ascii="Arial" w:hAnsi="Arial" w:cs="Arial"/>
        </w:rPr>
      </w:pPr>
      <w:r w:rsidRPr="009E69D2">
        <w:rPr>
          <w:rFonts w:ascii="Arial" w:hAnsi="Arial" w:cs="Arial"/>
        </w:rPr>
        <w:t>use a wide corpus of subject-specific vocabulary appropriately</w:t>
      </w:r>
    </w:p>
    <w:p w14:paraId="32F50BB6" w14:textId="77777777" w:rsidR="004B3499" w:rsidRPr="009E69D2" w:rsidRDefault="004B3499" w:rsidP="004B3499">
      <w:pPr>
        <w:numPr>
          <w:ilvl w:val="1"/>
          <w:numId w:val="1"/>
        </w:numPr>
        <w:spacing w:after="0" w:line="360" w:lineRule="auto"/>
        <w:ind w:left="1134" w:hanging="431"/>
        <w:rPr>
          <w:rFonts w:ascii="Arial" w:hAnsi="Arial" w:cs="Arial"/>
        </w:rPr>
      </w:pPr>
      <w:r w:rsidRPr="009E69D2">
        <w:rPr>
          <w:rFonts w:ascii="Arial" w:hAnsi="Arial" w:cs="Arial"/>
        </w:rPr>
        <w:t>present and refute arguments</w:t>
      </w:r>
    </w:p>
    <w:p w14:paraId="7DCF0BB2" w14:textId="77777777" w:rsidR="004B3499" w:rsidRDefault="004B3499" w:rsidP="004B3499">
      <w:pPr>
        <w:numPr>
          <w:ilvl w:val="1"/>
          <w:numId w:val="1"/>
        </w:numPr>
        <w:spacing w:after="0" w:line="360" w:lineRule="auto"/>
        <w:ind w:left="1134" w:hanging="431"/>
        <w:rPr>
          <w:rFonts w:ascii="Arial" w:hAnsi="Arial" w:cs="Arial"/>
        </w:rPr>
      </w:pPr>
      <w:r w:rsidRPr="009E69D2">
        <w:rPr>
          <w:rFonts w:ascii="Arial" w:hAnsi="Arial" w:cs="Arial"/>
        </w:rPr>
        <w:t>integrate arguments appropriately with source material in written form</w:t>
      </w:r>
    </w:p>
    <w:p w14:paraId="188FAEAA" w14:textId="77777777" w:rsidR="00DB4127" w:rsidRDefault="00DB4127" w:rsidP="00BE79E2">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89C15C"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r w:rsidRPr="00C72A72">
        <w:rPr>
          <w:rFonts w:ascii="Arial" w:hAnsi="Arial" w:cs="Arial"/>
        </w:rPr>
        <w:t>demonstrate their analytical and critical skills</w:t>
      </w:r>
    </w:p>
    <w:p w14:paraId="01CBB8D9"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r w:rsidRPr="00C72A72">
        <w:rPr>
          <w:rFonts w:ascii="Arial" w:hAnsi="Arial" w:cs="Arial"/>
        </w:rPr>
        <w:t>plan and manage their own time</w:t>
      </w:r>
    </w:p>
    <w:p w14:paraId="57F2F509" w14:textId="77777777" w:rsidR="004B3499" w:rsidRPr="00833E67" w:rsidRDefault="004B3499" w:rsidP="004B3499">
      <w:pPr>
        <w:pStyle w:val="ListParagraph"/>
        <w:numPr>
          <w:ilvl w:val="1"/>
          <w:numId w:val="1"/>
        </w:numPr>
        <w:spacing w:after="60"/>
        <w:ind w:left="1134"/>
        <w:rPr>
          <w:rFonts w:ascii="Arial" w:hAnsi="Arial" w:cs="Arial"/>
        </w:rPr>
      </w:pPr>
      <w:r>
        <w:rPr>
          <w:rFonts w:ascii="Arial" w:hAnsi="Arial" w:cs="Arial"/>
        </w:rPr>
        <w:t xml:space="preserve">communicate effectively in writing </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7AA479" w14:textId="77777777" w:rsidR="006131E0" w:rsidRPr="00E71DC5" w:rsidRDefault="006131E0" w:rsidP="00E71DC5">
      <w:pPr>
        <w:pStyle w:val="CommentText"/>
        <w:ind w:left="567"/>
        <w:rPr>
          <w:rFonts w:ascii="Arial" w:hAnsi="Arial" w:cs="Arial"/>
          <w:sz w:val="22"/>
          <w:szCs w:val="22"/>
        </w:rPr>
      </w:pPr>
      <w:r w:rsidRPr="00E71DC5">
        <w:rPr>
          <w:rFonts w:ascii="Arial" w:hAnsi="Arial" w:cs="Arial"/>
          <w:sz w:val="22"/>
          <w:szCs w:val="22"/>
        </w:rPr>
        <w:t xml:space="preserve">On this spring module you will review and extend your English Language Skills to help you succeed in your degree programme, especially in reading, vocabulary and writing. You may have taken LZ329 in the autumn term, but you do not have to have taken it as course content does not overlap. On LZ330 you will develop strategies for: presenting, refuting and integrating arguments into your writing; </w:t>
      </w:r>
      <w:r w:rsidRPr="00E71DC5">
        <w:rPr>
          <w:rFonts w:ascii="Arial" w:hAnsi="Arial" w:cs="Arial"/>
          <w:sz w:val="22"/>
          <w:szCs w:val="22"/>
        </w:rPr>
        <w:lastRenderedPageBreak/>
        <w:t>using sources and references in extended writing; using a wide range of grammatical structures in essay writing; and creating, planning and organizing extended written assignments. On this module, learning takes place in workshops to allow for plenty of practice. Individual tutorials will focus on your development and help you to plan your learning.</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2C0FDC7D" w14:textId="77777777" w:rsidR="004B3499" w:rsidRPr="009E69D2" w:rsidRDefault="004B3499" w:rsidP="004B3499">
      <w:pPr>
        <w:spacing w:after="60"/>
        <w:ind w:left="576"/>
        <w:rPr>
          <w:rFonts w:ascii="Arial" w:hAnsi="Arial" w:cs="Arial"/>
        </w:rPr>
      </w:pPr>
      <w:r w:rsidRPr="009E69D2">
        <w:rPr>
          <w:rFonts w:ascii="Arial" w:hAnsi="Arial" w:cs="Arial"/>
        </w:rPr>
        <w:t>Materials for reading and writing practice will be taken from the recommended reading lists on students’ core modules. Students will be expected to extend their reading to include a wider range of subject specific texts</w:t>
      </w:r>
    </w:p>
    <w:p w14:paraId="778A7BED" w14:textId="77777777" w:rsidR="004B3499" w:rsidRPr="009E69D2" w:rsidRDefault="004B3499" w:rsidP="004B3499">
      <w:pPr>
        <w:spacing w:after="60"/>
        <w:ind w:left="576"/>
        <w:rPr>
          <w:rFonts w:ascii="Arial" w:hAnsi="Arial" w:cs="Arial"/>
        </w:rPr>
      </w:pPr>
      <w:r w:rsidRPr="009E69D2">
        <w:rPr>
          <w:rFonts w:ascii="Arial" w:hAnsi="Arial" w:cs="Arial"/>
        </w:rPr>
        <w:t>Additional language practice texts include:</w:t>
      </w:r>
    </w:p>
    <w:p w14:paraId="16C12F1B" w14:textId="77777777" w:rsidR="004B3499" w:rsidRDefault="004B3499" w:rsidP="004B3499">
      <w:pPr>
        <w:numPr>
          <w:ilvl w:val="0"/>
          <w:numId w:val="33"/>
        </w:numPr>
        <w:spacing w:after="60" w:line="240" w:lineRule="auto"/>
        <w:rPr>
          <w:rFonts w:ascii="Arial" w:hAnsi="Arial" w:cs="Arial"/>
        </w:rPr>
      </w:pPr>
      <w:r w:rsidRPr="009E69D2">
        <w:rPr>
          <w:rFonts w:ascii="Arial" w:hAnsi="Arial" w:cs="Arial"/>
        </w:rPr>
        <w:t xml:space="preserve">Bailey, S. </w:t>
      </w:r>
      <w:r>
        <w:rPr>
          <w:rFonts w:ascii="Arial" w:hAnsi="Arial" w:cs="Arial"/>
        </w:rPr>
        <w:t>(</w:t>
      </w:r>
      <w:r w:rsidRPr="009E69D2">
        <w:rPr>
          <w:rFonts w:ascii="Arial" w:hAnsi="Arial" w:cs="Arial"/>
        </w:rPr>
        <w:t>2011</w:t>
      </w:r>
      <w:r>
        <w:rPr>
          <w:rFonts w:ascii="Arial" w:hAnsi="Arial" w:cs="Arial"/>
        </w:rPr>
        <w:t>)</w:t>
      </w:r>
      <w:r w:rsidRPr="009E69D2">
        <w:rPr>
          <w:rFonts w:ascii="Arial" w:hAnsi="Arial" w:cs="Arial"/>
        </w:rPr>
        <w:t xml:space="preserve">. </w:t>
      </w:r>
      <w:r w:rsidRPr="009E69D2">
        <w:rPr>
          <w:rFonts w:ascii="Arial" w:hAnsi="Arial" w:cs="Arial"/>
          <w:i/>
        </w:rPr>
        <w:t xml:space="preserve">Academic Writing: A Handbook for International Students. </w:t>
      </w:r>
      <w:r w:rsidRPr="009E69D2">
        <w:rPr>
          <w:rFonts w:ascii="Arial" w:hAnsi="Arial" w:cs="Arial"/>
        </w:rPr>
        <w:t>3</w:t>
      </w:r>
      <w:r w:rsidRPr="009E69D2">
        <w:rPr>
          <w:rFonts w:ascii="Arial" w:hAnsi="Arial" w:cs="Arial"/>
          <w:vertAlign w:val="superscript"/>
        </w:rPr>
        <w:t>rd</w:t>
      </w:r>
      <w:r>
        <w:rPr>
          <w:rFonts w:ascii="Arial" w:hAnsi="Arial" w:cs="Arial"/>
        </w:rPr>
        <w:t xml:space="preserve"> edition.</w:t>
      </w:r>
      <w:r w:rsidRPr="009E69D2">
        <w:rPr>
          <w:rFonts w:ascii="Arial" w:hAnsi="Arial" w:cs="Arial"/>
        </w:rPr>
        <w:t xml:space="preserve"> </w:t>
      </w:r>
      <w:r>
        <w:rPr>
          <w:rFonts w:ascii="Arial" w:hAnsi="Arial" w:cs="Arial"/>
        </w:rPr>
        <w:t>London:</w:t>
      </w:r>
      <w:r w:rsidRPr="00050517">
        <w:rPr>
          <w:rFonts w:ascii="Arial" w:hAnsi="Arial" w:cs="Arial"/>
        </w:rPr>
        <w:t xml:space="preserve"> </w:t>
      </w:r>
      <w:r w:rsidRPr="00DF33D5">
        <w:rPr>
          <w:rFonts w:ascii="Arial" w:hAnsi="Arial" w:cs="Arial"/>
        </w:rPr>
        <w:t>Routledge</w:t>
      </w:r>
      <w:r>
        <w:rPr>
          <w:rFonts w:ascii="Arial" w:hAnsi="Arial" w:cs="Arial"/>
        </w:rPr>
        <w:t>.</w:t>
      </w:r>
    </w:p>
    <w:p w14:paraId="0C38E9F7" w14:textId="77777777" w:rsidR="004B3499" w:rsidRPr="00C8615C" w:rsidRDefault="004B3499" w:rsidP="004B3499">
      <w:pPr>
        <w:numPr>
          <w:ilvl w:val="0"/>
          <w:numId w:val="33"/>
        </w:numPr>
        <w:spacing w:after="60" w:line="240" w:lineRule="auto"/>
        <w:rPr>
          <w:rFonts w:ascii="Arial" w:hAnsi="Arial" w:cs="Arial"/>
        </w:rPr>
      </w:pPr>
      <w:r>
        <w:rPr>
          <w:rFonts w:ascii="Arial" w:hAnsi="Arial" w:cs="Arial"/>
        </w:rPr>
        <w:t xml:space="preserve">Hogue, A. and </w:t>
      </w:r>
      <w:proofErr w:type="spellStart"/>
      <w:r w:rsidRPr="009E69D2">
        <w:rPr>
          <w:rFonts w:ascii="Arial" w:hAnsi="Arial" w:cs="Arial"/>
        </w:rPr>
        <w:t>Oshima</w:t>
      </w:r>
      <w:proofErr w:type="spellEnd"/>
      <w:r w:rsidRPr="009E69D2">
        <w:rPr>
          <w:rFonts w:ascii="Arial" w:hAnsi="Arial" w:cs="Arial"/>
        </w:rPr>
        <w:t>, A.</w:t>
      </w:r>
      <w:r>
        <w:rPr>
          <w:rFonts w:ascii="Arial" w:hAnsi="Arial" w:cs="Arial"/>
        </w:rPr>
        <w:t xml:space="preserve"> (</w:t>
      </w:r>
      <w:r w:rsidRPr="009E69D2">
        <w:rPr>
          <w:rFonts w:ascii="Arial" w:hAnsi="Arial" w:cs="Arial"/>
        </w:rPr>
        <w:t>2006</w:t>
      </w:r>
      <w:r>
        <w:rPr>
          <w:rFonts w:ascii="Arial" w:hAnsi="Arial" w:cs="Arial"/>
        </w:rPr>
        <w:t>)</w:t>
      </w:r>
      <w:r w:rsidRPr="009E69D2">
        <w:rPr>
          <w:rFonts w:ascii="Arial" w:hAnsi="Arial" w:cs="Arial"/>
        </w:rPr>
        <w:t xml:space="preserve">. </w:t>
      </w:r>
      <w:r>
        <w:rPr>
          <w:rFonts w:ascii="Arial" w:hAnsi="Arial" w:cs="Arial"/>
          <w:i/>
        </w:rPr>
        <w:t xml:space="preserve">Writing Academic English. </w:t>
      </w:r>
      <w:r w:rsidRPr="00595FF9">
        <w:rPr>
          <w:rFonts w:ascii="Arial" w:hAnsi="Arial" w:cs="Arial"/>
        </w:rPr>
        <w:t>4</w:t>
      </w:r>
      <w:r w:rsidRPr="00595FF9">
        <w:rPr>
          <w:rFonts w:ascii="Arial" w:hAnsi="Arial" w:cs="Arial"/>
          <w:vertAlign w:val="superscript"/>
        </w:rPr>
        <w:t>th</w:t>
      </w:r>
      <w:r w:rsidRPr="00595FF9">
        <w:rPr>
          <w:rFonts w:ascii="Arial" w:hAnsi="Arial" w:cs="Arial"/>
        </w:rPr>
        <w:t xml:space="preserve"> edition</w:t>
      </w:r>
      <w:r>
        <w:rPr>
          <w:rFonts w:ascii="Arial" w:hAnsi="Arial" w:cs="Arial"/>
          <w:i/>
        </w:rPr>
        <w:t xml:space="preserve">. </w:t>
      </w:r>
      <w:r>
        <w:rPr>
          <w:rFonts w:ascii="Arial" w:hAnsi="Arial" w:cs="Arial"/>
        </w:rPr>
        <w:t>New York: Pearson Longman.</w:t>
      </w:r>
    </w:p>
    <w:p w14:paraId="7E746352" w14:textId="77777777" w:rsidR="004B3499" w:rsidRPr="009E69D2" w:rsidRDefault="004B3499" w:rsidP="004B3499">
      <w:pPr>
        <w:numPr>
          <w:ilvl w:val="0"/>
          <w:numId w:val="33"/>
        </w:numPr>
        <w:spacing w:after="60" w:line="240" w:lineRule="auto"/>
        <w:rPr>
          <w:rFonts w:ascii="Arial" w:hAnsi="Arial" w:cs="Arial"/>
        </w:rPr>
      </w:pPr>
      <w:r w:rsidRPr="009E69D2">
        <w:rPr>
          <w:rFonts w:ascii="Arial" w:hAnsi="Arial" w:cs="Arial"/>
        </w:rPr>
        <w:t>Lowes,</w:t>
      </w:r>
      <w:r>
        <w:rPr>
          <w:rFonts w:ascii="Arial" w:hAnsi="Arial" w:cs="Arial"/>
        </w:rPr>
        <w:t xml:space="preserve"> R., </w:t>
      </w:r>
      <w:r w:rsidRPr="009E69D2">
        <w:rPr>
          <w:rFonts w:ascii="Arial" w:hAnsi="Arial" w:cs="Arial"/>
        </w:rPr>
        <w:t>Peters</w:t>
      </w:r>
      <w:r>
        <w:rPr>
          <w:rFonts w:ascii="Arial" w:hAnsi="Arial" w:cs="Arial"/>
        </w:rPr>
        <w:t>, H. and</w:t>
      </w:r>
      <w:r w:rsidRPr="009E69D2">
        <w:rPr>
          <w:rFonts w:ascii="Arial" w:hAnsi="Arial" w:cs="Arial"/>
        </w:rPr>
        <w:t xml:space="preserve"> Turner</w:t>
      </w:r>
      <w:r>
        <w:rPr>
          <w:rFonts w:ascii="Arial" w:hAnsi="Arial" w:cs="Arial"/>
        </w:rPr>
        <w:t>, M</w:t>
      </w:r>
      <w:r w:rsidRPr="009E69D2">
        <w:rPr>
          <w:rFonts w:ascii="Arial" w:hAnsi="Arial" w:cs="Arial"/>
        </w:rPr>
        <w:t xml:space="preserve">. </w:t>
      </w:r>
      <w:r>
        <w:rPr>
          <w:rFonts w:ascii="Arial" w:hAnsi="Arial" w:cs="Arial"/>
        </w:rPr>
        <w:t>(</w:t>
      </w:r>
      <w:r w:rsidRPr="009E69D2">
        <w:rPr>
          <w:rFonts w:ascii="Arial" w:hAnsi="Arial" w:cs="Arial"/>
        </w:rPr>
        <w:t>2004</w:t>
      </w:r>
      <w:r>
        <w:rPr>
          <w:rFonts w:ascii="Arial" w:hAnsi="Arial" w:cs="Arial"/>
        </w:rPr>
        <w:t>)</w:t>
      </w:r>
      <w:r w:rsidRPr="009E69D2">
        <w:rPr>
          <w:rFonts w:ascii="Arial" w:hAnsi="Arial" w:cs="Arial"/>
        </w:rPr>
        <w:t xml:space="preserve">. </w:t>
      </w:r>
      <w:r w:rsidRPr="009E69D2">
        <w:rPr>
          <w:rFonts w:ascii="Arial" w:hAnsi="Arial" w:cs="Arial"/>
          <w:i/>
        </w:rPr>
        <w:t xml:space="preserve">The </w:t>
      </w:r>
      <w:r>
        <w:rPr>
          <w:rFonts w:ascii="Arial" w:hAnsi="Arial" w:cs="Arial"/>
          <w:i/>
        </w:rPr>
        <w:t>International Student’s Guide.</w:t>
      </w:r>
      <w:r>
        <w:rPr>
          <w:rFonts w:ascii="Arial" w:hAnsi="Arial" w:cs="Arial"/>
        </w:rPr>
        <w:t xml:space="preserve"> </w:t>
      </w:r>
      <w:r w:rsidRPr="009E69D2">
        <w:rPr>
          <w:rFonts w:ascii="Arial" w:hAnsi="Arial" w:cs="Arial"/>
        </w:rPr>
        <w:t>London</w:t>
      </w:r>
      <w:r>
        <w:rPr>
          <w:rFonts w:ascii="Arial" w:hAnsi="Arial" w:cs="Arial"/>
        </w:rPr>
        <w:t>: Sage.</w:t>
      </w:r>
    </w:p>
    <w:p w14:paraId="521342A4" w14:textId="77777777" w:rsidR="004B3499" w:rsidRPr="009E69D2" w:rsidRDefault="004B3499" w:rsidP="004B3499">
      <w:pPr>
        <w:numPr>
          <w:ilvl w:val="0"/>
          <w:numId w:val="33"/>
        </w:numPr>
        <w:spacing w:after="60" w:line="240" w:lineRule="auto"/>
        <w:rPr>
          <w:rFonts w:ascii="Arial" w:hAnsi="Arial" w:cs="Arial"/>
        </w:rPr>
      </w:pPr>
      <w:r w:rsidRPr="009E69D2">
        <w:rPr>
          <w:rFonts w:ascii="Arial" w:hAnsi="Arial" w:cs="Arial"/>
        </w:rPr>
        <w:t xml:space="preserve">Murphy, R. </w:t>
      </w:r>
      <w:r>
        <w:rPr>
          <w:rFonts w:ascii="Arial" w:hAnsi="Arial" w:cs="Arial"/>
        </w:rPr>
        <w:t>(</w:t>
      </w:r>
      <w:r w:rsidRPr="009E69D2">
        <w:rPr>
          <w:rFonts w:ascii="Arial" w:hAnsi="Arial" w:cs="Arial"/>
        </w:rPr>
        <w:t>2012</w:t>
      </w:r>
      <w:r>
        <w:rPr>
          <w:rFonts w:ascii="Arial" w:hAnsi="Arial" w:cs="Arial"/>
        </w:rPr>
        <w:t>)</w:t>
      </w:r>
      <w:r w:rsidRPr="009E69D2">
        <w:rPr>
          <w:rFonts w:ascii="Arial" w:hAnsi="Arial" w:cs="Arial"/>
        </w:rPr>
        <w:t xml:space="preserve">. </w:t>
      </w:r>
      <w:r w:rsidRPr="009E69D2">
        <w:rPr>
          <w:rFonts w:ascii="Arial" w:hAnsi="Arial" w:cs="Arial"/>
          <w:i/>
        </w:rPr>
        <w:t>English Grammar in Use: Intermediate</w:t>
      </w:r>
      <w:r>
        <w:rPr>
          <w:rFonts w:ascii="Arial" w:hAnsi="Arial" w:cs="Arial"/>
        </w:rPr>
        <w:t xml:space="preserve">. </w:t>
      </w:r>
      <w:r w:rsidRPr="009E69D2">
        <w:rPr>
          <w:rFonts w:ascii="Arial" w:hAnsi="Arial" w:cs="Arial"/>
        </w:rPr>
        <w:t>4</w:t>
      </w:r>
      <w:r w:rsidRPr="009E69D2">
        <w:rPr>
          <w:rFonts w:ascii="Arial" w:hAnsi="Arial" w:cs="Arial"/>
          <w:vertAlign w:val="superscript"/>
        </w:rPr>
        <w:t>th</w:t>
      </w:r>
      <w:r>
        <w:rPr>
          <w:rFonts w:ascii="Arial" w:hAnsi="Arial" w:cs="Arial"/>
        </w:rPr>
        <w:t xml:space="preserve"> edition.</w:t>
      </w:r>
      <w:r w:rsidRPr="009E69D2">
        <w:rPr>
          <w:rFonts w:ascii="Arial" w:hAnsi="Arial" w:cs="Arial"/>
        </w:rPr>
        <w:t xml:space="preserve"> Cambridge</w:t>
      </w:r>
      <w:r>
        <w:rPr>
          <w:rFonts w:ascii="Arial" w:hAnsi="Arial" w:cs="Arial"/>
        </w:rPr>
        <w:t>: Cambridge University Press.</w:t>
      </w:r>
    </w:p>
    <w:p w14:paraId="47F05F2D" w14:textId="77777777" w:rsidR="004B3499" w:rsidRPr="009E69D2" w:rsidRDefault="004B3499" w:rsidP="004B3499">
      <w:pPr>
        <w:numPr>
          <w:ilvl w:val="0"/>
          <w:numId w:val="33"/>
        </w:numPr>
        <w:spacing w:after="60" w:line="240" w:lineRule="auto"/>
        <w:rPr>
          <w:rFonts w:ascii="Arial" w:hAnsi="Arial" w:cs="Arial"/>
        </w:rPr>
      </w:pPr>
      <w:r w:rsidRPr="009E69D2">
        <w:rPr>
          <w:rFonts w:ascii="Arial" w:hAnsi="Arial" w:cs="Arial"/>
        </w:rPr>
        <w:t xml:space="preserve">Porter, D. </w:t>
      </w:r>
      <w:r>
        <w:rPr>
          <w:rFonts w:ascii="Arial" w:hAnsi="Arial" w:cs="Arial"/>
        </w:rPr>
        <w:t>(</w:t>
      </w:r>
      <w:r w:rsidRPr="009E69D2">
        <w:rPr>
          <w:rFonts w:ascii="Arial" w:hAnsi="Arial" w:cs="Arial"/>
        </w:rPr>
        <w:t>2001</w:t>
      </w:r>
      <w:r>
        <w:rPr>
          <w:rFonts w:ascii="Arial" w:hAnsi="Arial" w:cs="Arial"/>
        </w:rPr>
        <w:t>).</w:t>
      </w:r>
      <w:r w:rsidRPr="009E69D2">
        <w:rPr>
          <w:rFonts w:ascii="Arial" w:hAnsi="Arial" w:cs="Arial"/>
        </w:rPr>
        <w:t xml:space="preserve"> </w:t>
      </w:r>
      <w:r>
        <w:rPr>
          <w:rFonts w:ascii="Arial" w:hAnsi="Arial" w:cs="Arial"/>
          <w:i/>
        </w:rPr>
        <w:t>Check your v</w:t>
      </w:r>
      <w:r w:rsidRPr="009E69D2">
        <w:rPr>
          <w:rFonts w:ascii="Arial" w:hAnsi="Arial" w:cs="Arial"/>
          <w:i/>
        </w:rPr>
        <w:t>ocabulary for Academic English</w:t>
      </w:r>
      <w:r>
        <w:rPr>
          <w:rFonts w:ascii="Arial" w:hAnsi="Arial" w:cs="Arial"/>
        </w:rPr>
        <w:t xml:space="preserve">. </w:t>
      </w:r>
      <w:r w:rsidRPr="009E69D2">
        <w:rPr>
          <w:rFonts w:ascii="Arial" w:hAnsi="Arial" w:cs="Arial"/>
        </w:rPr>
        <w:t>London</w:t>
      </w:r>
      <w:r>
        <w:rPr>
          <w:rFonts w:ascii="Arial" w:hAnsi="Arial" w:cs="Arial"/>
        </w:rPr>
        <w:t>: Peter Collin.</w:t>
      </w:r>
    </w:p>
    <w:p w14:paraId="6B8013C4" w14:textId="77777777" w:rsidR="004B3499" w:rsidRPr="009E69D2" w:rsidRDefault="004B3499" w:rsidP="004B3499">
      <w:pPr>
        <w:numPr>
          <w:ilvl w:val="0"/>
          <w:numId w:val="33"/>
        </w:numPr>
        <w:spacing w:after="60" w:line="240" w:lineRule="auto"/>
        <w:rPr>
          <w:rFonts w:ascii="Arial" w:hAnsi="Arial" w:cs="Arial"/>
        </w:rPr>
      </w:pPr>
      <w:r>
        <w:rPr>
          <w:rFonts w:ascii="Arial" w:hAnsi="Arial" w:cs="Arial"/>
        </w:rPr>
        <w:t>Wallace, M.</w:t>
      </w:r>
      <w:r w:rsidRPr="009E69D2">
        <w:rPr>
          <w:rFonts w:ascii="Arial" w:hAnsi="Arial" w:cs="Arial"/>
        </w:rPr>
        <w:t xml:space="preserve"> </w:t>
      </w:r>
      <w:r>
        <w:rPr>
          <w:rFonts w:ascii="Arial" w:hAnsi="Arial" w:cs="Arial"/>
        </w:rPr>
        <w:t>(</w:t>
      </w:r>
      <w:r w:rsidRPr="009E69D2">
        <w:rPr>
          <w:rFonts w:ascii="Arial" w:hAnsi="Arial" w:cs="Arial"/>
        </w:rPr>
        <w:t>2004</w:t>
      </w:r>
      <w:r>
        <w:rPr>
          <w:rFonts w:ascii="Arial" w:hAnsi="Arial" w:cs="Arial"/>
        </w:rPr>
        <w:t>)</w:t>
      </w:r>
      <w:r w:rsidRPr="009E69D2">
        <w:rPr>
          <w:rFonts w:ascii="Arial" w:hAnsi="Arial" w:cs="Arial"/>
        </w:rPr>
        <w:t>.</w:t>
      </w:r>
      <w:r>
        <w:rPr>
          <w:rFonts w:ascii="Arial" w:hAnsi="Arial" w:cs="Arial"/>
        </w:rPr>
        <w:t xml:space="preserve"> </w:t>
      </w:r>
      <w:r w:rsidRPr="009E69D2">
        <w:rPr>
          <w:rFonts w:ascii="Arial" w:hAnsi="Arial" w:cs="Arial"/>
          <w:i/>
        </w:rPr>
        <w:t>Study Skills in English</w:t>
      </w:r>
      <w:r>
        <w:rPr>
          <w:rFonts w:ascii="Arial" w:hAnsi="Arial" w:cs="Arial"/>
        </w:rPr>
        <w:t xml:space="preserve">. </w:t>
      </w:r>
      <w:r w:rsidRPr="009E69D2">
        <w:rPr>
          <w:rFonts w:ascii="Arial" w:hAnsi="Arial" w:cs="Arial"/>
        </w:rPr>
        <w:t>Cambridge</w:t>
      </w:r>
      <w:r>
        <w:rPr>
          <w:rFonts w:ascii="Arial" w:hAnsi="Arial" w:cs="Arial"/>
        </w:rPr>
        <w:t>: Cambridge University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3B5C97F3" w:rsidR="00EC4421" w:rsidRDefault="004B3499" w:rsidP="004B3499">
            <w:pPr>
              <w:spacing w:after="120"/>
              <w:ind w:right="260"/>
              <w:rPr>
                <w:rFonts w:ascii="Arial" w:hAnsi="Arial" w:cs="Arial"/>
                <w:i/>
                <w:iCs/>
              </w:rPr>
            </w:pPr>
            <w:r>
              <w:rPr>
                <w:rFonts w:ascii="Arial" w:hAnsi="Arial" w:cs="Arial"/>
                <w:i/>
                <w:iCs/>
              </w:rPr>
              <w:t>22</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76CD903" w:rsidR="00EC4421" w:rsidRDefault="004B3499" w:rsidP="007736D6">
            <w:pPr>
              <w:spacing w:after="120"/>
              <w:ind w:right="260"/>
              <w:rPr>
                <w:rFonts w:ascii="Arial" w:hAnsi="Arial" w:cs="Arial"/>
                <w:i/>
                <w:iCs/>
              </w:rPr>
            </w:pPr>
            <w:r>
              <w:rPr>
                <w:rFonts w:ascii="Arial" w:hAnsi="Arial" w:cs="Arial"/>
                <w:i/>
                <w:iCs/>
              </w:rPr>
              <w:t>128</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60980A66" w14:textId="2A7E77FE" w:rsidR="000A6885" w:rsidRPr="006131E0" w:rsidRDefault="000A6885" w:rsidP="001D79EC">
      <w:pPr>
        <w:pStyle w:val="ListParagraph"/>
        <w:spacing w:after="0" w:line="360" w:lineRule="auto"/>
        <w:ind w:left="1440"/>
        <w:rPr>
          <w:rFonts w:ascii="Arial" w:hAnsi="Arial" w:cs="Arial"/>
          <w:iCs/>
        </w:rPr>
      </w:pPr>
      <w:r w:rsidRPr="006131E0">
        <w:rPr>
          <w:rFonts w:ascii="Arial" w:hAnsi="Arial" w:cs="Arial"/>
          <w:iCs/>
        </w:rPr>
        <w:t xml:space="preserve">In Course Test 1 </w:t>
      </w:r>
      <w:r w:rsidRPr="00E71DC5">
        <w:rPr>
          <w:rFonts w:ascii="Arial" w:hAnsi="Arial" w:cs="Arial"/>
          <w:iCs/>
        </w:rPr>
        <w:t>(</w:t>
      </w:r>
      <w:r w:rsidR="002F1C8A" w:rsidRPr="00E71DC5">
        <w:rPr>
          <w:rFonts w:ascii="Arial" w:hAnsi="Arial" w:cs="Arial"/>
          <w:iCs/>
        </w:rPr>
        <w:t>45 minutes</w:t>
      </w:r>
      <w:r w:rsidRPr="00E71DC5">
        <w:rPr>
          <w:rFonts w:ascii="Arial" w:hAnsi="Arial" w:cs="Arial"/>
          <w:iCs/>
        </w:rPr>
        <w:t>)</w:t>
      </w:r>
      <w:r w:rsidR="004B3499" w:rsidRPr="006131E0">
        <w:rPr>
          <w:rFonts w:ascii="Arial" w:hAnsi="Arial" w:cs="Arial"/>
          <w:iCs/>
        </w:rPr>
        <w:t xml:space="preserve"> (20</w:t>
      </w:r>
      <w:r w:rsidRPr="006131E0">
        <w:rPr>
          <w:rFonts w:ascii="Arial" w:hAnsi="Arial" w:cs="Arial"/>
          <w:iCs/>
        </w:rPr>
        <w:t>%)</w:t>
      </w:r>
    </w:p>
    <w:p w14:paraId="1079A237" w14:textId="77CB51DF" w:rsidR="000A6885" w:rsidRPr="006131E0" w:rsidRDefault="004B3499" w:rsidP="001D79EC">
      <w:pPr>
        <w:pStyle w:val="ListParagraph"/>
        <w:spacing w:after="0" w:line="360" w:lineRule="auto"/>
        <w:ind w:left="1440"/>
        <w:rPr>
          <w:rFonts w:ascii="Arial" w:hAnsi="Arial" w:cs="Arial"/>
          <w:iCs/>
        </w:rPr>
      </w:pPr>
      <w:r w:rsidRPr="006131E0">
        <w:rPr>
          <w:rFonts w:ascii="Arial" w:hAnsi="Arial" w:cs="Arial"/>
          <w:iCs/>
        </w:rPr>
        <w:t>Learning Journal</w:t>
      </w:r>
      <w:r w:rsidR="002F1C8A" w:rsidRPr="006131E0">
        <w:rPr>
          <w:rFonts w:ascii="Arial" w:hAnsi="Arial" w:cs="Arial"/>
          <w:iCs/>
        </w:rPr>
        <w:t xml:space="preserve"> </w:t>
      </w:r>
      <w:r w:rsidR="002F1C8A" w:rsidRPr="00E71DC5">
        <w:rPr>
          <w:rFonts w:ascii="Arial" w:hAnsi="Arial" w:cs="Arial"/>
          <w:iCs/>
        </w:rPr>
        <w:t>(</w:t>
      </w:r>
      <w:r w:rsidRPr="00E71DC5">
        <w:rPr>
          <w:rFonts w:ascii="Arial" w:hAnsi="Arial" w:cs="Arial"/>
          <w:iCs/>
        </w:rPr>
        <w:t>300 words</w:t>
      </w:r>
      <w:r w:rsidR="002F1C8A" w:rsidRPr="00E71DC5">
        <w:rPr>
          <w:rFonts w:ascii="Arial" w:hAnsi="Arial" w:cs="Arial"/>
          <w:iCs/>
        </w:rPr>
        <w:t>)</w:t>
      </w:r>
      <w:r w:rsidR="002F1C8A" w:rsidRPr="006131E0">
        <w:rPr>
          <w:rFonts w:ascii="Arial" w:hAnsi="Arial" w:cs="Arial"/>
          <w:iCs/>
        </w:rPr>
        <w:t xml:space="preserve"> (</w:t>
      </w:r>
      <w:r w:rsidR="000A6885" w:rsidRPr="006131E0">
        <w:rPr>
          <w:rFonts w:ascii="Arial" w:hAnsi="Arial" w:cs="Arial"/>
          <w:iCs/>
        </w:rPr>
        <w:t>20%)</w:t>
      </w:r>
    </w:p>
    <w:p w14:paraId="2CEB59A9" w14:textId="2A4F1D66" w:rsidR="000A6885" w:rsidRDefault="002F1C8A" w:rsidP="001D79EC">
      <w:pPr>
        <w:pStyle w:val="ListParagraph"/>
        <w:spacing w:after="0" w:line="360" w:lineRule="auto"/>
        <w:ind w:left="1440"/>
        <w:rPr>
          <w:rFonts w:ascii="Arial" w:hAnsi="Arial" w:cs="Arial"/>
          <w:iCs/>
        </w:rPr>
      </w:pPr>
      <w:r w:rsidRPr="006131E0">
        <w:rPr>
          <w:rFonts w:ascii="Arial" w:hAnsi="Arial" w:cs="Arial"/>
          <w:iCs/>
        </w:rPr>
        <w:t>Essay,</w:t>
      </w:r>
      <w:r w:rsidR="00481AC7" w:rsidRPr="006131E0">
        <w:rPr>
          <w:rFonts w:ascii="Arial" w:hAnsi="Arial" w:cs="Arial"/>
          <w:iCs/>
        </w:rPr>
        <w:t xml:space="preserve"> </w:t>
      </w:r>
      <w:r w:rsidR="00481AC7" w:rsidRPr="00E71DC5">
        <w:rPr>
          <w:rFonts w:ascii="Arial" w:hAnsi="Arial" w:cs="Arial"/>
          <w:iCs/>
        </w:rPr>
        <w:t>(</w:t>
      </w:r>
      <w:r w:rsidR="004B3499" w:rsidRPr="00E71DC5">
        <w:rPr>
          <w:rFonts w:ascii="Arial" w:hAnsi="Arial" w:cs="Arial"/>
          <w:iCs/>
        </w:rPr>
        <w:t>2000</w:t>
      </w:r>
      <w:r w:rsidR="006B6B87" w:rsidRPr="00E71DC5">
        <w:rPr>
          <w:rFonts w:ascii="Arial" w:hAnsi="Arial" w:cs="Arial"/>
          <w:iCs/>
        </w:rPr>
        <w:t xml:space="preserve"> words</w:t>
      </w:r>
      <w:r w:rsidRPr="00E71DC5">
        <w:rPr>
          <w:rFonts w:ascii="Arial" w:hAnsi="Arial" w:cs="Arial"/>
          <w:iCs/>
        </w:rPr>
        <w:t>)</w:t>
      </w:r>
      <w:r w:rsidR="004B3499" w:rsidRPr="006131E0">
        <w:rPr>
          <w:rFonts w:ascii="Arial" w:hAnsi="Arial" w:cs="Arial"/>
          <w:iCs/>
        </w:rPr>
        <w:t xml:space="preserve"> (60</w:t>
      </w:r>
      <w:r w:rsidR="00481AC7" w:rsidRPr="006131E0">
        <w:rPr>
          <w:rFonts w:ascii="Arial" w:hAnsi="Arial" w:cs="Arial"/>
          <w:iCs/>
        </w:rPr>
        <w:t>%)</w:t>
      </w:r>
    </w:p>
    <w:p w14:paraId="503EF911" w14:textId="26AFB9C1" w:rsidR="001D79EC" w:rsidRDefault="001D79EC" w:rsidP="001D79EC">
      <w:pPr>
        <w:pStyle w:val="ListParagraph"/>
        <w:spacing w:after="0" w:line="360" w:lineRule="auto"/>
        <w:ind w:left="1440"/>
        <w:rPr>
          <w:rFonts w:ascii="Arial" w:hAnsi="Arial" w:cs="Arial"/>
          <w:iCs/>
        </w:rPr>
      </w:pPr>
    </w:p>
    <w:p w14:paraId="3E75D63D" w14:textId="77777777" w:rsidR="004B3499" w:rsidRPr="000A6885" w:rsidRDefault="004B3499"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868"/>
        <w:gridCol w:w="868"/>
        <w:gridCol w:w="868"/>
        <w:gridCol w:w="868"/>
        <w:gridCol w:w="868"/>
        <w:gridCol w:w="868"/>
        <w:gridCol w:w="868"/>
        <w:gridCol w:w="868"/>
        <w:gridCol w:w="866"/>
      </w:tblGrid>
      <w:tr w:rsidR="004B3499" w:rsidRPr="00BB5849" w14:paraId="40BC6193" w14:textId="77777777" w:rsidTr="004B3499">
        <w:trPr>
          <w:trHeight w:val="340"/>
        </w:trPr>
        <w:tc>
          <w:tcPr>
            <w:tcW w:w="1266" w:type="pct"/>
            <w:shd w:val="clear" w:color="auto" w:fill="D9D9D9"/>
          </w:tcPr>
          <w:p w14:paraId="3968102F" w14:textId="77777777" w:rsidR="004B3499" w:rsidRPr="00BB5849" w:rsidRDefault="004B3499" w:rsidP="004B3499">
            <w:pPr>
              <w:spacing w:after="0" w:line="240" w:lineRule="auto"/>
              <w:ind w:left="33"/>
              <w:rPr>
                <w:rFonts w:ascii="Arial" w:hAnsi="Arial" w:cs="Arial"/>
                <w:b/>
              </w:rPr>
            </w:pPr>
            <w:r w:rsidRPr="00BB5849">
              <w:rPr>
                <w:rFonts w:ascii="Arial" w:hAnsi="Arial" w:cs="Arial"/>
                <w:b/>
              </w:rPr>
              <w:t>Module learning outcome</w:t>
            </w:r>
          </w:p>
        </w:tc>
        <w:tc>
          <w:tcPr>
            <w:tcW w:w="415" w:type="pct"/>
            <w:shd w:val="clear" w:color="auto" w:fill="auto"/>
          </w:tcPr>
          <w:p w14:paraId="3981A0CE" w14:textId="77777777" w:rsidR="004B3499" w:rsidRPr="00BB5849" w:rsidRDefault="004B3499" w:rsidP="004B3499">
            <w:pPr>
              <w:spacing w:after="0" w:line="240" w:lineRule="auto"/>
              <w:rPr>
                <w:rFonts w:ascii="Arial" w:hAnsi="Arial" w:cs="Arial"/>
                <w:i/>
              </w:rPr>
            </w:pPr>
            <w:r w:rsidRPr="00BB5849">
              <w:rPr>
                <w:rFonts w:ascii="Arial" w:hAnsi="Arial" w:cs="Arial"/>
                <w:i/>
              </w:rPr>
              <w:t>8.1</w:t>
            </w:r>
          </w:p>
        </w:tc>
        <w:tc>
          <w:tcPr>
            <w:tcW w:w="415" w:type="pct"/>
            <w:shd w:val="clear" w:color="auto" w:fill="auto"/>
          </w:tcPr>
          <w:p w14:paraId="3D02CCB0" w14:textId="77777777" w:rsidR="004B3499" w:rsidRPr="00BB5849" w:rsidRDefault="004B3499" w:rsidP="004B3499">
            <w:pPr>
              <w:spacing w:after="0" w:line="240" w:lineRule="auto"/>
              <w:rPr>
                <w:rFonts w:ascii="Arial" w:hAnsi="Arial" w:cs="Arial"/>
                <w:i/>
              </w:rPr>
            </w:pPr>
            <w:r w:rsidRPr="00BB5849">
              <w:rPr>
                <w:rFonts w:ascii="Arial" w:hAnsi="Arial" w:cs="Arial"/>
                <w:i/>
              </w:rPr>
              <w:t>8.2</w:t>
            </w:r>
          </w:p>
        </w:tc>
        <w:tc>
          <w:tcPr>
            <w:tcW w:w="415" w:type="pct"/>
            <w:shd w:val="clear" w:color="auto" w:fill="auto"/>
          </w:tcPr>
          <w:p w14:paraId="2F734B37" w14:textId="77777777" w:rsidR="004B3499" w:rsidRPr="00BB5849" w:rsidRDefault="004B3499" w:rsidP="004B3499">
            <w:pPr>
              <w:spacing w:after="0" w:line="240" w:lineRule="auto"/>
              <w:rPr>
                <w:rFonts w:ascii="Arial" w:hAnsi="Arial" w:cs="Arial"/>
                <w:i/>
              </w:rPr>
            </w:pPr>
            <w:r w:rsidRPr="00BB5849">
              <w:rPr>
                <w:rFonts w:ascii="Arial" w:hAnsi="Arial" w:cs="Arial"/>
                <w:i/>
              </w:rPr>
              <w:t>8.3</w:t>
            </w:r>
          </w:p>
        </w:tc>
        <w:tc>
          <w:tcPr>
            <w:tcW w:w="415" w:type="pct"/>
            <w:shd w:val="clear" w:color="auto" w:fill="auto"/>
          </w:tcPr>
          <w:p w14:paraId="75193732" w14:textId="77777777" w:rsidR="004B3499" w:rsidRPr="00BB5849" w:rsidRDefault="004B3499" w:rsidP="004B3499">
            <w:pPr>
              <w:spacing w:after="0" w:line="240" w:lineRule="auto"/>
              <w:rPr>
                <w:rFonts w:ascii="Arial" w:hAnsi="Arial" w:cs="Arial"/>
                <w:i/>
              </w:rPr>
            </w:pPr>
            <w:r w:rsidRPr="00BB5849">
              <w:rPr>
                <w:rFonts w:ascii="Arial" w:hAnsi="Arial" w:cs="Arial"/>
                <w:i/>
              </w:rPr>
              <w:t>8.4</w:t>
            </w:r>
          </w:p>
        </w:tc>
        <w:tc>
          <w:tcPr>
            <w:tcW w:w="415" w:type="pct"/>
            <w:shd w:val="clear" w:color="auto" w:fill="auto"/>
          </w:tcPr>
          <w:p w14:paraId="63677E89" w14:textId="77777777" w:rsidR="004B3499" w:rsidRPr="00BB5849" w:rsidRDefault="004B3499" w:rsidP="004B3499">
            <w:pPr>
              <w:spacing w:after="0" w:line="240" w:lineRule="auto"/>
              <w:rPr>
                <w:rFonts w:ascii="Arial" w:hAnsi="Arial" w:cs="Arial"/>
                <w:i/>
              </w:rPr>
            </w:pPr>
            <w:r w:rsidRPr="00BB5849">
              <w:rPr>
                <w:rFonts w:ascii="Arial" w:hAnsi="Arial" w:cs="Arial"/>
                <w:i/>
              </w:rPr>
              <w:t>8.5</w:t>
            </w:r>
          </w:p>
        </w:tc>
        <w:tc>
          <w:tcPr>
            <w:tcW w:w="415" w:type="pct"/>
            <w:shd w:val="clear" w:color="auto" w:fill="auto"/>
          </w:tcPr>
          <w:p w14:paraId="146E33E6" w14:textId="77777777" w:rsidR="004B3499" w:rsidRPr="00BB5849" w:rsidRDefault="004B3499" w:rsidP="004B3499">
            <w:pPr>
              <w:spacing w:after="0" w:line="240" w:lineRule="auto"/>
              <w:rPr>
                <w:rFonts w:ascii="Arial" w:hAnsi="Arial" w:cs="Arial"/>
                <w:i/>
              </w:rPr>
            </w:pPr>
            <w:r w:rsidRPr="00BB5849">
              <w:rPr>
                <w:rFonts w:ascii="Arial" w:hAnsi="Arial" w:cs="Arial"/>
                <w:i/>
              </w:rPr>
              <w:t>8.6</w:t>
            </w:r>
          </w:p>
        </w:tc>
        <w:tc>
          <w:tcPr>
            <w:tcW w:w="415" w:type="pct"/>
            <w:shd w:val="clear" w:color="auto" w:fill="auto"/>
          </w:tcPr>
          <w:p w14:paraId="62C9C822" w14:textId="77777777" w:rsidR="004B3499" w:rsidRPr="00BB5849" w:rsidRDefault="004B3499" w:rsidP="004B3499">
            <w:pPr>
              <w:spacing w:after="0" w:line="240" w:lineRule="auto"/>
              <w:rPr>
                <w:rFonts w:ascii="Arial" w:hAnsi="Arial" w:cs="Arial"/>
                <w:i/>
              </w:rPr>
            </w:pPr>
            <w:r w:rsidRPr="00BB5849">
              <w:rPr>
                <w:rFonts w:ascii="Arial" w:hAnsi="Arial" w:cs="Arial"/>
                <w:i/>
              </w:rPr>
              <w:t>9.1</w:t>
            </w:r>
          </w:p>
        </w:tc>
        <w:tc>
          <w:tcPr>
            <w:tcW w:w="415" w:type="pct"/>
            <w:shd w:val="clear" w:color="auto" w:fill="auto"/>
          </w:tcPr>
          <w:p w14:paraId="720FA86D" w14:textId="77777777" w:rsidR="004B3499" w:rsidRPr="00BB5849" w:rsidRDefault="004B3499" w:rsidP="004B3499">
            <w:pPr>
              <w:spacing w:after="0" w:line="240" w:lineRule="auto"/>
              <w:rPr>
                <w:rFonts w:ascii="Arial" w:hAnsi="Arial" w:cs="Arial"/>
                <w:i/>
              </w:rPr>
            </w:pPr>
            <w:r w:rsidRPr="00BB5849">
              <w:rPr>
                <w:rFonts w:ascii="Arial" w:hAnsi="Arial" w:cs="Arial"/>
                <w:i/>
              </w:rPr>
              <w:t>9.2</w:t>
            </w:r>
          </w:p>
        </w:tc>
        <w:tc>
          <w:tcPr>
            <w:tcW w:w="415" w:type="pct"/>
            <w:shd w:val="clear" w:color="auto" w:fill="auto"/>
          </w:tcPr>
          <w:p w14:paraId="5DBD42E6" w14:textId="77777777" w:rsidR="004B3499" w:rsidRPr="00BB5849" w:rsidRDefault="004B3499" w:rsidP="004B3499">
            <w:pPr>
              <w:spacing w:after="0" w:line="240" w:lineRule="auto"/>
              <w:rPr>
                <w:rFonts w:ascii="Arial" w:hAnsi="Arial" w:cs="Arial"/>
                <w:i/>
              </w:rPr>
            </w:pPr>
            <w:r w:rsidRPr="00BB5849">
              <w:rPr>
                <w:rFonts w:ascii="Arial" w:hAnsi="Arial" w:cs="Arial"/>
                <w:i/>
              </w:rPr>
              <w:t>9.3</w:t>
            </w:r>
          </w:p>
        </w:tc>
      </w:tr>
      <w:tr w:rsidR="004B3499" w:rsidRPr="00BB5849" w14:paraId="3298D7CC" w14:textId="77777777" w:rsidTr="004B3499">
        <w:trPr>
          <w:trHeight w:val="340"/>
        </w:trPr>
        <w:tc>
          <w:tcPr>
            <w:tcW w:w="1266" w:type="pct"/>
            <w:shd w:val="clear" w:color="auto" w:fill="D9D9D9"/>
          </w:tcPr>
          <w:p w14:paraId="15F80D16" w14:textId="77777777" w:rsidR="004B3499" w:rsidRPr="00BB5849" w:rsidRDefault="004B3499" w:rsidP="004B3499">
            <w:pPr>
              <w:spacing w:after="0" w:line="240" w:lineRule="auto"/>
              <w:rPr>
                <w:rFonts w:ascii="Arial" w:hAnsi="Arial" w:cs="Arial"/>
                <w:b/>
              </w:rPr>
            </w:pPr>
            <w:r w:rsidRPr="00BB5849">
              <w:rPr>
                <w:rFonts w:ascii="Arial" w:hAnsi="Arial" w:cs="Arial"/>
                <w:b/>
              </w:rPr>
              <w:t>Learning/ teaching method</w:t>
            </w:r>
          </w:p>
        </w:tc>
        <w:tc>
          <w:tcPr>
            <w:tcW w:w="415" w:type="pct"/>
            <w:shd w:val="clear" w:color="auto" w:fill="auto"/>
          </w:tcPr>
          <w:p w14:paraId="653D5897"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D7C8460"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2CEF49D1"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2EFA2FA"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6E4C38AB"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D26EF07"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59ACE9EF"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5997628B"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1FAC5DD8" w14:textId="77777777" w:rsidR="004B3499" w:rsidRPr="00BB5849" w:rsidRDefault="004B3499" w:rsidP="004B3499">
            <w:pPr>
              <w:spacing w:after="0" w:line="240" w:lineRule="auto"/>
              <w:rPr>
                <w:rFonts w:ascii="Arial" w:hAnsi="Arial" w:cs="Arial"/>
                <w:b/>
              </w:rPr>
            </w:pPr>
          </w:p>
        </w:tc>
      </w:tr>
      <w:tr w:rsidR="004B3499" w:rsidRPr="00BB5849" w14:paraId="5D01FFCD" w14:textId="77777777" w:rsidTr="004B3499">
        <w:trPr>
          <w:trHeight w:val="340"/>
        </w:trPr>
        <w:tc>
          <w:tcPr>
            <w:tcW w:w="1266" w:type="pct"/>
            <w:shd w:val="clear" w:color="auto" w:fill="auto"/>
          </w:tcPr>
          <w:p w14:paraId="2C9B8D05" w14:textId="77777777" w:rsidR="004B3499" w:rsidRPr="00BB5849" w:rsidRDefault="004B3499" w:rsidP="004B3499">
            <w:pPr>
              <w:spacing w:after="0" w:line="240" w:lineRule="auto"/>
              <w:rPr>
                <w:rFonts w:ascii="Arial" w:hAnsi="Arial" w:cs="Arial"/>
                <w:b/>
              </w:rPr>
            </w:pPr>
            <w:r w:rsidRPr="00BB5849">
              <w:rPr>
                <w:rFonts w:ascii="Arial" w:hAnsi="Arial" w:cs="Arial"/>
                <w:b/>
              </w:rPr>
              <w:t>Private Study</w:t>
            </w:r>
          </w:p>
        </w:tc>
        <w:tc>
          <w:tcPr>
            <w:tcW w:w="415" w:type="pct"/>
            <w:shd w:val="clear" w:color="auto" w:fill="auto"/>
          </w:tcPr>
          <w:p w14:paraId="012769D1"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601316C5"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75D64F9"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4F78EDB"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8303EB4"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0DE23C63"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B334FE6"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A8CEB4B"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4B2B73B0"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r>
      <w:tr w:rsidR="004B3499" w:rsidRPr="00BB5849" w14:paraId="7C4CCFC1" w14:textId="77777777" w:rsidTr="004B3499">
        <w:trPr>
          <w:trHeight w:val="340"/>
        </w:trPr>
        <w:tc>
          <w:tcPr>
            <w:tcW w:w="1266" w:type="pct"/>
            <w:shd w:val="clear" w:color="auto" w:fill="auto"/>
          </w:tcPr>
          <w:p w14:paraId="30BF45A6" w14:textId="77777777" w:rsidR="004B3499" w:rsidRPr="00BB5849" w:rsidRDefault="004B3499" w:rsidP="004B3499">
            <w:pPr>
              <w:spacing w:after="0" w:line="240" w:lineRule="auto"/>
              <w:rPr>
                <w:rFonts w:ascii="Arial" w:hAnsi="Arial" w:cs="Arial"/>
                <w:i/>
              </w:rPr>
            </w:pPr>
            <w:r w:rsidRPr="00BB5849">
              <w:rPr>
                <w:rFonts w:ascii="Arial" w:hAnsi="Arial" w:cs="Arial"/>
                <w:i/>
              </w:rPr>
              <w:t>Seminars</w:t>
            </w:r>
          </w:p>
        </w:tc>
        <w:tc>
          <w:tcPr>
            <w:tcW w:w="415" w:type="pct"/>
            <w:shd w:val="clear" w:color="auto" w:fill="auto"/>
          </w:tcPr>
          <w:p w14:paraId="2B7C125E"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1D96B73"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CFC09AC"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0C0BDEBC"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E6C7E35"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63327BA9"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2BEFC61"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3E4E3FE"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4F0B3714"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r>
      <w:tr w:rsidR="004B3499" w:rsidRPr="00BB5849" w14:paraId="42ED6CDB" w14:textId="77777777" w:rsidTr="004B3499">
        <w:trPr>
          <w:trHeight w:val="340"/>
        </w:trPr>
        <w:tc>
          <w:tcPr>
            <w:tcW w:w="1266" w:type="pct"/>
            <w:shd w:val="clear" w:color="auto" w:fill="D9D9D9"/>
          </w:tcPr>
          <w:p w14:paraId="29CB28FC" w14:textId="77777777" w:rsidR="004B3499" w:rsidRPr="00BB5849" w:rsidRDefault="004B3499" w:rsidP="004B3499">
            <w:pPr>
              <w:spacing w:after="0" w:line="240" w:lineRule="auto"/>
              <w:rPr>
                <w:rFonts w:ascii="Arial" w:hAnsi="Arial" w:cs="Arial"/>
                <w:b/>
              </w:rPr>
            </w:pPr>
            <w:r w:rsidRPr="00BB5849">
              <w:rPr>
                <w:rFonts w:ascii="Arial" w:hAnsi="Arial" w:cs="Arial"/>
                <w:b/>
              </w:rPr>
              <w:t>Assessment method</w:t>
            </w:r>
          </w:p>
        </w:tc>
        <w:tc>
          <w:tcPr>
            <w:tcW w:w="415" w:type="pct"/>
            <w:shd w:val="clear" w:color="auto" w:fill="auto"/>
          </w:tcPr>
          <w:p w14:paraId="20594C5F"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1CD38A7E"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A74BD2A"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6B89F9B4"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273D5B90"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7EE6FD0"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114469DD"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089DFAF6"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2FB16145" w14:textId="77777777" w:rsidR="004B3499" w:rsidRPr="00BB5849" w:rsidRDefault="004B3499" w:rsidP="004B3499">
            <w:pPr>
              <w:spacing w:after="0" w:line="240" w:lineRule="auto"/>
              <w:rPr>
                <w:rFonts w:ascii="Arial" w:hAnsi="Arial" w:cs="Arial"/>
                <w:b/>
              </w:rPr>
            </w:pPr>
          </w:p>
        </w:tc>
      </w:tr>
      <w:tr w:rsidR="004B3499" w:rsidRPr="00BB5849" w14:paraId="74CD8C73" w14:textId="77777777" w:rsidTr="004B3499">
        <w:trPr>
          <w:trHeight w:val="340"/>
        </w:trPr>
        <w:tc>
          <w:tcPr>
            <w:tcW w:w="1266" w:type="pct"/>
            <w:shd w:val="clear" w:color="auto" w:fill="auto"/>
          </w:tcPr>
          <w:p w14:paraId="2CA25590" w14:textId="191AD0DD" w:rsidR="004B3499" w:rsidRPr="00BB5849" w:rsidRDefault="004B3499" w:rsidP="004B3499">
            <w:pPr>
              <w:spacing w:after="0" w:line="240" w:lineRule="auto"/>
              <w:rPr>
                <w:rFonts w:ascii="Arial" w:hAnsi="Arial" w:cs="Arial"/>
                <w:i/>
              </w:rPr>
            </w:pPr>
            <w:r w:rsidRPr="00BB5849">
              <w:rPr>
                <w:rFonts w:ascii="Arial" w:hAnsi="Arial" w:cs="Arial"/>
                <w:i/>
              </w:rPr>
              <w:t xml:space="preserve">In-Course Test </w:t>
            </w:r>
          </w:p>
        </w:tc>
        <w:tc>
          <w:tcPr>
            <w:tcW w:w="415" w:type="pct"/>
            <w:shd w:val="clear" w:color="auto" w:fill="auto"/>
          </w:tcPr>
          <w:p w14:paraId="5F9799F0"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5F96C18"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CB4C1BD"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D795484"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2AC1229"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E41904D"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449B8E9"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B477B71"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40576BC0"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r>
      <w:tr w:rsidR="004B3499" w:rsidRPr="00BB5849" w14:paraId="79A02691" w14:textId="77777777" w:rsidTr="004B3499">
        <w:trPr>
          <w:trHeight w:val="340"/>
        </w:trPr>
        <w:tc>
          <w:tcPr>
            <w:tcW w:w="1266" w:type="pct"/>
            <w:shd w:val="clear" w:color="auto" w:fill="auto"/>
          </w:tcPr>
          <w:p w14:paraId="0C92009B" w14:textId="6A4CD996" w:rsidR="004B3499" w:rsidRPr="00BB5849" w:rsidRDefault="004B3499" w:rsidP="004B3499">
            <w:pPr>
              <w:spacing w:after="0" w:line="240" w:lineRule="auto"/>
              <w:rPr>
                <w:rFonts w:ascii="Arial" w:hAnsi="Arial" w:cs="Arial"/>
                <w:i/>
              </w:rPr>
            </w:pPr>
            <w:r w:rsidRPr="00BB5849">
              <w:rPr>
                <w:rFonts w:ascii="Arial" w:hAnsi="Arial" w:cs="Arial"/>
                <w:i/>
              </w:rPr>
              <w:t xml:space="preserve">Short Written Assignment </w:t>
            </w:r>
          </w:p>
        </w:tc>
        <w:tc>
          <w:tcPr>
            <w:tcW w:w="415" w:type="pct"/>
            <w:shd w:val="clear" w:color="auto" w:fill="auto"/>
          </w:tcPr>
          <w:p w14:paraId="75B481EE"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8E97622"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1F65B4C5"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BD4A8CF"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485CCC5D"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2B18EA59"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5E314A5"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39C069D"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3B67480"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r>
      <w:tr w:rsidR="004B3499" w:rsidRPr="00BB5849" w14:paraId="07A52AF7" w14:textId="77777777" w:rsidTr="004B3499">
        <w:trPr>
          <w:trHeight w:val="340"/>
        </w:trPr>
        <w:tc>
          <w:tcPr>
            <w:tcW w:w="1266" w:type="pct"/>
            <w:shd w:val="clear" w:color="auto" w:fill="auto"/>
          </w:tcPr>
          <w:p w14:paraId="7AB5D18E" w14:textId="09EC2010" w:rsidR="004B3499" w:rsidRPr="00BB5849" w:rsidRDefault="004B3499" w:rsidP="004B3499">
            <w:pPr>
              <w:spacing w:after="0" w:line="240" w:lineRule="auto"/>
              <w:rPr>
                <w:rFonts w:ascii="Arial" w:hAnsi="Arial" w:cs="Arial"/>
                <w:i/>
              </w:rPr>
            </w:pPr>
            <w:r w:rsidRPr="00BB5849">
              <w:rPr>
                <w:rFonts w:ascii="Arial" w:hAnsi="Arial" w:cs="Arial"/>
                <w:i/>
              </w:rPr>
              <w:t xml:space="preserve">Essay </w:t>
            </w:r>
          </w:p>
        </w:tc>
        <w:tc>
          <w:tcPr>
            <w:tcW w:w="415" w:type="pct"/>
            <w:shd w:val="clear" w:color="auto" w:fill="auto"/>
          </w:tcPr>
          <w:p w14:paraId="0DE11608"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0F16F817"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7F385342"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EDF0111"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C38A6D8"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646572C0"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2F01821"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6FDA5E6F"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765CE39"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A06860" w14:textId="10860C05" w:rsidR="00B73048" w:rsidRPr="00BF22EA" w:rsidRDefault="00B73048" w:rsidP="00E71DC5">
      <w:pPr>
        <w:pStyle w:val="ListParagraph"/>
        <w:autoSpaceDE w:val="0"/>
        <w:autoSpaceDN w:val="0"/>
        <w:adjustRightInd w:val="0"/>
        <w:spacing w:after="120" w:line="240" w:lineRule="auto"/>
        <w:ind w:left="360"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 specifically been designed on this module to include materials which include a focus on interna</w:t>
      </w:r>
      <w:r>
        <w:rPr>
          <w:rFonts w:ascii="Arial" w:hAnsi="Arial" w:cs="Arial"/>
        </w:rPr>
        <w:t xml:space="preserve">tional themes in journal articles selected. </w:t>
      </w:r>
      <w:r w:rsidRPr="00BF22EA">
        <w:rPr>
          <w:rFonts w:ascii="Arial" w:hAnsi="Arial" w:cs="Arial"/>
        </w:rPr>
        <w:t xml:space="preserve">In addition, a number of TED talks which feature international speakers have been selected to help improve listening skills. </w:t>
      </w:r>
      <w:r>
        <w:rPr>
          <w:rFonts w:ascii="Arial" w:hAnsi="Arial" w:cs="Arial"/>
        </w:rPr>
        <w:t>Students are also encouraged to reflect upon their varying cultural contexts within class discussions to appreciate standpoints from a variety of perspectives.</w:t>
      </w:r>
    </w:p>
    <w:p w14:paraId="11D0847D" w14:textId="687A097F" w:rsidR="00B73048" w:rsidRPr="00F643FF" w:rsidRDefault="00B73048" w:rsidP="00E71DC5">
      <w:pPr>
        <w:pStyle w:val="CommentText"/>
        <w:spacing w:after="120"/>
        <w:ind w:left="360" w:right="261"/>
        <w:jc w:val="both"/>
        <w:rPr>
          <w:rFonts w:ascii="Arial" w:hAnsi="Arial" w:cs="Arial"/>
          <w:b/>
        </w:rPr>
      </w:pP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B3499" w:rsidRPr="00302082" w14:paraId="6711280C" w14:textId="77777777" w:rsidTr="00694309">
        <w:trPr>
          <w:trHeight w:val="305"/>
        </w:trPr>
        <w:tc>
          <w:tcPr>
            <w:tcW w:w="1526" w:type="dxa"/>
          </w:tcPr>
          <w:p w14:paraId="62321779" w14:textId="704B40A3" w:rsidR="004B3499" w:rsidRPr="00851140" w:rsidRDefault="004B3499" w:rsidP="004B3499">
            <w:pPr>
              <w:spacing w:after="120"/>
              <w:ind w:right="-330"/>
              <w:rPr>
                <w:rFonts w:ascii="Arial" w:hAnsi="Arial" w:cs="Arial"/>
                <w:sz w:val="18"/>
                <w:szCs w:val="18"/>
              </w:rPr>
            </w:pPr>
            <w:r w:rsidRPr="00BB5849">
              <w:rPr>
                <w:rFonts w:ascii="Arial" w:hAnsi="Arial" w:cs="Arial"/>
                <w:sz w:val="18"/>
                <w:szCs w:val="18"/>
              </w:rPr>
              <w:t>03/06/16</w:t>
            </w:r>
          </w:p>
        </w:tc>
        <w:tc>
          <w:tcPr>
            <w:tcW w:w="1701" w:type="dxa"/>
          </w:tcPr>
          <w:p w14:paraId="36BB6D80" w14:textId="7A92A928" w:rsidR="004B3499" w:rsidRPr="00851140" w:rsidRDefault="004B3499" w:rsidP="004B3499">
            <w:pPr>
              <w:spacing w:after="120"/>
              <w:ind w:right="-330"/>
              <w:rPr>
                <w:rFonts w:ascii="Arial" w:hAnsi="Arial" w:cs="Arial"/>
                <w:sz w:val="18"/>
                <w:szCs w:val="18"/>
              </w:rPr>
            </w:pPr>
            <w:r w:rsidRPr="00BB5849">
              <w:rPr>
                <w:rFonts w:ascii="Arial" w:hAnsi="Arial" w:cs="Arial"/>
                <w:sz w:val="18"/>
                <w:szCs w:val="18"/>
              </w:rPr>
              <w:t>Major</w:t>
            </w:r>
          </w:p>
        </w:tc>
        <w:tc>
          <w:tcPr>
            <w:tcW w:w="2410" w:type="dxa"/>
          </w:tcPr>
          <w:p w14:paraId="4F649A98" w14:textId="5BA0ECA2" w:rsidR="004B3499" w:rsidRPr="00851140" w:rsidRDefault="004B3499" w:rsidP="004B3499">
            <w:pPr>
              <w:spacing w:after="120"/>
              <w:ind w:right="-330"/>
              <w:rPr>
                <w:rFonts w:ascii="Arial" w:hAnsi="Arial" w:cs="Arial"/>
                <w:sz w:val="18"/>
                <w:szCs w:val="18"/>
              </w:rPr>
            </w:pPr>
            <w:r w:rsidRPr="00BB5849">
              <w:rPr>
                <w:rFonts w:ascii="Arial" w:hAnsi="Arial" w:cs="Arial"/>
                <w:sz w:val="18"/>
                <w:szCs w:val="18"/>
              </w:rPr>
              <w:t>January 2017</w:t>
            </w:r>
          </w:p>
        </w:tc>
        <w:tc>
          <w:tcPr>
            <w:tcW w:w="2448" w:type="dxa"/>
          </w:tcPr>
          <w:p w14:paraId="618BA3EA" w14:textId="51B0B92A" w:rsidR="004B3499" w:rsidRPr="00851140" w:rsidRDefault="004B3499" w:rsidP="004B3499">
            <w:pPr>
              <w:spacing w:after="120"/>
              <w:ind w:right="-330"/>
              <w:rPr>
                <w:rFonts w:ascii="Arial" w:hAnsi="Arial" w:cs="Arial"/>
                <w:sz w:val="18"/>
                <w:szCs w:val="18"/>
              </w:rPr>
            </w:pPr>
            <w:r w:rsidRPr="00BB5849">
              <w:rPr>
                <w:rFonts w:ascii="Arial" w:hAnsi="Arial" w:cs="Arial"/>
                <w:sz w:val="18"/>
                <w:szCs w:val="18"/>
              </w:rPr>
              <w:t>8, 9, 12-14</w:t>
            </w:r>
          </w:p>
        </w:tc>
        <w:tc>
          <w:tcPr>
            <w:tcW w:w="2597" w:type="dxa"/>
          </w:tcPr>
          <w:p w14:paraId="451C3B06" w14:textId="6E54862C" w:rsidR="004B3499" w:rsidRPr="00851140" w:rsidRDefault="004B3499" w:rsidP="004B3499">
            <w:pPr>
              <w:spacing w:after="120"/>
              <w:ind w:right="-330"/>
              <w:rPr>
                <w:rFonts w:ascii="Arial" w:hAnsi="Arial" w:cs="Arial"/>
                <w:sz w:val="18"/>
                <w:szCs w:val="18"/>
              </w:rPr>
            </w:pPr>
            <w:r w:rsidRPr="00BB5849">
              <w:rPr>
                <w:rFonts w:ascii="Arial" w:hAnsi="Arial" w:cs="Arial"/>
                <w:sz w:val="18"/>
                <w:szCs w:val="18"/>
              </w:rPr>
              <w:t>No</w:t>
            </w:r>
          </w:p>
        </w:tc>
      </w:tr>
      <w:tr w:rsidR="002F1C8A" w:rsidRPr="00302082" w14:paraId="65C3E15E" w14:textId="77777777" w:rsidTr="00694309">
        <w:trPr>
          <w:trHeight w:val="305"/>
        </w:trPr>
        <w:tc>
          <w:tcPr>
            <w:tcW w:w="1526" w:type="dxa"/>
          </w:tcPr>
          <w:p w14:paraId="183A5085" w14:textId="77777777" w:rsidR="002F1C8A" w:rsidRPr="00302082" w:rsidRDefault="002F1C8A" w:rsidP="002F1C8A">
            <w:pPr>
              <w:spacing w:after="120"/>
              <w:ind w:right="-330"/>
              <w:rPr>
                <w:rFonts w:ascii="Arial" w:hAnsi="Arial" w:cs="Arial"/>
              </w:rPr>
            </w:pPr>
          </w:p>
        </w:tc>
        <w:tc>
          <w:tcPr>
            <w:tcW w:w="1701" w:type="dxa"/>
          </w:tcPr>
          <w:p w14:paraId="102FB0F9" w14:textId="77777777" w:rsidR="002F1C8A" w:rsidRPr="00302082" w:rsidRDefault="002F1C8A" w:rsidP="002F1C8A">
            <w:pPr>
              <w:spacing w:after="120"/>
              <w:ind w:right="-330"/>
              <w:rPr>
                <w:rFonts w:ascii="Arial" w:hAnsi="Arial" w:cs="Arial"/>
              </w:rPr>
            </w:pPr>
          </w:p>
        </w:tc>
        <w:tc>
          <w:tcPr>
            <w:tcW w:w="2410" w:type="dxa"/>
          </w:tcPr>
          <w:p w14:paraId="10A4EBD8" w14:textId="77777777" w:rsidR="002F1C8A" w:rsidRPr="00302082" w:rsidRDefault="002F1C8A" w:rsidP="002F1C8A">
            <w:pPr>
              <w:spacing w:after="120"/>
              <w:ind w:right="-330"/>
              <w:rPr>
                <w:rFonts w:ascii="Arial" w:hAnsi="Arial" w:cs="Arial"/>
              </w:rPr>
            </w:pPr>
          </w:p>
        </w:tc>
        <w:tc>
          <w:tcPr>
            <w:tcW w:w="2448" w:type="dxa"/>
          </w:tcPr>
          <w:p w14:paraId="21F87777" w14:textId="77777777" w:rsidR="002F1C8A" w:rsidRPr="00302082" w:rsidRDefault="002F1C8A" w:rsidP="002F1C8A">
            <w:pPr>
              <w:spacing w:after="120"/>
              <w:ind w:right="-330"/>
              <w:rPr>
                <w:rFonts w:ascii="Arial" w:hAnsi="Arial" w:cs="Arial"/>
              </w:rPr>
            </w:pPr>
          </w:p>
        </w:tc>
        <w:tc>
          <w:tcPr>
            <w:tcW w:w="2597" w:type="dxa"/>
          </w:tcPr>
          <w:p w14:paraId="540BDA55" w14:textId="77777777" w:rsidR="002F1C8A" w:rsidRPr="00302082" w:rsidRDefault="002F1C8A" w:rsidP="002F1C8A">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F69334B" w:rsidR="008B2543" w:rsidRDefault="0019787E" w:rsidP="009A2D37">
        <w:pPr>
          <w:pStyle w:val="Footer"/>
          <w:jc w:val="center"/>
        </w:pPr>
        <w:r>
          <w:fldChar w:fldCharType="begin"/>
        </w:r>
        <w:r>
          <w:instrText xml:space="preserve"> PAGE   \* MERGEFORMAT </w:instrText>
        </w:r>
        <w:r>
          <w:fldChar w:fldCharType="separate"/>
        </w:r>
        <w:r w:rsidR="00605970">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28"/>
  </w:num>
  <w:num w:numId="6">
    <w:abstractNumId w:val="24"/>
  </w:num>
  <w:num w:numId="7">
    <w:abstractNumId w:val="33"/>
  </w:num>
  <w:num w:numId="8">
    <w:abstractNumId w:val="27"/>
  </w:num>
  <w:num w:numId="9">
    <w:abstractNumId w:val="15"/>
  </w:num>
  <w:num w:numId="10">
    <w:abstractNumId w:val="32"/>
  </w:num>
  <w:num w:numId="11">
    <w:abstractNumId w:val="5"/>
  </w:num>
  <w:num w:numId="12">
    <w:abstractNumId w:val="6"/>
  </w:num>
  <w:num w:numId="13">
    <w:abstractNumId w:val="10"/>
  </w:num>
  <w:num w:numId="14">
    <w:abstractNumId w:val="21"/>
  </w:num>
  <w:num w:numId="15">
    <w:abstractNumId w:val="19"/>
  </w:num>
  <w:num w:numId="16">
    <w:abstractNumId w:val="30"/>
  </w:num>
  <w:num w:numId="17">
    <w:abstractNumId w:val="20"/>
  </w:num>
  <w:num w:numId="18">
    <w:abstractNumId w:val="23"/>
  </w:num>
  <w:num w:numId="19">
    <w:abstractNumId w:val="12"/>
  </w:num>
  <w:num w:numId="20">
    <w:abstractNumId w:val="25"/>
  </w:num>
  <w:num w:numId="21">
    <w:abstractNumId w:val="4"/>
  </w:num>
  <w:num w:numId="22">
    <w:abstractNumId w:val="7"/>
  </w:num>
  <w:num w:numId="23">
    <w:abstractNumId w:val="11"/>
  </w:num>
  <w:num w:numId="24">
    <w:abstractNumId w:val="2"/>
  </w:num>
  <w:num w:numId="25">
    <w:abstractNumId w:val="8"/>
  </w:num>
  <w:num w:numId="26">
    <w:abstractNumId w:val="18"/>
  </w:num>
  <w:num w:numId="27">
    <w:abstractNumId w:val="17"/>
  </w:num>
  <w:num w:numId="28">
    <w:abstractNumId w:val="13"/>
  </w:num>
  <w:num w:numId="29">
    <w:abstractNumId w:val="16"/>
  </w:num>
  <w:num w:numId="30">
    <w:abstractNumId w:val="22"/>
  </w:num>
  <w:num w:numId="31">
    <w:abstractNumId w:val="1"/>
  </w:num>
  <w:num w:numId="32">
    <w:abstractNumId w:val="31"/>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8A"/>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7C98"/>
    <w:rsid w:val="004A39D7"/>
    <w:rsid w:val="004A55FA"/>
    <w:rsid w:val="004B3499"/>
    <w:rsid w:val="004B5D03"/>
    <w:rsid w:val="004C1EC4"/>
    <w:rsid w:val="004C2AD8"/>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05970"/>
    <w:rsid w:val="00612B9D"/>
    <w:rsid w:val="006131E0"/>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610"/>
    <w:rsid w:val="00B17CD2"/>
    <w:rsid w:val="00B213D2"/>
    <w:rsid w:val="00B248BA"/>
    <w:rsid w:val="00B24B56"/>
    <w:rsid w:val="00B30E07"/>
    <w:rsid w:val="00B34ADD"/>
    <w:rsid w:val="00B52FF5"/>
    <w:rsid w:val="00B5498B"/>
    <w:rsid w:val="00B57219"/>
    <w:rsid w:val="00B658A3"/>
    <w:rsid w:val="00B7304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CF350D"/>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DC5"/>
    <w:rsid w:val="00E71F2F"/>
    <w:rsid w:val="00E77786"/>
    <w:rsid w:val="00E806FB"/>
    <w:rsid w:val="00EB1C2D"/>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3FF"/>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3AMX4D3CU3N3-1454917733-77</_dlc_DocId>
    <_dlc_DocIdUrl xmlns="ef2b9e05-657a-4dc1-8c6c-679bdea18f38">
      <Url>https://sharepoint.kent.ac.uk/fso/cmaproject/_layouts/15/DocIdRedir.aspx?ID=3AMX4D3CU3N3-1454917733-77</Url>
      <Description>3AMX4D3CU3N3-1454917733-77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830F-FADA-4954-A8B6-C671420F8DDC}">
  <ds:schemaRefs>
    <ds:schemaRef ds:uri="http://schemas.microsoft.com/sharepoint/v3/contenttype/forms"/>
  </ds:schemaRefs>
</ds:datastoreItem>
</file>

<file path=customXml/itemProps2.xml><?xml version="1.0" encoding="utf-8"?>
<ds:datastoreItem xmlns:ds="http://schemas.openxmlformats.org/officeDocument/2006/customXml" ds:itemID="{A0C562C5-78E8-4888-9860-0489DACA22FF}">
  <ds:schemaRefs>
    <ds:schemaRef ds:uri="http://schemas.microsoft.com/sharepoint/events"/>
  </ds:schemaRefs>
</ds:datastoreItem>
</file>

<file path=customXml/itemProps3.xml><?xml version="1.0" encoding="utf-8"?>
<ds:datastoreItem xmlns:ds="http://schemas.openxmlformats.org/officeDocument/2006/customXml" ds:itemID="{D55F0D04-24CB-4807-83C2-90A75CB07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B7E68-92DC-48FF-B19B-EED4D82DCED1}">
  <ds:schemaRef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94363B6E-4A68-43CD-95EF-D0703C6B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4</cp:revision>
  <cp:lastPrinted>2015-09-09T08:37:00Z</cp:lastPrinted>
  <dcterms:created xsi:type="dcterms:W3CDTF">2018-03-13T09:23:00Z</dcterms:created>
  <dcterms:modified xsi:type="dcterms:W3CDTF">2018-03-28T14:34:00Z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ff51f13d-1cfe-4424-a874-091afba3353b</vt:lpwstr>
  </property>
</Properties>
</file>