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F5EBD" w:rsidR="004E3671" w:rsidP="00E154F3" w:rsidRDefault="004E3671" w14:paraId="76B66733" w14:textId="77777777">
      <w:pPr>
        <w:pStyle w:val="Title"/>
        <w:ind w:left="0" w:firstLine="0"/>
      </w:pPr>
      <w:r w:rsidRPr="00AF5EBD">
        <w:t>Academic Regulations for Taught Courses of Study</w:t>
      </w:r>
    </w:p>
    <w:p w:rsidRPr="00AF5EBD" w:rsidR="004E3671" w:rsidP="00D025AC" w:rsidRDefault="004E3671" w14:paraId="4EA207A3" w14:textId="77777777">
      <w:pPr>
        <w:tabs>
          <w:tab w:val="left" w:pos="993"/>
        </w:tabs>
        <w:autoSpaceDE w:val="0"/>
        <w:autoSpaceDN w:val="0"/>
        <w:adjustRightInd w:val="0"/>
        <w:ind w:left="993" w:right="237" w:hanging="709"/>
        <w:rPr>
          <w:b/>
          <w:szCs w:val="24"/>
        </w:rPr>
      </w:pPr>
    </w:p>
    <w:sdt>
      <w:sdtPr>
        <w:rPr>
          <w:rFonts w:ascii="Arial" w:hAnsi="Arial" w:eastAsia="Arial" w:cs="Arial"/>
          <w:color w:val="000000"/>
          <w:sz w:val="24"/>
          <w:szCs w:val="22"/>
          <w:lang w:val="en-GB" w:eastAsia="en-GB"/>
        </w:rPr>
        <w:id w:val="482587596"/>
        <w:docPartObj>
          <w:docPartGallery w:val="Table of Contents"/>
          <w:docPartUnique/>
        </w:docPartObj>
      </w:sdtPr>
      <w:sdtEndPr>
        <w:rPr>
          <w:b/>
          <w:bCs/>
          <w:noProof/>
          <w:szCs w:val="24"/>
        </w:rPr>
      </w:sdtEndPr>
      <w:sdtContent>
        <w:p w:rsidRPr="00935956" w:rsidR="00D025AC" w:rsidP="00935956" w:rsidRDefault="00D025AC" w14:paraId="3EEC363E" w14:textId="580ECBB4">
          <w:pPr>
            <w:pStyle w:val="TOCHeading"/>
            <w:spacing w:before="0" w:after="120" w:line="240" w:lineRule="auto"/>
            <w:rPr>
              <w:rFonts w:ascii="Arial" w:hAnsi="Arial" w:cs="Arial"/>
              <w:b/>
              <w:bCs/>
              <w:color w:val="auto"/>
              <w:sz w:val="24"/>
              <w:szCs w:val="24"/>
            </w:rPr>
          </w:pPr>
          <w:r w:rsidRPr="00935956">
            <w:rPr>
              <w:rFonts w:ascii="Arial" w:hAnsi="Arial" w:cs="Arial"/>
              <w:b/>
              <w:bCs/>
              <w:color w:val="auto"/>
              <w:sz w:val="24"/>
              <w:szCs w:val="24"/>
            </w:rPr>
            <w:t>Contents</w:t>
          </w:r>
        </w:p>
        <w:p w:rsidR="00935956" w:rsidP="00935956" w:rsidRDefault="00D025AC" w14:paraId="06731C45" w14:textId="2DEA5B97">
          <w:pPr>
            <w:pStyle w:val="TOC1"/>
            <w:tabs>
              <w:tab w:val="right" w:leader="dot" w:pos="9016"/>
            </w:tabs>
            <w:ind w:left="567" w:hanging="567"/>
            <w:rPr>
              <w:rFonts w:asciiTheme="minorHAnsi" w:hAnsiTheme="minorHAnsi" w:eastAsiaTheme="minorEastAsia" w:cstheme="minorBidi"/>
              <w:noProof/>
              <w:color w:val="auto"/>
              <w:sz w:val="22"/>
              <w:lang w:eastAsia="zh-CN"/>
            </w:rPr>
          </w:pPr>
          <w:r w:rsidRPr="00D025AC">
            <w:rPr>
              <w:szCs w:val="24"/>
            </w:rPr>
            <w:fldChar w:fldCharType="begin"/>
          </w:r>
          <w:r w:rsidRPr="00D025AC">
            <w:rPr>
              <w:szCs w:val="24"/>
            </w:rPr>
            <w:instrText xml:space="preserve"> TOC \o "1-3" \h \z \u </w:instrText>
          </w:r>
          <w:r w:rsidRPr="00D025AC">
            <w:rPr>
              <w:szCs w:val="24"/>
            </w:rPr>
            <w:fldChar w:fldCharType="separate"/>
          </w:r>
          <w:hyperlink w:history="1" w:anchor="_Toc87449561">
            <w:r w:rsidRPr="00F75011" w:rsidR="00935956">
              <w:rPr>
                <w:rStyle w:val="Hyperlink"/>
                <w:bCs/>
                <w:noProof/>
              </w:rPr>
              <w:t>1.</w:t>
            </w:r>
            <w:r w:rsidR="00935956">
              <w:rPr>
                <w:rFonts w:asciiTheme="minorHAnsi" w:hAnsiTheme="minorHAnsi" w:eastAsiaTheme="minorEastAsia" w:cstheme="minorBidi"/>
                <w:noProof/>
                <w:color w:val="auto"/>
                <w:sz w:val="22"/>
                <w:lang w:eastAsia="zh-CN"/>
              </w:rPr>
              <w:tab/>
            </w:r>
            <w:r w:rsidRPr="00F75011" w:rsidR="00935956">
              <w:rPr>
                <w:rStyle w:val="Hyperlink"/>
                <w:noProof/>
              </w:rPr>
              <w:t>Definition of Terms</w:t>
            </w:r>
            <w:r w:rsidR="00935956">
              <w:rPr>
                <w:noProof/>
                <w:webHidden/>
              </w:rPr>
              <w:tab/>
            </w:r>
            <w:r w:rsidR="00935956">
              <w:rPr>
                <w:noProof/>
                <w:webHidden/>
              </w:rPr>
              <w:fldChar w:fldCharType="begin"/>
            </w:r>
            <w:r w:rsidR="00935956">
              <w:rPr>
                <w:noProof/>
                <w:webHidden/>
              </w:rPr>
              <w:instrText xml:space="preserve"> PAGEREF _Toc87449561 \h </w:instrText>
            </w:r>
            <w:r w:rsidR="00935956">
              <w:rPr>
                <w:noProof/>
                <w:webHidden/>
              </w:rPr>
            </w:r>
            <w:r w:rsidR="00935956">
              <w:rPr>
                <w:noProof/>
                <w:webHidden/>
              </w:rPr>
              <w:fldChar w:fldCharType="separate"/>
            </w:r>
            <w:r w:rsidR="00535CF8">
              <w:rPr>
                <w:noProof/>
                <w:webHidden/>
              </w:rPr>
              <w:t>2</w:t>
            </w:r>
            <w:r w:rsidR="00935956">
              <w:rPr>
                <w:noProof/>
                <w:webHidden/>
              </w:rPr>
              <w:fldChar w:fldCharType="end"/>
            </w:r>
          </w:hyperlink>
        </w:p>
        <w:p w:rsidR="00935956" w:rsidP="00935956" w:rsidRDefault="00BF2FB5" w14:paraId="091041A3" w14:textId="6D2888F1">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7449562">
            <w:r w:rsidRPr="00F75011" w:rsidR="00935956">
              <w:rPr>
                <w:rStyle w:val="Hyperlink"/>
                <w:bCs/>
                <w:noProof/>
              </w:rPr>
              <w:t>2.</w:t>
            </w:r>
            <w:r w:rsidR="00935956">
              <w:rPr>
                <w:rFonts w:asciiTheme="minorHAnsi" w:hAnsiTheme="minorHAnsi" w:eastAsiaTheme="minorEastAsia" w:cstheme="minorBidi"/>
                <w:noProof/>
                <w:color w:val="auto"/>
                <w:sz w:val="22"/>
                <w:lang w:eastAsia="zh-CN"/>
              </w:rPr>
              <w:tab/>
            </w:r>
            <w:r w:rsidRPr="00F75011" w:rsidR="00935956">
              <w:rPr>
                <w:rStyle w:val="Hyperlink"/>
                <w:noProof/>
              </w:rPr>
              <w:t>Scope</w:t>
            </w:r>
            <w:r w:rsidR="00935956">
              <w:rPr>
                <w:noProof/>
                <w:webHidden/>
              </w:rPr>
              <w:tab/>
            </w:r>
            <w:r w:rsidR="00935956">
              <w:rPr>
                <w:noProof/>
                <w:webHidden/>
              </w:rPr>
              <w:fldChar w:fldCharType="begin"/>
            </w:r>
            <w:r w:rsidR="00935956">
              <w:rPr>
                <w:noProof/>
                <w:webHidden/>
              </w:rPr>
              <w:instrText xml:space="preserve"> PAGEREF _Toc87449562 \h </w:instrText>
            </w:r>
            <w:r w:rsidR="00935956">
              <w:rPr>
                <w:noProof/>
                <w:webHidden/>
              </w:rPr>
            </w:r>
            <w:r w:rsidR="00935956">
              <w:rPr>
                <w:noProof/>
                <w:webHidden/>
              </w:rPr>
              <w:fldChar w:fldCharType="separate"/>
            </w:r>
            <w:r w:rsidR="00535CF8">
              <w:rPr>
                <w:noProof/>
                <w:webHidden/>
              </w:rPr>
              <w:t>2</w:t>
            </w:r>
            <w:r w:rsidR="00935956">
              <w:rPr>
                <w:noProof/>
                <w:webHidden/>
              </w:rPr>
              <w:fldChar w:fldCharType="end"/>
            </w:r>
          </w:hyperlink>
        </w:p>
        <w:p w:rsidR="00935956" w:rsidP="00935956" w:rsidRDefault="00BF2FB5" w14:paraId="4FB2B107" w14:textId="590CDE6D">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7449563">
            <w:r w:rsidRPr="00F75011" w:rsidR="00935956">
              <w:rPr>
                <w:rStyle w:val="Hyperlink"/>
                <w:bCs/>
                <w:noProof/>
              </w:rPr>
              <w:t>3.</w:t>
            </w:r>
            <w:r w:rsidR="00935956">
              <w:rPr>
                <w:rFonts w:asciiTheme="minorHAnsi" w:hAnsiTheme="minorHAnsi" w:eastAsiaTheme="minorEastAsia" w:cstheme="minorBidi"/>
                <w:noProof/>
                <w:color w:val="auto"/>
                <w:sz w:val="22"/>
                <w:lang w:eastAsia="zh-CN"/>
              </w:rPr>
              <w:tab/>
            </w:r>
            <w:r w:rsidRPr="00F75011" w:rsidR="00935956">
              <w:rPr>
                <w:rStyle w:val="Hyperlink"/>
                <w:noProof/>
              </w:rPr>
              <w:t>Admission</w:t>
            </w:r>
            <w:r w:rsidR="00935956">
              <w:rPr>
                <w:noProof/>
                <w:webHidden/>
              </w:rPr>
              <w:tab/>
            </w:r>
            <w:r w:rsidR="00935956">
              <w:rPr>
                <w:noProof/>
                <w:webHidden/>
              </w:rPr>
              <w:fldChar w:fldCharType="begin"/>
            </w:r>
            <w:r w:rsidR="00935956">
              <w:rPr>
                <w:noProof/>
                <w:webHidden/>
              </w:rPr>
              <w:instrText xml:space="preserve"> PAGEREF _Toc87449563 \h </w:instrText>
            </w:r>
            <w:r w:rsidR="00935956">
              <w:rPr>
                <w:noProof/>
                <w:webHidden/>
              </w:rPr>
            </w:r>
            <w:r w:rsidR="00935956">
              <w:rPr>
                <w:noProof/>
                <w:webHidden/>
              </w:rPr>
              <w:fldChar w:fldCharType="separate"/>
            </w:r>
            <w:r w:rsidR="00535CF8">
              <w:rPr>
                <w:noProof/>
                <w:webHidden/>
              </w:rPr>
              <w:t>2</w:t>
            </w:r>
            <w:r w:rsidR="00935956">
              <w:rPr>
                <w:noProof/>
                <w:webHidden/>
              </w:rPr>
              <w:fldChar w:fldCharType="end"/>
            </w:r>
          </w:hyperlink>
        </w:p>
        <w:p w:rsidR="00935956" w:rsidP="00935956" w:rsidRDefault="00BF2FB5" w14:paraId="153E36D5" w14:textId="7A11D426">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7449564">
            <w:r w:rsidRPr="00F75011" w:rsidR="00935956">
              <w:rPr>
                <w:rStyle w:val="Hyperlink"/>
                <w:bCs/>
                <w:noProof/>
              </w:rPr>
              <w:t>4.</w:t>
            </w:r>
            <w:r w:rsidR="00935956">
              <w:rPr>
                <w:rFonts w:asciiTheme="minorHAnsi" w:hAnsiTheme="minorHAnsi" w:eastAsiaTheme="minorEastAsia" w:cstheme="minorBidi"/>
                <w:noProof/>
                <w:color w:val="auto"/>
                <w:sz w:val="22"/>
                <w:lang w:eastAsia="zh-CN"/>
              </w:rPr>
              <w:tab/>
            </w:r>
            <w:r w:rsidRPr="00F75011" w:rsidR="00935956">
              <w:rPr>
                <w:rStyle w:val="Hyperlink"/>
                <w:noProof/>
              </w:rPr>
              <w:t>Period and Level of Study</w:t>
            </w:r>
            <w:r w:rsidR="00935956">
              <w:rPr>
                <w:noProof/>
                <w:webHidden/>
              </w:rPr>
              <w:tab/>
            </w:r>
            <w:r w:rsidR="00935956">
              <w:rPr>
                <w:noProof/>
                <w:webHidden/>
              </w:rPr>
              <w:fldChar w:fldCharType="begin"/>
            </w:r>
            <w:r w:rsidR="00935956">
              <w:rPr>
                <w:noProof/>
                <w:webHidden/>
              </w:rPr>
              <w:instrText xml:space="preserve"> PAGEREF _Toc87449564 \h </w:instrText>
            </w:r>
            <w:r w:rsidR="00935956">
              <w:rPr>
                <w:noProof/>
                <w:webHidden/>
              </w:rPr>
            </w:r>
            <w:r w:rsidR="00935956">
              <w:rPr>
                <w:noProof/>
                <w:webHidden/>
              </w:rPr>
              <w:fldChar w:fldCharType="separate"/>
            </w:r>
            <w:r w:rsidR="00535CF8">
              <w:rPr>
                <w:noProof/>
                <w:webHidden/>
              </w:rPr>
              <w:t>3</w:t>
            </w:r>
            <w:r w:rsidR="00935956">
              <w:rPr>
                <w:noProof/>
                <w:webHidden/>
              </w:rPr>
              <w:fldChar w:fldCharType="end"/>
            </w:r>
          </w:hyperlink>
        </w:p>
        <w:p w:rsidR="00935956" w:rsidP="00935956" w:rsidRDefault="00BF2FB5" w14:paraId="0ECA4254" w14:textId="692731AF">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7449565">
            <w:r w:rsidRPr="00F75011" w:rsidR="00935956">
              <w:rPr>
                <w:rStyle w:val="Hyperlink"/>
                <w:bCs/>
                <w:noProof/>
              </w:rPr>
              <w:t>5.</w:t>
            </w:r>
            <w:r w:rsidR="00935956">
              <w:rPr>
                <w:rFonts w:asciiTheme="minorHAnsi" w:hAnsiTheme="minorHAnsi" w:eastAsiaTheme="minorEastAsia" w:cstheme="minorBidi"/>
                <w:noProof/>
                <w:color w:val="auto"/>
                <w:sz w:val="22"/>
                <w:lang w:eastAsia="zh-CN"/>
              </w:rPr>
              <w:tab/>
            </w:r>
            <w:r w:rsidRPr="00F75011" w:rsidR="00935956">
              <w:rPr>
                <w:rStyle w:val="Hyperlink"/>
                <w:noProof/>
              </w:rPr>
              <w:t>Course of Study and Module Selection Changes</w:t>
            </w:r>
            <w:r w:rsidR="00935956">
              <w:rPr>
                <w:noProof/>
                <w:webHidden/>
              </w:rPr>
              <w:tab/>
            </w:r>
            <w:r w:rsidR="00935956">
              <w:rPr>
                <w:noProof/>
                <w:webHidden/>
              </w:rPr>
              <w:fldChar w:fldCharType="begin"/>
            </w:r>
            <w:r w:rsidR="00935956">
              <w:rPr>
                <w:noProof/>
                <w:webHidden/>
              </w:rPr>
              <w:instrText xml:space="preserve"> PAGEREF _Toc87449565 \h </w:instrText>
            </w:r>
            <w:r w:rsidR="00935956">
              <w:rPr>
                <w:noProof/>
                <w:webHidden/>
              </w:rPr>
            </w:r>
            <w:r w:rsidR="00935956">
              <w:rPr>
                <w:noProof/>
                <w:webHidden/>
              </w:rPr>
              <w:fldChar w:fldCharType="separate"/>
            </w:r>
            <w:r w:rsidR="00535CF8">
              <w:rPr>
                <w:noProof/>
                <w:webHidden/>
              </w:rPr>
              <w:t>4</w:t>
            </w:r>
            <w:r w:rsidR="00935956">
              <w:rPr>
                <w:noProof/>
                <w:webHidden/>
              </w:rPr>
              <w:fldChar w:fldCharType="end"/>
            </w:r>
          </w:hyperlink>
        </w:p>
        <w:p w:rsidR="00935956" w:rsidP="00935956" w:rsidRDefault="00BF2FB5" w14:paraId="005F45CB" w14:textId="5C2F087D">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7449566">
            <w:r w:rsidRPr="00F75011" w:rsidR="00935956">
              <w:rPr>
                <w:rStyle w:val="Hyperlink"/>
                <w:bCs/>
                <w:noProof/>
              </w:rPr>
              <w:t>6.</w:t>
            </w:r>
            <w:r w:rsidR="00935956">
              <w:rPr>
                <w:rFonts w:asciiTheme="minorHAnsi" w:hAnsiTheme="minorHAnsi" w:eastAsiaTheme="minorEastAsia" w:cstheme="minorBidi"/>
                <w:noProof/>
                <w:color w:val="auto"/>
                <w:sz w:val="22"/>
                <w:lang w:eastAsia="zh-CN"/>
              </w:rPr>
              <w:tab/>
            </w:r>
            <w:r w:rsidRPr="00F75011" w:rsidR="00935956">
              <w:rPr>
                <w:rStyle w:val="Hyperlink"/>
                <w:noProof/>
              </w:rPr>
              <w:t>Course of Study and Coursework Submission Requirements</w:t>
            </w:r>
            <w:r w:rsidR="00935956">
              <w:rPr>
                <w:noProof/>
                <w:webHidden/>
              </w:rPr>
              <w:tab/>
            </w:r>
            <w:r w:rsidR="00935956">
              <w:rPr>
                <w:noProof/>
                <w:webHidden/>
              </w:rPr>
              <w:fldChar w:fldCharType="begin"/>
            </w:r>
            <w:r w:rsidR="00935956">
              <w:rPr>
                <w:noProof/>
                <w:webHidden/>
              </w:rPr>
              <w:instrText xml:space="preserve"> PAGEREF _Toc87449566 \h </w:instrText>
            </w:r>
            <w:r w:rsidR="00935956">
              <w:rPr>
                <w:noProof/>
                <w:webHidden/>
              </w:rPr>
            </w:r>
            <w:r w:rsidR="00935956">
              <w:rPr>
                <w:noProof/>
                <w:webHidden/>
              </w:rPr>
              <w:fldChar w:fldCharType="separate"/>
            </w:r>
            <w:r w:rsidR="00535CF8">
              <w:rPr>
                <w:noProof/>
                <w:webHidden/>
              </w:rPr>
              <w:t>5</w:t>
            </w:r>
            <w:r w:rsidR="00935956">
              <w:rPr>
                <w:noProof/>
                <w:webHidden/>
              </w:rPr>
              <w:fldChar w:fldCharType="end"/>
            </w:r>
          </w:hyperlink>
        </w:p>
        <w:p w:rsidR="00935956" w:rsidP="00935956" w:rsidRDefault="00BF2FB5" w14:paraId="620535D7" w14:textId="3FB88CBA">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7449567">
            <w:r w:rsidRPr="00F75011" w:rsidR="00935956">
              <w:rPr>
                <w:rStyle w:val="Hyperlink"/>
                <w:bCs/>
                <w:noProof/>
              </w:rPr>
              <w:t>7.</w:t>
            </w:r>
            <w:r w:rsidR="00935956">
              <w:rPr>
                <w:rFonts w:asciiTheme="minorHAnsi" w:hAnsiTheme="minorHAnsi" w:eastAsiaTheme="minorEastAsia" w:cstheme="minorBidi"/>
                <w:noProof/>
                <w:color w:val="auto"/>
                <w:sz w:val="22"/>
                <w:lang w:eastAsia="zh-CN"/>
              </w:rPr>
              <w:tab/>
            </w:r>
            <w:r w:rsidRPr="00F75011" w:rsidR="00935956">
              <w:rPr>
                <w:rStyle w:val="Hyperlink"/>
                <w:noProof/>
              </w:rPr>
              <w:t>Course of Study and Progression</w:t>
            </w:r>
            <w:r w:rsidR="00935956">
              <w:rPr>
                <w:noProof/>
                <w:webHidden/>
              </w:rPr>
              <w:tab/>
            </w:r>
            <w:r w:rsidR="00935956">
              <w:rPr>
                <w:noProof/>
                <w:webHidden/>
              </w:rPr>
              <w:fldChar w:fldCharType="begin"/>
            </w:r>
            <w:r w:rsidR="00935956">
              <w:rPr>
                <w:noProof/>
                <w:webHidden/>
              </w:rPr>
              <w:instrText xml:space="preserve"> PAGEREF _Toc87449567 \h </w:instrText>
            </w:r>
            <w:r w:rsidR="00935956">
              <w:rPr>
                <w:noProof/>
                <w:webHidden/>
              </w:rPr>
            </w:r>
            <w:r w:rsidR="00935956">
              <w:rPr>
                <w:noProof/>
                <w:webHidden/>
              </w:rPr>
              <w:fldChar w:fldCharType="separate"/>
            </w:r>
            <w:r w:rsidR="00535CF8">
              <w:rPr>
                <w:noProof/>
                <w:webHidden/>
              </w:rPr>
              <w:t>5</w:t>
            </w:r>
            <w:r w:rsidR="00935956">
              <w:rPr>
                <w:noProof/>
                <w:webHidden/>
              </w:rPr>
              <w:fldChar w:fldCharType="end"/>
            </w:r>
          </w:hyperlink>
        </w:p>
        <w:p w:rsidR="00935956" w:rsidP="00935956" w:rsidRDefault="00BF2FB5" w14:paraId="7CEF62AD" w14:textId="31BBF6BF">
          <w:pPr>
            <w:pStyle w:val="TOC2"/>
            <w:tabs>
              <w:tab w:val="right" w:leader="dot" w:pos="9016"/>
            </w:tabs>
            <w:ind w:left="851" w:hanging="851"/>
            <w:rPr>
              <w:rFonts w:asciiTheme="minorHAnsi" w:hAnsiTheme="minorHAnsi" w:eastAsiaTheme="minorEastAsia" w:cstheme="minorBidi"/>
              <w:noProof/>
              <w:color w:val="auto"/>
              <w:sz w:val="22"/>
              <w:lang w:eastAsia="zh-CN"/>
            </w:rPr>
          </w:pPr>
          <w:hyperlink w:history="1" w:anchor="_Toc87449568">
            <w:r w:rsidRPr="00F75011" w:rsidR="00935956">
              <w:rPr>
                <w:rStyle w:val="Hyperlink"/>
                <w:noProof/>
              </w:rPr>
              <w:t>7.1</w:t>
            </w:r>
            <w:r w:rsidR="00935956">
              <w:rPr>
                <w:rFonts w:asciiTheme="minorHAnsi" w:hAnsiTheme="minorHAnsi" w:eastAsiaTheme="minorEastAsia" w:cstheme="minorBidi"/>
                <w:noProof/>
                <w:color w:val="auto"/>
                <w:sz w:val="22"/>
                <w:lang w:eastAsia="zh-CN"/>
              </w:rPr>
              <w:tab/>
            </w:r>
            <w:r w:rsidRPr="00F75011" w:rsidR="00935956">
              <w:rPr>
                <w:rStyle w:val="Hyperlink"/>
                <w:noProof/>
              </w:rPr>
              <w:t>Methods of Assessment</w:t>
            </w:r>
            <w:r w:rsidR="00935956">
              <w:rPr>
                <w:noProof/>
                <w:webHidden/>
              </w:rPr>
              <w:tab/>
            </w:r>
            <w:r w:rsidR="00935956">
              <w:rPr>
                <w:noProof/>
                <w:webHidden/>
              </w:rPr>
              <w:fldChar w:fldCharType="begin"/>
            </w:r>
            <w:r w:rsidR="00935956">
              <w:rPr>
                <w:noProof/>
                <w:webHidden/>
              </w:rPr>
              <w:instrText xml:space="preserve"> PAGEREF _Toc87449568 \h </w:instrText>
            </w:r>
            <w:r w:rsidR="00935956">
              <w:rPr>
                <w:noProof/>
                <w:webHidden/>
              </w:rPr>
            </w:r>
            <w:r w:rsidR="00935956">
              <w:rPr>
                <w:noProof/>
                <w:webHidden/>
              </w:rPr>
              <w:fldChar w:fldCharType="separate"/>
            </w:r>
            <w:r w:rsidR="00535CF8">
              <w:rPr>
                <w:noProof/>
                <w:webHidden/>
              </w:rPr>
              <w:t>5</w:t>
            </w:r>
            <w:r w:rsidR="00935956">
              <w:rPr>
                <w:noProof/>
                <w:webHidden/>
              </w:rPr>
              <w:fldChar w:fldCharType="end"/>
            </w:r>
          </w:hyperlink>
        </w:p>
        <w:p w:rsidR="00935956" w:rsidP="00935956" w:rsidRDefault="00BF2FB5" w14:paraId="06A992D1" w14:textId="30CB7E2B">
          <w:pPr>
            <w:pStyle w:val="TOC2"/>
            <w:tabs>
              <w:tab w:val="right" w:leader="dot" w:pos="9016"/>
            </w:tabs>
            <w:ind w:left="851" w:hanging="851"/>
            <w:rPr>
              <w:rFonts w:asciiTheme="minorHAnsi" w:hAnsiTheme="minorHAnsi" w:eastAsiaTheme="minorEastAsia" w:cstheme="minorBidi"/>
              <w:noProof/>
              <w:color w:val="auto"/>
              <w:sz w:val="22"/>
              <w:lang w:eastAsia="zh-CN"/>
            </w:rPr>
          </w:pPr>
          <w:hyperlink w:history="1" w:anchor="_Toc87449569">
            <w:r w:rsidRPr="00F75011" w:rsidR="00935956">
              <w:rPr>
                <w:rStyle w:val="Hyperlink"/>
                <w:noProof/>
              </w:rPr>
              <w:t>7.2</w:t>
            </w:r>
            <w:r w:rsidR="00935956">
              <w:rPr>
                <w:rFonts w:asciiTheme="minorHAnsi" w:hAnsiTheme="minorHAnsi" w:eastAsiaTheme="minorEastAsia" w:cstheme="minorBidi"/>
                <w:noProof/>
                <w:color w:val="auto"/>
                <w:sz w:val="22"/>
                <w:lang w:eastAsia="zh-CN"/>
              </w:rPr>
              <w:tab/>
            </w:r>
            <w:r w:rsidRPr="00F75011" w:rsidR="00935956">
              <w:rPr>
                <w:rStyle w:val="Hyperlink"/>
                <w:noProof/>
              </w:rPr>
              <w:t>Academic Diligence</w:t>
            </w:r>
            <w:r w:rsidR="00935956">
              <w:rPr>
                <w:noProof/>
                <w:webHidden/>
              </w:rPr>
              <w:tab/>
            </w:r>
            <w:r w:rsidR="00935956">
              <w:rPr>
                <w:noProof/>
                <w:webHidden/>
              </w:rPr>
              <w:fldChar w:fldCharType="begin"/>
            </w:r>
            <w:r w:rsidR="00935956">
              <w:rPr>
                <w:noProof/>
                <w:webHidden/>
              </w:rPr>
              <w:instrText xml:space="preserve"> PAGEREF _Toc87449569 \h </w:instrText>
            </w:r>
            <w:r w:rsidR="00935956">
              <w:rPr>
                <w:noProof/>
                <w:webHidden/>
              </w:rPr>
            </w:r>
            <w:r w:rsidR="00935956">
              <w:rPr>
                <w:noProof/>
                <w:webHidden/>
              </w:rPr>
              <w:fldChar w:fldCharType="separate"/>
            </w:r>
            <w:r w:rsidR="00535CF8">
              <w:rPr>
                <w:noProof/>
                <w:webHidden/>
              </w:rPr>
              <w:t>6</w:t>
            </w:r>
            <w:r w:rsidR="00935956">
              <w:rPr>
                <w:noProof/>
                <w:webHidden/>
              </w:rPr>
              <w:fldChar w:fldCharType="end"/>
            </w:r>
          </w:hyperlink>
        </w:p>
        <w:p w:rsidR="00935956" w:rsidP="00935956" w:rsidRDefault="00BF2FB5" w14:paraId="32721B17" w14:textId="101A31E5">
          <w:pPr>
            <w:pStyle w:val="TOC2"/>
            <w:tabs>
              <w:tab w:val="right" w:leader="dot" w:pos="9016"/>
            </w:tabs>
            <w:ind w:left="851" w:hanging="851"/>
            <w:rPr>
              <w:rFonts w:asciiTheme="minorHAnsi" w:hAnsiTheme="minorHAnsi" w:eastAsiaTheme="minorEastAsia" w:cstheme="minorBidi"/>
              <w:noProof/>
              <w:color w:val="auto"/>
              <w:sz w:val="22"/>
              <w:lang w:eastAsia="zh-CN"/>
            </w:rPr>
          </w:pPr>
          <w:hyperlink w:history="1" w:anchor="_Toc87449570">
            <w:r w:rsidRPr="00F75011" w:rsidR="00935956">
              <w:rPr>
                <w:rStyle w:val="Hyperlink"/>
                <w:noProof/>
              </w:rPr>
              <w:t>7.3</w:t>
            </w:r>
            <w:r w:rsidR="00935956">
              <w:rPr>
                <w:rFonts w:asciiTheme="minorHAnsi" w:hAnsiTheme="minorHAnsi" w:eastAsiaTheme="minorEastAsia" w:cstheme="minorBidi"/>
                <w:noProof/>
                <w:color w:val="auto"/>
                <w:sz w:val="22"/>
                <w:lang w:eastAsia="zh-CN"/>
              </w:rPr>
              <w:tab/>
            </w:r>
            <w:r w:rsidRPr="00F75011" w:rsidR="00935956">
              <w:rPr>
                <w:rStyle w:val="Hyperlink"/>
                <w:noProof/>
              </w:rPr>
              <w:t>Academic Misconduct</w:t>
            </w:r>
            <w:r w:rsidR="00935956">
              <w:rPr>
                <w:noProof/>
                <w:webHidden/>
              </w:rPr>
              <w:tab/>
            </w:r>
            <w:r w:rsidR="00935956">
              <w:rPr>
                <w:noProof/>
                <w:webHidden/>
              </w:rPr>
              <w:fldChar w:fldCharType="begin"/>
            </w:r>
            <w:r w:rsidR="00935956">
              <w:rPr>
                <w:noProof/>
                <w:webHidden/>
              </w:rPr>
              <w:instrText xml:space="preserve"> PAGEREF _Toc87449570 \h </w:instrText>
            </w:r>
            <w:r w:rsidR="00935956">
              <w:rPr>
                <w:noProof/>
                <w:webHidden/>
              </w:rPr>
            </w:r>
            <w:r w:rsidR="00935956">
              <w:rPr>
                <w:noProof/>
                <w:webHidden/>
              </w:rPr>
              <w:fldChar w:fldCharType="separate"/>
            </w:r>
            <w:r w:rsidR="00535CF8">
              <w:rPr>
                <w:noProof/>
                <w:webHidden/>
              </w:rPr>
              <w:t>6</w:t>
            </w:r>
            <w:r w:rsidR="00935956">
              <w:rPr>
                <w:noProof/>
                <w:webHidden/>
              </w:rPr>
              <w:fldChar w:fldCharType="end"/>
            </w:r>
          </w:hyperlink>
        </w:p>
        <w:p w:rsidR="00935956" w:rsidP="00935956" w:rsidRDefault="00BF2FB5" w14:paraId="5E861FEA" w14:textId="60CAA578">
          <w:pPr>
            <w:pStyle w:val="TOC2"/>
            <w:tabs>
              <w:tab w:val="right" w:leader="dot" w:pos="9016"/>
            </w:tabs>
            <w:ind w:left="851" w:hanging="851"/>
            <w:rPr>
              <w:rFonts w:asciiTheme="minorHAnsi" w:hAnsiTheme="minorHAnsi" w:eastAsiaTheme="minorEastAsia" w:cstheme="minorBidi"/>
              <w:noProof/>
              <w:color w:val="auto"/>
              <w:sz w:val="22"/>
              <w:lang w:eastAsia="zh-CN"/>
            </w:rPr>
          </w:pPr>
          <w:hyperlink w:history="1" w:anchor="_Toc87449571">
            <w:r w:rsidRPr="00F75011" w:rsidR="00935956">
              <w:rPr>
                <w:rStyle w:val="Hyperlink"/>
                <w:noProof/>
              </w:rPr>
              <w:t>7.4</w:t>
            </w:r>
            <w:r w:rsidR="00935956">
              <w:rPr>
                <w:rFonts w:asciiTheme="minorHAnsi" w:hAnsiTheme="minorHAnsi" w:eastAsiaTheme="minorEastAsia" w:cstheme="minorBidi"/>
                <w:noProof/>
                <w:color w:val="auto"/>
                <w:sz w:val="22"/>
                <w:lang w:eastAsia="zh-CN"/>
              </w:rPr>
              <w:tab/>
            </w:r>
            <w:r w:rsidRPr="00F75011" w:rsidR="00935956">
              <w:rPr>
                <w:rStyle w:val="Hyperlink"/>
                <w:noProof/>
              </w:rPr>
              <w:t>Student Progression and Award of Qualifications</w:t>
            </w:r>
            <w:r w:rsidR="00935956">
              <w:rPr>
                <w:noProof/>
                <w:webHidden/>
              </w:rPr>
              <w:tab/>
            </w:r>
            <w:r w:rsidR="00935956">
              <w:rPr>
                <w:noProof/>
                <w:webHidden/>
              </w:rPr>
              <w:fldChar w:fldCharType="begin"/>
            </w:r>
            <w:r w:rsidR="00935956">
              <w:rPr>
                <w:noProof/>
                <w:webHidden/>
              </w:rPr>
              <w:instrText xml:space="preserve"> PAGEREF _Toc87449571 \h </w:instrText>
            </w:r>
            <w:r w:rsidR="00935956">
              <w:rPr>
                <w:noProof/>
                <w:webHidden/>
              </w:rPr>
            </w:r>
            <w:r w:rsidR="00935956">
              <w:rPr>
                <w:noProof/>
                <w:webHidden/>
              </w:rPr>
              <w:fldChar w:fldCharType="separate"/>
            </w:r>
            <w:r w:rsidR="00535CF8">
              <w:rPr>
                <w:noProof/>
                <w:webHidden/>
              </w:rPr>
              <w:t>6</w:t>
            </w:r>
            <w:r w:rsidR="00935956">
              <w:rPr>
                <w:noProof/>
                <w:webHidden/>
              </w:rPr>
              <w:fldChar w:fldCharType="end"/>
            </w:r>
          </w:hyperlink>
        </w:p>
        <w:p w:rsidR="00935956" w:rsidP="00935956" w:rsidRDefault="00BF2FB5" w14:paraId="5A8336B0" w14:textId="32AEE9B9">
          <w:pPr>
            <w:pStyle w:val="TOC2"/>
            <w:tabs>
              <w:tab w:val="right" w:leader="dot" w:pos="9016"/>
            </w:tabs>
            <w:ind w:left="851" w:hanging="851"/>
            <w:rPr>
              <w:rFonts w:asciiTheme="minorHAnsi" w:hAnsiTheme="minorHAnsi" w:eastAsiaTheme="minorEastAsia" w:cstheme="minorBidi"/>
              <w:noProof/>
              <w:color w:val="auto"/>
              <w:sz w:val="22"/>
              <w:lang w:eastAsia="zh-CN"/>
            </w:rPr>
          </w:pPr>
          <w:hyperlink w:history="1" w:anchor="_Toc87449572">
            <w:r w:rsidRPr="00F75011" w:rsidR="00935956">
              <w:rPr>
                <w:rStyle w:val="Hyperlink"/>
                <w:noProof/>
              </w:rPr>
              <w:t>7.5</w:t>
            </w:r>
            <w:r w:rsidR="00935956">
              <w:rPr>
                <w:rFonts w:asciiTheme="minorHAnsi" w:hAnsiTheme="minorHAnsi" w:eastAsiaTheme="minorEastAsia" w:cstheme="minorBidi"/>
                <w:noProof/>
                <w:color w:val="auto"/>
                <w:sz w:val="22"/>
                <w:lang w:eastAsia="zh-CN"/>
              </w:rPr>
              <w:tab/>
            </w:r>
            <w:r w:rsidRPr="00F75011" w:rsidR="00935956">
              <w:rPr>
                <w:rStyle w:val="Hyperlink"/>
                <w:noProof/>
              </w:rPr>
              <w:t>Board of Examiners’ Recommendations</w:t>
            </w:r>
            <w:r w:rsidR="00935956">
              <w:rPr>
                <w:noProof/>
                <w:webHidden/>
              </w:rPr>
              <w:tab/>
            </w:r>
            <w:r w:rsidR="00935956">
              <w:rPr>
                <w:noProof/>
                <w:webHidden/>
              </w:rPr>
              <w:fldChar w:fldCharType="begin"/>
            </w:r>
            <w:r w:rsidR="00935956">
              <w:rPr>
                <w:noProof/>
                <w:webHidden/>
              </w:rPr>
              <w:instrText xml:space="preserve"> PAGEREF _Toc87449572 \h </w:instrText>
            </w:r>
            <w:r w:rsidR="00935956">
              <w:rPr>
                <w:noProof/>
                <w:webHidden/>
              </w:rPr>
            </w:r>
            <w:r w:rsidR="00935956">
              <w:rPr>
                <w:noProof/>
                <w:webHidden/>
              </w:rPr>
              <w:fldChar w:fldCharType="separate"/>
            </w:r>
            <w:r w:rsidR="00535CF8">
              <w:rPr>
                <w:noProof/>
                <w:webHidden/>
              </w:rPr>
              <w:t>6</w:t>
            </w:r>
            <w:r w:rsidR="00935956">
              <w:rPr>
                <w:noProof/>
                <w:webHidden/>
              </w:rPr>
              <w:fldChar w:fldCharType="end"/>
            </w:r>
          </w:hyperlink>
        </w:p>
        <w:p w:rsidR="00935956" w:rsidP="00935956" w:rsidRDefault="00BF2FB5" w14:paraId="76D5E03E" w14:textId="75A19FDA">
          <w:pPr>
            <w:pStyle w:val="TOC2"/>
            <w:tabs>
              <w:tab w:val="right" w:leader="dot" w:pos="9016"/>
            </w:tabs>
            <w:ind w:left="851" w:hanging="851"/>
            <w:rPr>
              <w:rFonts w:asciiTheme="minorHAnsi" w:hAnsiTheme="minorHAnsi" w:eastAsiaTheme="minorEastAsia" w:cstheme="minorBidi"/>
              <w:noProof/>
              <w:color w:val="auto"/>
              <w:sz w:val="22"/>
              <w:lang w:eastAsia="zh-CN"/>
            </w:rPr>
          </w:pPr>
          <w:hyperlink w:history="1" w:anchor="_Toc87449573">
            <w:r w:rsidRPr="00F75011" w:rsidR="00935956">
              <w:rPr>
                <w:rStyle w:val="Hyperlink"/>
                <w:noProof/>
              </w:rPr>
              <w:t>7.6</w:t>
            </w:r>
            <w:r w:rsidR="00935956">
              <w:rPr>
                <w:rFonts w:asciiTheme="minorHAnsi" w:hAnsiTheme="minorHAnsi" w:eastAsiaTheme="minorEastAsia" w:cstheme="minorBidi"/>
                <w:noProof/>
                <w:color w:val="auto"/>
                <w:sz w:val="22"/>
                <w:lang w:eastAsia="zh-CN"/>
              </w:rPr>
              <w:tab/>
            </w:r>
            <w:r w:rsidRPr="00F75011" w:rsidR="00935956">
              <w:rPr>
                <w:rStyle w:val="Hyperlink"/>
                <w:noProof/>
              </w:rPr>
              <w:t>Failure of Modules</w:t>
            </w:r>
            <w:r w:rsidR="00935956">
              <w:rPr>
                <w:noProof/>
                <w:webHidden/>
              </w:rPr>
              <w:tab/>
            </w:r>
            <w:r w:rsidR="00935956">
              <w:rPr>
                <w:noProof/>
                <w:webHidden/>
              </w:rPr>
              <w:fldChar w:fldCharType="begin"/>
            </w:r>
            <w:r w:rsidR="00935956">
              <w:rPr>
                <w:noProof/>
                <w:webHidden/>
              </w:rPr>
              <w:instrText xml:space="preserve"> PAGEREF _Toc87449573 \h </w:instrText>
            </w:r>
            <w:r w:rsidR="00935956">
              <w:rPr>
                <w:noProof/>
                <w:webHidden/>
              </w:rPr>
            </w:r>
            <w:r w:rsidR="00935956">
              <w:rPr>
                <w:noProof/>
                <w:webHidden/>
              </w:rPr>
              <w:fldChar w:fldCharType="separate"/>
            </w:r>
            <w:r w:rsidR="00535CF8">
              <w:rPr>
                <w:noProof/>
                <w:webHidden/>
              </w:rPr>
              <w:t>7</w:t>
            </w:r>
            <w:r w:rsidR="00935956">
              <w:rPr>
                <w:noProof/>
                <w:webHidden/>
              </w:rPr>
              <w:fldChar w:fldCharType="end"/>
            </w:r>
          </w:hyperlink>
        </w:p>
        <w:p w:rsidR="00935956" w:rsidP="00935956" w:rsidRDefault="00BF2FB5" w14:paraId="0608905B" w14:textId="25C051A6">
          <w:pPr>
            <w:pStyle w:val="TOC2"/>
            <w:tabs>
              <w:tab w:val="right" w:leader="dot" w:pos="9016"/>
            </w:tabs>
            <w:ind w:left="851" w:hanging="851"/>
            <w:rPr>
              <w:rFonts w:asciiTheme="minorHAnsi" w:hAnsiTheme="minorHAnsi" w:eastAsiaTheme="minorEastAsia" w:cstheme="minorBidi"/>
              <w:noProof/>
              <w:color w:val="auto"/>
              <w:sz w:val="22"/>
              <w:lang w:eastAsia="zh-CN"/>
            </w:rPr>
          </w:pPr>
          <w:hyperlink w:history="1" w:anchor="_Toc87449574">
            <w:r w:rsidRPr="00F75011" w:rsidR="00935956">
              <w:rPr>
                <w:rStyle w:val="Hyperlink"/>
                <w:noProof/>
              </w:rPr>
              <w:t>7.7</w:t>
            </w:r>
            <w:r w:rsidR="00935956">
              <w:rPr>
                <w:rFonts w:asciiTheme="minorHAnsi" w:hAnsiTheme="minorHAnsi" w:eastAsiaTheme="minorEastAsia" w:cstheme="minorBidi"/>
                <w:noProof/>
                <w:color w:val="auto"/>
                <w:sz w:val="22"/>
                <w:lang w:eastAsia="zh-CN"/>
              </w:rPr>
              <w:tab/>
            </w:r>
            <w:r w:rsidRPr="00F75011" w:rsidR="00935956">
              <w:rPr>
                <w:rStyle w:val="Hyperlink"/>
                <w:noProof/>
              </w:rPr>
              <w:t>Different Versions of Modules</w:t>
            </w:r>
            <w:r w:rsidR="00935956">
              <w:rPr>
                <w:noProof/>
                <w:webHidden/>
              </w:rPr>
              <w:tab/>
            </w:r>
            <w:r w:rsidR="00935956">
              <w:rPr>
                <w:noProof/>
                <w:webHidden/>
              </w:rPr>
              <w:fldChar w:fldCharType="begin"/>
            </w:r>
            <w:r w:rsidR="00935956">
              <w:rPr>
                <w:noProof/>
                <w:webHidden/>
              </w:rPr>
              <w:instrText xml:space="preserve"> PAGEREF _Toc87449574 \h </w:instrText>
            </w:r>
            <w:r w:rsidR="00935956">
              <w:rPr>
                <w:noProof/>
                <w:webHidden/>
              </w:rPr>
            </w:r>
            <w:r w:rsidR="00935956">
              <w:rPr>
                <w:noProof/>
                <w:webHidden/>
              </w:rPr>
              <w:fldChar w:fldCharType="separate"/>
            </w:r>
            <w:r w:rsidR="00535CF8">
              <w:rPr>
                <w:noProof/>
                <w:webHidden/>
              </w:rPr>
              <w:t>7</w:t>
            </w:r>
            <w:r w:rsidR="00935956">
              <w:rPr>
                <w:noProof/>
                <w:webHidden/>
              </w:rPr>
              <w:fldChar w:fldCharType="end"/>
            </w:r>
          </w:hyperlink>
        </w:p>
        <w:p w:rsidR="00935956" w:rsidP="00935956" w:rsidRDefault="00BF2FB5" w14:paraId="1196A0D8" w14:textId="278ED4B0">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7449575">
            <w:r w:rsidRPr="00F75011" w:rsidR="00935956">
              <w:rPr>
                <w:rStyle w:val="Hyperlink"/>
                <w:bCs/>
                <w:noProof/>
              </w:rPr>
              <w:t>8.</w:t>
            </w:r>
            <w:r w:rsidR="00935956">
              <w:rPr>
                <w:rFonts w:asciiTheme="minorHAnsi" w:hAnsiTheme="minorHAnsi" w:eastAsiaTheme="minorEastAsia" w:cstheme="minorBidi"/>
                <w:noProof/>
                <w:color w:val="auto"/>
                <w:sz w:val="22"/>
                <w:lang w:eastAsia="zh-CN"/>
              </w:rPr>
              <w:tab/>
            </w:r>
            <w:r w:rsidRPr="00F75011" w:rsidR="00935956">
              <w:rPr>
                <w:rStyle w:val="Hyperlink"/>
                <w:noProof/>
              </w:rPr>
              <w:t>Examination Duration</w:t>
            </w:r>
            <w:r w:rsidR="00935956">
              <w:rPr>
                <w:noProof/>
                <w:webHidden/>
              </w:rPr>
              <w:tab/>
            </w:r>
            <w:r w:rsidR="00935956">
              <w:rPr>
                <w:noProof/>
                <w:webHidden/>
              </w:rPr>
              <w:fldChar w:fldCharType="begin"/>
            </w:r>
            <w:r w:rsidR="00935956">
              <w:rPr>
                <w:noProof/>
                <w:webHidden/>
              </w:rPr>
              <w:instrText xml:space="preserve"> PAGEREF _Toc87449575 \h </w:instrText>
            </w:r>
            <w:r w:rsidR="00935956">
              <w:rPr>
                <w:noProof/>
                <w:webHidden/>
              </w:rPr>
            </w:r>
            <w:r w:rsidR="00935956">
              <w:rPr>
                <w:noProof/>
                <w:webHidden/>
              </w:rPr>
              <w:fldChar w:fldCharType="separate"/>
            </w:r>
            <w:r w:rsidR="00535CF8">
              <w:rPr>
                <w:noProof/>
                <w:webHidden/>
              </w:rPr>
              <w:t>7</w:t>
            </w:r>
            <w:r w:rsidR="00935956">
              <w:rPr>
                <w:noProof/>
                <w:webHidden/>
              </w:rPr>
              <w:fldChar w:fldCharType="end"/>
            </w:r>
          </w:hyperlink>
        </w:p>
        <w:p w:rsidR="00935956" w:rsidP="00935956" w:rsidRDefault="00BF2FB5" w14:paraId="5AA53145" w14:textId="5CB128D9">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7449576">
            <w:r w:rsidRPr="00F75011" w:rsidR="00935956">
              <w:rPr>
                <w:rStyle w:val="Hyperlink"/>
                <w:bCs/>
                <w:noProof/>
              </w:rPr>
              <w:t>9.</w:t>
            </w:r>
            <w:r w:rsidR="00935956">
              <w:rPr>
                <w:rFonts w:asciiTheme="minorHAnsi" w:hAnsiTheme="minorHAnsi" w:eastAsiaTheme="minorEastAsia" w:cstheme="minorBidi"/>
                <w:noProof/>
                <w:color w:val="auto"/>
                <w:sz w:val="22"/>
                <w:lang w:eastAsia="zh-CN"/>
              </w:rPr>
              <w:tab/>
            </w:r>
            <w:r w:rsidRPr="00F75011" w:rsidR="00935956">
              <w:rPr>
                <w:rStyle w:val="Hyperlink"/>
                <w:noProof/>
              </w:rPr>
              <w:t>Award of Qualifications</w:t>
            </w:r>
            <w:r w:rsidR="00935956">
              <w:rPr>
                <w:noProof/>
                <w:webHidden/>
              </w:rPr>
              <w:tab/>
            </w:r>
            <w:r w:rsidR="00935956">
              <w:rPr>
                <w:noProof/>
                <w:webHidden/>
              </w:rPr>
              <w:fldChar w:fldCharType="begin"/>
            </w:r>
            <w:r w:rsidR="00935956">
              <w:rPr>
                <w:noProof/>
                <w:webHidden/>
              </w:rPr>
              <w:instrText xml:space="preserve"> PAGEREF _Toc87449576 \h </w:instrText>
            </w:r>
            <w:r w:rsidR="00935956">
              <w:rPr>
                <w:noProof/>
                <w:webHidden/>
              </w:rPr>
            </w:r>
            <w:r w:rsidR="00935956">
              <w:rPr>
                <w:noProof/>
                <w:webHidden/>
              </w:rPr>
              <w:fldChar w:fldCharType="separate"/>
            </w:r>
            <w:r w:rsidR="00535CF8">
              <w:rPr>
                <w:noProof/>
                <w:webHidden/>
              </w:rPr>
              <w:t>8</w:t>
            </w:r>
            <w:r w:rsidR="00935956">
              <w:rPr>
                <w:noProof/>
                <w:webHidden/>
              </w:rPr>
              <w:fldChar w:fldCharType="end"/>
            </w:r>
          </w:hyperlink>
        </w:p>
        <w:p w:rsidR="00935956" w:rsidP="00935956" w:rsidRDefault="00BF2FB5" w14:paraId="0E6003C1" w14:textId="51E8F2EF">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7449577">
            <w:r w:rsidRPr="00F75011" w:rsidR="00935956">
              <w:rPr>
                <w:rStyle w:val="Hyperlink"/>
                <w:bCs/>
                <w:noProof/>
              </w:rPr>
              <w:t>10.</w:t>
            </w:r>
            <w:r w:rsidR="00935956">
              <w:rPr>
                <w:rFonts w:asciiTheme="minorHAnsi" w:hAnsiTheme="minorHAnsi" w:eastAsiaTheme="minorEastAsia" w:cstheme="minorBidi"/>
                <w:noProof/>
                <w:color w:val="auto"/>
                <w:sz w:val="22"/>
                <w:lang w:eastAsia="zh-CN"/>
              </w:rPr>
              <w:tab/>
            </w:r>
            <w:r w:rsidRPr="00F75011" w:rsidR="00935956">
              <w:rPr>
                <w:rStyle w:val="Hyperlink"/>
                <w:noProof/>
              </w:rPr>
              <w:t>Mitigation of Extenuating Circumstances</w:t>
            </w:r>
            <w:r w:rsidR="00935956">
              <w:rPr>
                <w:noProof/>
                <w:webHidden/>
              </w:rPr>
              <w:tab/>
            </w:r>
            <w:r w:rsidR="00935956">
              <w:rPr>
                <w:noProof/>
                <w:webHidden/>
              </w:rPr>
              <w:fldChar w:fldCharType="begin"/>
            </w:r>
            <w:r w:rsidR="00935956">
              <w:rPr>
                <w:noProof/>
                <w:webHidden/>
              </w:rPr>
              <w:instrText xml:space="preserve"> PAGEREF _Toc87449577 \h </w:instrText>
            </w:r>
            <w:r w:rsidR="00935956">
              <w:rPr>
                <w:noProof/>
                <w:webHidden/>
              </w:rPr>
            </w:r>
            <w:r w:rsidR="00935956">
              <w:rPr>
                <w:noProof/>
                <w:webHidden/>
              </w:rPr>
              <w:fldChar w:fldCharType="separate"/>
            </w:r>
            <w:r w:rsidR="00535CF8">
              <w:rPr>
                <w:noProof/>
                <w:webHidden/>
              </w:rPr>
              <w:t>8</w:t>
            </w:r>
            <w:r w:rsidR="00935956">
              <w:rPr>
                <w:noProof/>
                <w:webHidden/>
              </w:rPr>
              <w:fldChar w:fldCharType="end"/>
            </w:r>
          </w:hyperlink>
        </w:p>
        <w:p w:rsidR="00935956" w:rsidP="00935956" w:rsidRDefault="00BF2FB5" w14:paraId="147CB4DE" w14:textId="760654A6">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7449578">
            <w:r w:rsidRPr="00F75011" w:rsidR="00935956">
              <w:rPr>
                <w:rStyle w:val="Hyperlink"/>
                <w:bCs/>
                <w:noProof/>
              </w:rPr>
              <w:t>11.</w:t>
            </w:r>
            <w:r w:rsidR="00935956">
              <w:rPr>
                <w:rFonts w:asciiTheme="minorHAnsi" w:hAnsiTheme="minorHAnsi" w:eastAsiaTheme="minorEastAsia" w:cstheme="minorBidi"/>
                <w:noProof/>
                <w:color w:val="auto"/>
                <w:sz w:val="22"/>
                <w:lang w:eastAsia="zh-CN"/>
              </w:rPr>
              <w:tab/>
            </w:r>
            <w:r w:rsidRPr="00F75011" w:rsidR="00935956">
              <w:rPr>
                <w:rStyle w:val="Hyperlink"/>
                <w:noProof/>
              </w:rPr>
              <w:t>Appeals</w:t>
            </w:r>
            <w:r w:rsidR="00935956">
              <w:rPr>
                <w:noProof/>
                <w:webHidden/>
              </w:rPr>
              <w:tab/>
            </w:r>
            <w:r w:rsidR="00935956">
              <w:rPr>
                <w:noProof/>
                <w:webHidden/>
              </w:rPr>
              <w:fldChar w:fldCharType="begin"/>
            </w:r>
            <w:r w:rsidR="00935956">
              <w:rPr>
                <w:noProof/>
                <w:webHidden/>
              </w:rPr>
              <w:instrText xml:space="preserve"> PAGEREF _Toc87449578 \h </w:instrText>
            </w:r>
            <w:r w:rsidR="00935956">
              <w:rPr>
                <w:noProof/>
                <w:webHidden/>
              </w:rPr>
            </w:r>
            <w:r w:rsidR="00935956">
              <w:rPr>
                <w:noProof/>
                <w:webHidden/>
              </w:rPr>
              <w:fldChar w:fldCharType="separate"/>
            </w:r>
            <w:r w:rsidR="00535CF8">
              <w:rPr>
                <w:noProof/>
                <w:webHidden/>
              </w:rPr>
              <w:t>8</w:t>
            </w:r>
            <w:r w:rsidR="00935956">
              <w:rPr>
                <w:noProof/>
                <w:webHidden/>
              </w:rPr>
              <w:fldChar w:fldCharType="end"/>
            </w:r>
          </w:hyperlink>
        </w:p>
        <w:p w:rsidR="00935956" w:rsidP="00935956" w:rsidRDefault="00BF2FB5" w14:paraId="0F337381" w14:textId="744EAC4E">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7449579">
            <w:r w:rsidRPr="00F75011" w:rsidR="00935956">
              <w:rPr>
                <w:rStyle w:val="Hyperlink"/>
                <w:bCs/>
                <w:noProof/>
              </w:rPr>
              <w:t>12.</w:t>
            </w:r>
            <w:r w:rsidR="00935956">
              <w:rPr>
                <w:rFonts w:asciiTheme="minorHAnsi" w:hAnsiTheme="minorHAnsi" w:eastAsiaTheme="minorEastAsia" w:cstheme="minorBidi"/>
                <w:noProof/>
                <w:color w:val="auto"/>
                <w:sz w:val="22"/>
                <w:lang w:eastAsia="zh-CN"/>
              </w:rPr>
              <w:tab/>
            </w:r>
            <w:r w:rsidRPr="00F75011" w:rsidR="00935956">
              <w:rPr>
                <w:rStyle w:val="Hyperlink"/>
                <w:noProof/>
              </w:rPr>
              <w:t>Delegation of Powers</w:t>
            </w:r>
            <w:r w:rsidR="00935956">
              <w:rPr>
                <w:noProof/>
                <w:webHidden/>
              </w:rPr>
              <w:tab/>
            </w:r>
            <w:r w:rsidR="00935956">
              <w:rPr>
                <w:noProof/>
                <w:webHidden/>
              </w:rPr>
              <w:fldChar w:fldCharType="begin"/>
            </w:r>
            <w:r w:rsidR="00935956">
              <w:rPr>
                <w:noProof/>
                <w:webHidden/>
              </w:rPr>
              <w:instrText xml:space="preserve"> PAGEREF _Toc87449579 \h </w:instrText>
            </w:r>
            <w:r w:rsidR="00935956">
              <w:rPr>
                <w:noProof/>
                <w:webHidden/>
              </w:rPr>
            </w:r>
            <w:r w:rsidR="00935956">
              <w:rPr>
                <w:noProof/>
                <w:webHidden/>
              </w:rPr>
              <w:fldChar w:fldCharType="separate"/>
            </w:r>
            <w:r w:rsidR="00535CF8">
              <w:rPr>
                <w:noProof/>
                <w:webHidden/>
              </w:rPr>
              <w:t>8</w:t>
            </w:r>
            <w:r w:rsidR="00935956">
              <w:rPr>
                <w:noProof/>
                <w:webHidden/>
              </w:rPr>
              <w:fldChar w:fldCharType="end"/>
            </w:r>
          </w:hyperlink>
        </w:p>
        <w:p w:rsidR="00935956" w:rsidP="00935956" w:rsidRDefault="00BF2FB5" w14:paraId="43E2E0F2" w14:textId="3DD89F7B">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7449580">
            <w:r w:rsidRPr="00F75011" w:rsidR="00935956">
              <w:rPr>
                <w:rStyle w:val="Hyperlink"/>
                <w:bCs/>
                <w:noProof/>
              </w:rPr>
              <w:t>13.</w:t>
            </w:r>
            <w:r w:rsidR="00935956">
              <w:rPr>
                <w:rFonts w:asciiTheme="minorHAnsi" w:hAnsiTheme="minorHAnsi" w:eastAsiaTheme="minorEastAsia" w:cstheme="minorBidi"/>
                <w:noProof/>
                <w:color w:val="auto"/>
                <w:sz w:val="22"/>
                <w:lang w:eastAsia="zh-CN"/>
              </w:rPr>
              <w:tab/>
            </w:r>
            <w:r w:rsidRPr="00F75011" w:rsidR="00935956">
              <w:rPr>
                <w:rStyle w:val="Hyperlink"/>
                <w:noProof/>
              </w:rPr>
              <w:t>Dispensation from Regulations</w:t>
            </w:r>
            <w:r w:rsidR="00935956">
              <w:rPr>
                <w:noProof/>
                <w:webHidden/>
              </w:rPr>
              <w:tab/>
            </w:r>
            <w:r w:rsidR="00935956">
              <w:rPr>
                <w:noProof/>
                <w:webHidden/>
              </w:rPr>
              <w:fldChar w:fldCharType="begin"/>
            </w:r>
            <w:r w:rsidR="00935956">
              <w:rPr>
                <w:noProof/>
                <w:webHidden/>
              </w:rPr>
              <w:instrText xml:space="preserve"> PAGEREF _Toc87449580 \h </w:instrText>
            </w:r>
            <w:r w:rsidR="00935956">
              <w:rPr>
                <w:noProof/>
                <w:webHidden/>
              </w:rPr>
            </w:r>
            <w:r w:rsidR="00935956">
              <w:rPr>
                <w:noProof/>
                <w:webHidden/>
              </w:rPr>
              <w:fldChar w:fldCharType="separate"/>
            </w:r>
            <w:r w:rsidR="00535CF8">
              <w:rPr>
                <w:noProof/>
                <w:webHidden/>
              </w:rPr>
              <w:t>9</w:t>
            </w:r>
            <w:r w:rsidR="00935956">
              <w:rPr>
                <w:noProof/>
                <w:webHidden/>
              </w:rPr>
              <w:fldChar w:fldCharType="end"/>
            </w:r>
          </w:hyperlink>
        </w:p>
        <w:p w:rsidRPr="00D025AC" w:rsidR="00D025AC" w:rsidP="00935956" w:rsidRDefault="00D025AC" w14:paraId="06E9C2AA" w14:textId="71DC8FE2">
          <w:pPr>
            <w:ind w:left="567" w:hanging="567"/>
            <w:rPr>
              <w:szCs w:val="24"/>
            </w:rPr>
          </w:pPr>
          <w:r w:rsidRPr="00D025AC">
            <w:rPr>
              <w:b/>
              <w:bCs/>
              <w:noProof/>
              <w:szCs w:val="24"/>
            </w:rPr>
            <w:fldChar w:fldCharType="end"/>
          </w:r>
        </w:p>
      </w:sdtContent>
    </w:sdt>
    <w:p w:rsidR="00D025AC" w:rsidRDefault="00D025AC" w14:paraId="40D7363F" w14:textId="7D3F6024">
      <w:pPr>
        <w:spacing w:after="160" w:line="259" w:lineRule="auto"/>
        <w:ind w:left="0" w:firstLine="0"/>
        <w:rPr>
          <w:b/>
          <w:szCs w:val="24"/>
        </w:rPr>
      </w:pPr>
      <w:r>
        <w:rPr>
          <w:b/>
          <w:szCs w:val="24"/>
        </w:rPr>
        <w:br w:type="page"/>
      </w:r>
    </w:p>
    <w:p w:rsidRPr="00AF5EBD" w:rsidR="00E154F3" w:rsidP="008218D8" w:rsidRDefault="00E154F3" w14:paraId="794F0610" w14:textId="6A035DEF">
      <w:pPr>
        <w:tabs>
          <w:tab w:val="left" w:pos="993"/>
        </w:tabs>
        <w:ind w:left="0" w:right="237" w:firstLine="0"/>
        <w:rPr>
          <w:szCs w:val="24"/>
        </w:rPr>
      </w:pPr>
      <w:r w:rsidRPr="00AF5EBD">
        <w:rPr>
          <w:szCs w:val="24"/>
        </w:rPr>
        <w:t>N</w:t>
      </w:r>
      <w:r>
        <w:rPr>
          <w:szCs w:val="24"/>
        </w:rPr>
        <w:t>ote:</w:t>
      </w:r>
      <w:r w:rsidRPr="00AF5EBD">
        <w:rPr>
          <w:szCs w:val="24"/>
        </w:rPr>
        <w:t xml:space="preserve"> Where the text states ‘School’ this should be understood to refer to ‘School’ or ’Department’ at the sub-divisional level, as appropriate.</w:t>
      </w:r>
    </w:p>
    <w:p w:rsidR="004E3671" w:rsidP="00D025AC" w:rsidRDefault="004E3671" w14:paraId="03584177" w14:textId="77777777">
      <w:pPr>
        <w:tabs>
          <w:tab w:val="left" w:pos="993"/>
        </w:tabs>
        <w:autoSpaceDE w:val="0"/>
        <w:autoSpaceDN w:val="0"/>
        <w:adjustRightInd w:val="0"/>
        <w:ind w:left="993" w:right="237" w:hanging="709"/>
        <w:rPr>
          <w:b/>
          <w:szCs w:val="24"/>
        </w:rPr>
      </w:pPr>
    </w:p>
    <w:p w:rsidRPr="00AF5EBD" w:rsidR="004E3671" w:rsidP="008218D8" w:rsidRDefault="004E3671" w14:paraId="1B48D7B8" w14:textId="1EC3EFB3">
      <w:pPr>
        <w:pStyle w:val="Heading1"/>
      </w:pPr>
      <w:bookmarkStart w:name="_Toc87449561" w:id="0"/>
      <w:r w:rsidRPr="00AB0873">
        <w:t>Definition of Terms</w:t>
      </w:r>
      <w:bookmarkEnd w:id="0"/>
    </w:p>
    <w:p w:rsidRPr="00AF5EBD" w:rsidR="004E3671" w:rsidP="008218D8" w:rsidRDefault="00366AD0" w14:paraId="54887699" w14:textId="091F713F">
      <w:pPr>
        <w:tabs>
          <w:tab w:val="left" w:pos="567"/>
          <w:tab w:val="left" w:pos="1418"/>
        </w:tabs>
        <w:autoSpaceDE w:val="0"/>
        <w:autoSpaceDN w:val="0"/>
        <w:adjustRightInd w:val="0"/>
        <w:ind w:left="567" w:right="237" w:hanging="567"/>
        <w:rPr>
          <w:szCs w:val="24"/>
        </w:rPr>
      </w:pPr>
      <w:r>
        <w:rPr>
          <w:szCs w:val="24"/>
        </w:rPr>
        <w:t>1.1</w:t>
      </w:r>
      <w:r>
        <w:rPr>
          <w:szCs w:val="24"/>
        </w:rPr>
        <w:tab/>
      </w:r>
      <w:r w:rsidRPr="00AF5EBD" w:rsidR="004E3671">
        <w:rPr>
          <w:szCs w:val="24"/>
        </w:rPr>
        <w:t xml:space="preserve">Wherever in these regulations the word `assessment ' appears, it shall be taken to refer to both summative assessments, which students are required to </w:t>
      </w:r>
      <w:proofErr w:type="gramStart"/>
      <w:r w:rsidRPr="00AF5EBD" w:rsidR="004E3671">
        <w:rPr>
          <w:szCs w:val="24"/>
        </w:rPr>
        <w:t>undertake</w:t>
      </w:r>
      <w:proofErr w:type="gramEnd"/>
      <w:r w:rsidRPr="00AF5EBD" w:rsidR="004E3671">
        <w:rPr>
          <w:szCs w:val="24"/>
        </w:rPr>
        <w:t xml:space="preserve"> and which contributes to the final mark awarded for any module, and formative assessments, which students are encouraged to undertake, but which do not contribute to the final mark.</w:t>
      </w:r>
    </w:p>
    <w:p w:rsidR="004E3671" w:rsidP="00366AD0" w:rsidRDefault="00366AD0" w14:paraId="123AB3BC" w14:textId="14A45A79">
      <w:pPr>
        <w:tabs>
          <w:tab w:val="left" w:pos="567"/>
        </w:tabs>
        <w:autoSpaceDE w:val="0"/>
        <w:autoSpaceDN w:val="0"/>
        <w:adjustRightInd w:val="0"/>
        <w:ind w:left="567" w:right="237" w:hanging="567"/>
        <w:rPr>
          <w:b/>
          <w:szCs w:val="24"/>
        </w:rPr>
      </w:pPr>
      <w:r>
        <w:rPr>
          <w:szCs w:val="24"/>
        </w:rPr>
        <w:t>1.2</w:t>
      </w:r>
      <w:r>
        <w:rPr>
          <w:szCs w:val="24"/>
        </w:rPr>
        <w:tab/>
      </w:r>
      <w:r w:rsidRPr="00AF5EBD">
        <w:rPr>
          <w:szCs w:val="24"/>
        </w:rPr>
        <w:t>The term ‘Course of Study’ may be denoted by the shorthand term ‘Course’ throughout the text.</w:t>
      </w:r>
    </w:p>
    <w:p w:rsidRPr="00AF5EBD" w:rsidR="00366AD0" w:rsidP="00D025AC" w:rsidRDefault="00366AD0" w14:paraId="53DEC272" w14:textId="77777777">
      <w:pPr>
        <w:tabs>
          <w:tab w:val="left" w:pos="993"/>
        </w:tabs>
        <w:autoSpaceDE w:val="0"/>
        <w:autoSpaceDN w:val="0"/>
        <w:adjustRightInd w:val="0"/>
        <w:ind w:left="993" w:right="237" w:hanging="709"/>
        <w:rPr>
          <w:b/>
          <w:szCs w:val="24"/>
        </w:rPr>
      </w:pPr>
    </w:p>
    <w:p w:rsidRPr="00AF5EBD" w:rsidR="004E3671" w:rsidP="008218D8" w:rsidRDefault="004E3671" w14:paraId="710DF934" w14:textId="544E84AE">
      <w:pPr>
        <w:pStyle w:val="Heading1"/>
      </w:pPr>
      <w:bookmarkStart w:name="_Toc87449562" w:id="1"/>
      <w:r w:rsidRPr="00AB0873">
        <w:t>Scope</w:t>
      </w:r>
      <w:bookmarkEnd w:id="1"/>
    </w:p>
    <w:p w:rsidRPr="00AF5EBD" w:rsidR="004E3671" w:rsidP="009D346B" w:rsidRDefault="004E3671" w14:paraId="401E2BCA" w14:textId="77777777">
      <w:pPr>
        <w:tabs>
          <w:tab w:val="left" w:pos="567"/>
        </w:tabs>
        <w:autoSpaceDE w:val="0"/>
        <w:autoSpaceDN w:val="0"/>
        <w:adjustRightInd w:val="0"/>
        <w:ind w:left="567" w:right="237" w:hanging="567"/>
        <w:rPr>
          <w:szCs w:val="24"/>
        </w:rPr>
      </w:pPr>
      <w:r w:rsidRPr="00AF5EBD">
        <w:rPr>
          <w:szCs w:val="24"/>
        </w:rPr>
        <w:t xml:space="preserve">2.1 </w:t>
      </w:r>
      <w:r w:rsidRPr="00AF5EBD">
        <w:rPr>
          <w:szCs w:val="24"/>
        </w:rPr>
        <w:tab/>
      </w:r>
      <w:r w:rsidRPr="00AF5EBD">
        <w:rPr>
          <w:szCs w:val="24"/>
        </w:rPr>
        <w:t xml:space="preserve">These regulations apply to all credit-bearing taught courses of study that lead to the award by the University of Kent of a certificate, </w:t>
      </w:r>
      <w:proofErr w:type="gramStart"/>
      <w:r w:rsidRPr="00AF5EBD">
        <w:rPr>
          <w:szCs w:val="24"/>
        </w:rPr>
        <w:t>diploma</w:t>
      </w:r>
      <w:proofErr w:type="gramEnd"/>
      <w:r w:rsidRPr="00AF5EBD">
        <w:rPr>
          <w:szCs w:val="24"/>
        </w:rPr>
        <w:t xml:space="preserve"> or degree, with the exception of those collaborative taught courses of study leading to joint or dual awards for which a separate set of conjoint regulations have been agreed with a partner provider.</w:t>
      </w:r>
    </w:p>
    <w:p w:rsidRPr="00AF5EBD" w:rsidR="004E3671" w:rsidP="009D346B" w:rsidRDefault="004E3671" w14:paraId="6082AD70" w14:textId="787E521F">
      <w:pPr>
        <w:tabs>
          <w:tab w:val="left" w:pos="567"/>
        </w:tabs>
        <w:autoSpaceDE w:val="0"/>
        <w:autoSpaceDN w:val="0"/>
        <w:adjustRightInd w:val="0"/>
        <w:ind w:left="567" w:right="237" w:hanging="567"/>
        <w:rPr>
          <w:szCs w:val="24"/>
        </w:rPr>
      </w:pPr>
      <w:r w:rsidRPr="00AF5EBD">
        <w:rPr>
          <w:szCs w:val="24"/>
        </w:rPr>
        <w:t xml:space="preserve">2.2 </w:t>
      </w:r>
      <w:r w:rsidRPr="00AF5EBD">
        <w:rPr>
          <w:szCs w:val="24"/>
        </w:rPr>
        <w:tab/>
      </w:r>
      <w:r w:rsidRPr="00AF5EBD">
        <w:rPr>
          <w:szCs w:val="24"/>
        </w:rPr>
        <w:t xml:space="preserve">Courses that are delivered by or on behalf of the University are, in addition to these Regulations, subject to the terms and requirements of the University’s </w:t>
      </w:r>
      <w:hyperlink w:history="1" r:id="rId11">
        <w:r w:rsidRPr="00823703">
          <w:rPr>
            <w:rStyle w:val="Hyperlink"/>
            <w:szCs w:val="24"/>
          </w:rPr>
          <w:t>Code of Practice for the Quality Assurance for Taught Courses of Study</w:t>
        </w:r>
      </w:hyperlink>
      <w:r w:rsidRPr="00D025AC">
        <w:rPr>
          <w:szCs w:val="24"/>
        </w:rPr>
        <w:t xml:space="preserve"> and the </w:t>
      </w:r>
      <w:hyperlink w:history="1" r:id="rId12">
        <w:r w:rsidRPr="005C13DE">
          <w:rPr>
            <w:rStyle w:val="Hyperlink"/>
            <w:szCs w:val="24"/>
          </w:rPr>
          <w:t>Credit Framework for Taught Courses of Study</w:t>
        </w:r>
      </w:hyperlink>
      <w:r w:rsidRPr="00D025AC">
        <w:rPr>
          <w:szCs w:val="24"/>
        </w:rPr>
        <w:t xml:space="preserve">, </w:t>
      </w:r>
      <w:r w:rsidRPr="00AF5EBD">
        <w:rPr>
          <w:szCs w:val="24"/>
        </w:rPr>
        <w:t>with the exception of those collaborative taught courses of study leading to joint or dual awards for which a separate set of credit conventions and procedures for quality assurance have been agreed with a partner provider.</w:t>
      </w:r>
    </w:p>
    <w:p w:rsidRPr="00AF5EBD" w:rsidR="004E3671" w:rsidP="00D025AC" w:rsidRDefault="004E3671" w14:paraId="10447F5A" w14:textId="77777777">
      <w:pPr>
        <w:tabs>
          <w:tab w:val="left" w:pos="993"/>
        </w:tabs>
        <w:autoSpaceDE w:val="0"/>
        <w:autoSpaceDN w:val="0"/>
        <w:adjustRightInd w:val="0"/>
        <w:ind w:left="993" w:right="237" w:hanging="709"/>
        <w:rPr>
          <w:b/>
          <w:szCs w:val="24"/>
        </w:rPr>
      </w:pPr>
    </w:p>
    <w:p w:rsidRPr="00AF5EBD" w:rsidR="004E3671" w:rsidP="008218D8" w:rsidRDefault="004E3671" w14:paraId="2ED6551F" w14:textId="46AD021C">
      <w:pPr>
        <w:pStyle w:val="Heading1"/>
      </w:pPr>
      <w:bookmarkStart w:name="_Toc87449563" w:id="2"/>
      <w:r w:rsidRPr="00AB0873">
        <w:t>Admission</w:t>
      </w:r>
      <w:bookmarkEnd w:id="2"/>
    </w:p>
    <w:p w:rsidRPr="00AF5EBD" w:rsidR="004E3671" w:rsidP="004D488C" w:rsidRDefault="004E3671" w14:paraId="6F8C4D4B" w14:textId="77777777">
      <w:pPr>
        <w:tabs>
          <w:tab w:val="left" w:pos="567"/>
        </w:tabs>
        <w:autoSpaceDE w:val="0"/>
        <w:autoSpaceDN w:val="0"/>
        <w:adjustRightInd w:val="0"/>
        <w:ind w:left="567" w:right="237" w:hanging="567"/>
        <w:rPr>
          <w:szCs w:val="24"/>
        </w:rPr>
      </w:pPr>
      <w:r w:rsidRPr="00AF5EBD">
        <w:rPr>
          <w:szCs w:val="24"/>
        </w:rPr>
        <w:t xml:space="preserve">3.1 </w:t>
      </w:r>
      <w:r w:rsidRPr="00AF5EBD">
        <w:rPr>
          <w:szCs w:val="24"/>
        </w:rPr>
        <w:tab/>
      </w:r>
      <w:r w:rsidRPr="00AF5EBD">
        <w:rPr>
          <w:szCs w:val="24"/>
        </w:rPr>
        <w:t>The minimum age to study a certificate, diploma or degree course at the university is normally at least 17 years old by 20 September in the year the course begins. There is no upper age limit.</w:t>
      </w:r>
    </w:p>
    <w:p w:rsidRPr="00AF5EBD" w:rsidR="004E3671" w:rsidP="004D488C" w:rsidRDefault="004E3671" w14:paraId="747E1793" w14:textId="77777777">
      <w:pPr>
        <w:tabs>
          <w:tab w:val="left" w:pos="567"/>
        </w:tabs>
        <w:autoSpaceDE w:val="0"/>
        <w:autoSpaceDN w:val="0"/>
        <w:adjustRightInd w:val="0"/>
        <w:ind w:left="567" w:right="237" w:hanging="567"/>
        <w:rPr>
          <w:szCs w:val="24"/>
        </w:rPr>
      </w:pPr>
      <w:r w:rsidRPr="00AF5EBD">
        <w:rPr>
          <w:szCs w:val="24"/>
        </w:rPr>
        <w:t xml:space="preserve">3.2 </w:t>
      </w:r>
      <w:r w:rsidRPr="00AF5EBD">
        <w:rPr>
          <w:szCs w:val="24"/>
        </w:rPr>
        <w:tab/>
      </w:r>
      <w:r w:rsidRPr="00AF5EBD">
        <w:rPr>
          <w:szCs w:val="24"/>
        </w:rPr>
        <w:t xml:space="preserve">Applicants must satisfy the requirements for admission to the course of study in question or, provided that the University is satisfied that the applicant is capable of successfully completing the proposed course of study, be dispensed from such requirements. </w:t>
      </w:r>
    </w:p>
    <w:p w:rsidRPr="00AF5EBD" w:rsidR="004E3671" w:rsidP="004D488C" w:rsidRDefault="004E3671" w14:paraId="245B60CF" w14:textId="77777777">
      <w:pPr>
        <w:tabs>
          <w:tab w:val="left" w:pos="567"/>
        </w:tabs>
        <w:autoSpaceDE w:val="0"/>
        <w:autoSpaceDN w:val="0"/>
        <w:adjustRightInd w:val="0"/>
        <w:ind w:left="567" w:right="237" w:hanging="567"/>
        <w:rPr>
          <w:szCs w:val="24"/>
        </w:rPr>
      </w:pPr>
      <w:r w:rsidRPr="00AF5EBD">
        <w:rPr>
          <w:szCs w:val="24"/>
        </w:rPr>
        <w:tab/>
      </w:r>
      <w:r w:rsidRPr="00AF5EBD">
        <w:rPr>
          <w:szCs w:val="24"/>
        </w:rPr>
        <w:t>In addition, the following conditions apply:</w:t>
      </w:r>
    </w:p>
    <w:p w:rsidRPr="00AF5EBD" w:rsidR="004E3671" w:rsidP="004D488C" w:rsidRDefault="004E3671" w14:paraId="609DA928" w14:textId="77777777">
      <w:pPr>
        <w:tabs>
          <w:tab w:val="left" w:pos="567"/>
        </w:tabs>
        <w:autoSpaceDE w:val="0"/>
        <w:autoSpaceDN w:val="0"/>
        <w:adjustRightInd w:val="0"/>
        <w:ind w:left="567" w:right="237" w:hanging="567"/>
        <w:rPr>
          <w:szCs w:val="24"/>
        </w:rPr>
      </w:pPr>
      <w:r w:rsidRPr="00AF5EBD">
        <w:rPr>
          <w:szCs w:val="24"/>
        </w:rPr>
        <w:t xml:space="preserve">3.3 </w:t>
      </w:r>
      <w:r w:rsidRPr="00AF5EBD">
        <w:rPr>
          <w:szCs w:val="24"/>
        </w:rPr>
        <w:tab/>
      </w:r>
      <w:r w:rsidRPr="00AF5EBD">
        <w:rPr>
          <w:szCs w:val="24"/>
        </w:rPr>
        <w:t>Applicants for admission to courses of study leading to the award of an undergraduate degree must satisfy the University general entry requirements as set out in the University Undergraduate Prospectus for admission in the year in question or, provided that the University is satisfied that the applicant is capable of successfully completing the proposed course of study, be dispensed from the general entry requirements. Holders of other qualifications will be considered individually.</w:t>
      </w:r>
    </w:p>
    <w:p w:rsidRPr="00AF5EBD" w:rsidR="004E3671" w:rsidP="004D488C" w:rsidRDefault="004E3671" w14:paraId="1B6F5A12" w14:textId="77777777">
      <w:pPr>
        <w:tabs>
          <w:tab w:val="left" w:pos="567"/>
        </w:tabs>
        <w:autoSpaceDE w:val="0"/>
        <w:autoSpaceDN w:val="0"/>
        <w:adjustRightInd w:val="0"/>
        <w:ind w:left="567" w:right="237" w:hanging="567"/>
        <w:rPr>
          <w:szCs w:val="24"/>
        </w:rPr>
      </w:pPr>
      <w:r w:rsidRPr="00AF5EBD">
        <w:rPr>
          <w:szCs w:val="24"/>
        </w:rPr>
        <w:t xml:space="preserve">3.4 </w:t>
      </w:r>
      <w:r w:rsidRPr="00AF5EBD">
        <w:rPr>
          <w:szCs w:val="24"/>
        </w:rPr>
        <w:tab/>
      </w:r>
      <w:r w:rsidRPr="00AF5EBD">
        <w:rPr>
          <w:szCs w:val="24"/>
        </w:rPr>
        <w:t>Applicants for admission to courses of study leading to the award of a Graduate Certificate or of a Graduate Diploma will normally be expected to have a degree in an appropriate subject awarded by a British university or equivalent. Holders of other qualifications will be considered individually. Holders of other qualifications will be considered individually.</w:t>
      </w:r>
    </w:p>
    <w:p w:rsidRPr="00AF5EBD" w:rsidR="004E3671" w:rsidP="004D488C" w:rsidRDefault="004E3671" w14:paraId="19DF25A8" w14:textId="77777777">
      <w:pPr>
        <w:tabs>
          <w:tab w:val="left" w:pos="567"/>
        </w:tabs>
        <w:autoSpaceDE w:val="0"/>
        <w:autoSpaceDN w:val="0"/>
        <w:adjustRightInd w:val="0"/>
        <w:ind w:left="567" w:right="237" w:hanging="567"/>
        <w:rPr>
          <w:szCs w:val="24"/>
        </w:rPr>
      </w:pPr>
      <w:r w:rsidRPr="00AF5EBD">
        <w:rPr>
          <w:szCs w:val="24"/>
        </w:rPr>
        <w:t xml:space="preserve">3.5 </w:t>
      </w:r>
      <w:r w:rsidRPr="00AF5EBD">
        <w:rPr>
          <w:szCs w:val="24"/>
        </w:rPr>
        <w:tab/>
      </w:r>
      <w:r w:rsidRPr="00AF5EBD">
        <w:rPr>
          <w:szCs w:val="24"/>
        </w:rPr>
        <w:t>Applicants for admission to postgraduate courses of study will normally be expected to have an Honours degree in an appropriate subject awarded by a British university or equivalent. Holders of other qualifications will be considered individually.</w:t>
      </w:r>
    </w:p>
    <w:p w:rsidRPr="00AF5EBD" w:rsidR="004E3671" w:rsidP="00AB0873" w:rsidRDefault="004E3671" w14:paraId="20B44B97" w14:textId="77777777">
      <w:pPr>
        <w:tabs>
          <w:tab w:val="left" w:pos="993"/>
        </w:tabs>
        <w:autoSpaceDE w:val="0"/>
        <w:autoSpaceDN w:val="0"/>
        <w:adjustRightInd w:val="0"/>
        <w:ind w:right="237" w:hanging="578"/>
        <w:rPr>
          <w:szCs w:val="24"/>
        </w:rPr>
      </w:pPr>
    </w:p>
    <w:p w:rsidRPr="00AF5EBD" w:rsidR="004E3671" w:rsidP="008218D8" w:rsidRDefault="004E3671" w14:paraId="3FC4A41E" w14:textId="6C03EAC3">
      <w:pPr>
        <w:pStyle w:val="Heading1"/>
      </w:pPr>
      <w:bookmarkStart w:name="_Toc87449564" w:id="3"/>
      <w:r w:rsidRPr="00AB0873">
        <w:t>Period and Level of Study</w:t>
      </w:r>
      <w:bookmarkEnd w:id="3"/>
    </w:p>
    <w:p w:rsidRPr="00AF5EBD" w:rsidR="004E3671" w:rsidP="004D488C" w:rsidRDefault="004E3671" w14:paraId="75D8D894" w14:textId="77777777">
      <w:pPr>
        <w:tabs>
          <w:tab w:val="left" w:pos="567"/>
        </w:tabs>
        <w:autoSpaceDE w:val="0"/>
        <w:autoSpaceDN w:val="0"/>
        <w:adjustRightInd w:val="0"/>
        <w:ind w:left="567" w:right="237" w:hanging="567"/>
        <w:rPr>
          <w:szCs w:val="24"/>
        </w:rPr>
      </w:pPr>
      <w:r w:rsidRPr="00AF5EBD">
        <w:rPr>
          <w:szCs w:val="24"/>
        </w:rPr>
        <w:t xml:space="preserve">4.1 </w:t>
      </w:r>
      <w:r w:rsidRPr="00AF5EBD">
        <w:rPr>
          <w:szCs w:val="24"/>
        </w:rPr>
        <w:tab/>
      </w:r>
      <w:r w:rsidRPr="00AF5EBD">
        <w:rPr>
          <w:szCs w:val="24"/>
        </w:rPr>
        <w:t xml:space="preserve">Every course of study shall be such as to require a minimum period of full-time study as shown below or an equivalent period of part-time study. </w:t>
      </w:r>
      <w:proofErr w:type="gramStart"/>
      <w:r w:rsidRPr="00AF5EBD">
        <w:rPr>
          <w:szCs w:val="24"/>
        </w:rPr>
        <w:t>In order to</w:t>
      </w:r>
      <w:proofErr w:type="gramEnd"/>
      <w:r w:rsidRPr="00AF5EBD">
        <w:rPr>
          <w:szCs w:val="24"/>
        </w:rPr>
        <w:t xml:space="preserve"> be eligible for an award of the University, a student must complete the course within the maximum period shown below, to include any periods in which the student is permitted to interrupt study unless, for a particular course of study, a different maximum period for completion has been approved by Senate. </w:t>
      </w:r>
    </w:p>
    <w:p w:rsidRPr="00AF5EBD" w:rsidR="004E3671" w:rsidP="004D488C" w:rsidRDefault="004E3671" w14:paraId="1AF9A320" w14:textId="77777777">
      <w:pPr>
        <w:tabs>
          <w:tab w:val="left" w:pos="851"/>
        </w:tabs>
        <w:autoSpaceDE w:val="0"/>
        <w:autoSpaceDN w:val="0"/>
        <w:adjustRightInd w:val="0"/>
        <w:ind w:left="851" w:right="237" w:hanging="851"/>
        <w:rPr>
          <w:szCs w:val="24"/>
        </w:rPr>
      </w:pPr>
      <w:r w:rsidRPr="004D488C">
        <w:rPr>
          <w:sz w:val="22"/>
        </w:rPr>
        <w:t xml:space="preserve">4.1.1 </w:t>
      </w:r>
      <w:r w:rsidRPr="00AF5EBD">
        <w:rPr>
          <w:szCs w:val="24"/>
        </w:rPr>
        <w:tab/>
      </w:r>
      <w:r w:rsidRPr="00AF5EBD">
        <w:rPr>
          <w:szCs w:val="24"/>
        </w:rPr>
        <w:t>The maximum period of study will exclude interruptions that derive from periods during which students have been unable to engage with their studies due to reasons linked to protected characteristics.</w:t>
      </w:r>
    </w:p>
    <w:p w:rsidR="004E3671" w:rsidP="004D488C" w:rsidRDefault="004E3671" w14:paraId="75F3B1C0" w14:textId="6F8FAF91">
      <w:pPr>
        <w:tabs>
          <w:tab w:val="left" w:pos="851"/>
        </w:tabs>
        <w:autoSpaceDE w:val="0"/>
        <w:autoSpaceDN w:val="0"/>
        <w:adjustRightInd w:val="0"/>
        <w:ind w:left="851" w:right="237" w:hanging="851"/>
        <w:rPr>
          <w:szCs w:val="24"/>
        </w:rPr>
      </w:pPr>
      <w:r w:rsidRPr="004D488C">
        <w:rPr>
          <w:sz w:val="22"/>
        </w:rPr>
        <w:t xml:space="preserve">4.1.2 </w:t>
      </w:r>
      <w:r w:rsidRPr="00AF5EBD">
        <w:rPr>
          <w:szCs w:val="24"/>
        </w:rPr>
        <w:tab/>
      </w:r>
      <w:r w:rsidRPr="00AF5EBD">
        <w:rPr>
          <w:szCs w:val="24"/>
        </w:rPr>
        <w:t xml:space="preserve">Periods where the University suffers serious disruption to its capacity to deliver a course or courses due to </w:t>
      </w:r>
      <w:r w:rsidRPr="00AF5EBD">
        <w:rPr>
          <w:i/>
          <w:szCs w:val="24"/>
        </w:rPr>
        <w:t>Force Majeure</w:t>
      </w:r>
      <w:r w:rsidRPr="00AF5EBD">
        <w:rPr>
          <w:szCs w:val="24"/>
        </w:rPr>
        <w:t xml:space="preserve"> events will not be regarded as contributing to the maximum period of study permitted for the completion of any award. </w:t>
      </w:r>
    </w:p>
    <w:p w:rsidR="00B36B02" w:rsidP="004D488C" w:rsidRDefault="00B36B02" w14:paraId="764F4ED9" w14:textId="53E5C098">
      <w:pPr>
        <w:tabs>
          <w:tab w:val="left" w:pos="851"/>
        </w:tabs>
        <w:autoSpaceDE w:val="0"/>
        <w:autoSpaceDN w:val="0"/>
        <w:adjustRightInd w:val="0"/>
        <w:ind w:left="851" w:right="237" w:hanging="851"/>
        <w:rPr>
          <w:szCs w:val="24"/>
        </w:rPr>
      </w:pPr>
      <w:r w:rsidRPr="004D488C">
        <w:rPr>
          <w:sz w:val="22"/>
        </w:rPr>
        <w:t>4.1.3</w:t>
      </w:r>
      <w:r>
        <w:rPr>
          <w:szCs w:val="24"/>
        </w:rPr>
        <w:tab/>
      </w:r>
      <w:r>
        <w:rPr>
          <w:szCs w:val="24"/>
        </w:rPr>
        <w:t xml:space="preserve">Awards and their minimum period of </w:t>
      </w:r>
      <w:proofErr w:type="gramStart"/>
      <w:r>
        <w:rPr>
          <w:szCs w:val="24"/>
        </w:rPr>
        <w:t>full time</w:t>
      </w:r>
      <w:proofErr w:type="gramEnd"/>
      <w:r>
        <w:rPr>
          <w:szCs w:val="24"/>
        </w:rPr>
        <w:t xml:space="preserve"> study</w:t>
      </w:r>
      <w:r w:rsidRPr="00AF5EBD">
        <w:rPr>
          <w:rStyle w:val="FootnoteReference"/>
          <w:b/>
          <w:szCs w:val="24"/>
        </w:rPr>
        <w:footnoteReference w:id="2"/>
      </w:r>
      <w:r>
        <w:rPr>
          <w:szCs w:val="24"/>
        </w:rPr>
        <w:t xml:space="preserve">/maximum period for completion of </w:t>
      </w:r>
      <w:r w:rsidR="004D488C">
        <w:rPr>
          <w:szCs w:val="24"/>
        </w:rPr>
        <w:t>course</w:t>
      </w:r>
      <w:r>
        <w:rPr>
          <w:szCs w:val="24"/>
        </w:rPr>
        <w:t xml:space="preserve"> of study: </w:t>
      </w:r>
    </w:p>
    <w:p w:rsidRPr="00B36B02" w:rsidR="00B36B02" w:rsidP="005A243E" w:rsidRDefault="00B36B02" w14:paraId="10A9FFF0" w14:textId="7EAEA546">
      <w:pPr>
        <w:pStyle w:val="ListParagraph"/>
        <w:numPr>
          <w:ilvl w:val="0"/>
          <w:numId w:val="13"/>
        </w:numPr>
        <w:tabs>
          <w:tab w:val="left" w:pos="1276"/>
        </w:tabs>
        <w:autoSpaceDE w:val="0"/>
        <w:autoSpaceDN w:val="0"/>
        <w:adjustRightInd w:val="0"/>
        <w:ind w:left="1276" w:right="237" w:hanging="425"/>
        <w:rPr>
          <w:rFonts w:ascii="Arial" w:hAnsi="Arial" w:cs="Arial"/>
          <w:szCs w:val="24"/>
        </w:rPr>
      </w:pPr>
      <w:r w:rsidRPr="00B36B02">
        <w:rPr>
          <w:rFonts w:ascii="Arial" w:hAnsi="Arial" w:cs="Arial"/>
          <w:szCs w:val="24"/>
        </w:rPr>
        <w:t>Certificate/Certificate of Higher Education:</w:t>
      </w:r>
      <w:r w:rsidR="006D6612">
        <w:rPr>
          <w:rFonts w:ascii="Arial" w:hAnsi="Arial" w:cs="Arial"/>
          <w:szCs w:val="24"/>
        </w:rPr>
        <w:t xml:space="preserve"> </w:t>
      </w:r>
      <w:r w:rsidRPr="00B36B02">
        <w:rPr>
          <w:rFonts w:ascii="Arial" w:hAnsi="Arial" w:cs="Arial"/>
          <w:szCs w:val="24"/>
        </w:rPr>
        <w:t>1 academic year - 6 years</w:t>
      </w:r>
    </w:p>
    <w:p w:rsidRPr="00B36B02" w:rsidR="004E3671" w:rsidP="005A243E" w:rsidRDefault="00B36B02" w14:paraId="20F71C9F" w14:textId="64307464">
      <w:pPr>
        <w:pStyle w:val="ListParagraph"/>
        <w:numPr>
          <w:ilvl w:val="0"/>
          <w:numId w:val="13"/>
        </w:numPr>
        <w:tabs>
          <w:tab w:val="left" w:pos="1276"/>
        </w:tabs>
        <w:autoSpaceDE w:val="0"/>
        <w:autoSpaceDN w:val="0"/>
        <w:adjustRightInd w:val="0"/>
        <w:ind w:left="1276" w:right="237" w:hanging="425"/>
        <w:rPr>
          <w:rFonts w:ascii="Arial" w:hAnsi="Arial" w:cs="Arial"/>
          <w:szCs w:val="24"/>
        </w:rPr>
      </w:pPr>
      <w:r w:rsidRPr="00B36B02">
        <w:rPr>
          <w:rFonts w:ascii="Arial" w:hAnsi="Arial" w:cs="Arial"/>
          <w:szCs w:val="24"/>
        </w:rPr>
        <w:t>Diploma: 1 academic year - 6 years</w:t>
      </w:r>
    </w:p>
    <w:p w:rsidRPr="00B36B02" w:rsidR="00B36B02" w:rsidP="005A243E" w:rsidRDefault="00B36B02" w14:paraId="38C75209" w14:textId="7B5A6697">
      <w:pPr>
        <w:pStyle w:val="ListParagraph"/>
        <w:numPr>
          <w:ilvl w:val="0"/>
          <w:numId w:val="13"/>
        </w:numPr>
        <w:tabs>
          <w:tab w:val="left" w:pos="1276"/>
        </w:tabs>
        <w:autoSpaceDE w:val="0"/>
        <w:autoSpaceDN w:val="0"/>
        <w:adjustRightInd w:val="0"/>
        <w:ind w:left="1276" w:right="237" w:hanging="425"/>
        <w:rPr>
          <w:rFonts w:ascii="Arial" w:hAnsi="Arial" w:cs="Arial"/>
          <w:szCs w:val="24"/>
        </w:rPr>
      </w:pPr>
      <w:r w:rsidRPr="00B36B02">
        <w:rPr>
          <w:rFonts w:ascii="Arial" w:hAnsi="Arial" w:cs="Arial"/>
          <w:szCs w:val="24"/>
        </w:rPr>
        <w:t>Diploma of Higher Education: 2 academic years - 6 years</w:t>
      </w:r>
    </w:p>
    <w:p w:rsidRPr="00B36B02" w:rsidR="00B36B02" w:rsidP="005A243E" w:rsidRDefault="00B36B02" w14:paraId="18A68E8D" w14:textId="0414D4D1">
      <w:pPr>
        <w:pStyle w:val="ListParagraph"/>
        <w:numPr>
          <w:ilvl w:val="0"/>
          <w:numId w:val="13"/>
        </w:numPr>
        <w:tabs>
          <w:tab w:val="left" w:pos="1276"/>
        </w:tabs>
        <w:autoSpaceDE w:val="0"/>
        <w:autoSpaceDN w:val="0"/>
        <w:adjustRightInd w:val="0"/>
        <w:ind w:left="1276" w:right="237" w:hanging="425"/>
        <w:rPr>
          <w:rFonts w:ascii="Arial" w:hAnsi="Arial" w:cs="Arial"/>
          <w:szCs w:val="24"/>
        </w:rPr>
      </w:pPr>
      <w:r w:rsidRPr="00B36B02">
        <w:rPr>
          <w:rFonts w:ascii="Arial" w:hAnsi="Arial" w:cs="Arial"/>
          <w:szCs w:val="24"/>
        </w:rPr>
        <w:t>Graduate Certificate: 6 months - 4 years</w:t>
      </w:r>
    </w:p>
    <w:p w:rsidRPr="00B36B02" w:rsidR="00B36B02" w:rsidP="005A243E" w:rsidRDefault="00B36B02" w14:paraId="2E351A09" w14:textId="1DA148B1">
      <w:pPr>
        <w:pStyle w:val="ListParagraph"/>
        <w:numPr>
          <w:ilvl w:val="0"/>
          <w:numId w:val="13"/>
        </w:numPr>
        <w:tabs>
          <w:tab w:val="left" w:pos="1276"/>
        </w:tabs>
        <w:autoSpaceDE w:val="0"/>
        <w:autoSpaceDN w:val="0"/>
        <w:adjustRightInd w:val="0"/>
        <w:ind w:left="1276" w:right="237" w:hanging="425"/>
        <w:rPr>
          <w:rFonts w:ascii="Arial" w:hAnsi="Arial" w:cs="Arial"/>
          <w:szCs w:val="24"/>
        </w:rPr>
      </w:pPr>
      <w:r w:rsidRPr="00B36B02">
        <w:rPr>
          <w:rFonts w:ascii="Arial" w:hAnsi="Arial" w:cs="Arial"/>
          <w:szCs w:val="24"/>
        </w:rPr>
        <w:t>Graduate Diploma: 1 academic year - 4 years</w:t>
      </w:r>
    </w:p>
    <w:p w:rsidR="00B36B02" w:rsidP="005A243E" w:rsidRDefault="00B36B02" w14:paraId="4F6E6C0B" w14:textId="4889A42C">
      <w:pPr>
        <w:pStyle w:val="ListParagraph"/>
        <w:numPr>
          <w:ilvl w:val="0"/>
          <w:numId w:val="13"/>
        </w:numPr>
        <w:tabs>
          <w:tab w:val="left" w:pos="1276"/>
        </w:tabs>
        <w:autoSpaceDE w:val="0"/>
        <w:autoSpaceDN w:val="0"/>
        <w:adjustRightInd w:val="0"/>
        <w:ind w:left="1276" w:right="237" w:hanging="425"/>
        <w:rPr>
          <w:rFonts w:ascii="Arial" w:hAnsi="Arial" w:cs="Arial"/>
          <w:szCs w:val="24"/>
        </w:rPr>
      </w:pPr>
      <w:r w:rsidRPr="00B36B02">
        <w:rPr>
          <w:rFonts w:ascii="Arial" w:hAnsi="Arial" w:cs="Arial"/>
          <w:szCs w:val="24"/>
        </w:rPr>
        <w:t>Foundation Degree: 2 academic years - 6 years</w:t>
      </w:r>
    </w:p>
    <w:p w:rsidRPr="00B36B02" w:rsidR="00B36B02" w:rsidP="005A243E" w:rsidRDefault="00B36B02" w14:paraId="636BFD5B" w14:textId="22AD4048">
      <w:pPr>
        <w:pStyle w:val="ListParagraph"/>
        <w:numPr>
          <w:ilvl w:val="0"/>
          <w:numId w:val="13"/>
        </w:numPr>
        <w:tabs>
          <w:tab w:val="left" w:pos="1276"/>
        </w:tabs>
        <w:autoSpaceDE w:val="0"/>
        <w:autoSpaceDN w:val="0"/>
        <w:adjustRightInd w:val="0"/>
        <w:ind w:left="1276" w:right="237" w:hanging="425"/>
        <w:rPr>
          <w:rFonts w:ascii="Arial" w:hAnsi="Arial" w:cs="Arial"/>
          <w:szCs w:val="24"/>
        </w:rPr>
      </w:pPr>
      <w:r w:rsidRPr="00B36B02">
        <w:rPr>
          <w:rFonts w:ascii="Arial" w:hAnsi="Arial" w:cs="Arial"/>
          <w:szCs w:val="24"/>
        </w:rPr>
        <w:t>Non-Honours Bachelor’s Degree: 3 academic years - 8 years</w:t>
      </w:r>
    </w:p>
    <w:p w:rsidRPr="00B36B02" w:rsidR="00B36B02" w:rsidP="005A243E" w:rsidRDefault="00B36B02" w14:paraId="6D79C09B" w14:textId="131D62E0">
      <w:pPr>
        <w:pStyle w:val="ListParagraph"/>
        <w:numPr>
          <w:ilvl w:val="0"/>
          <w:numId w:val="13"/>
        </w:numPr>
        <w:tabs>
          <w:tab w:val="left" w:pos="1276"/>
        </w:tabs>
        <w:autoSpaceDE w:val="0"/>
        <w:autoSpaceDN w:val="0"/>
        <w:adjustRightInd w:val="0"/>
        <w:ind w:left="1276" w:right="237" w:hanging="425"/>
        <w:rPr>
          <w:rFonts w:ascii="Arial" w:hAnsi="Arial" w:cs="Arial"/>
          <w:szCs w:val="24"/>
        </w:rPr>
      </w:pPr>
      <w:r w:rsidRPr="00B36B02">
        <w:rPr>
          <w:rFonts w:ascii="Arial" w:hAnsi="Arial" w:cs="Arial"/>
          <w:szCs w:val="24"/>
        </w:rPr>
        <w:t>Bachelor’s Degree with Honours: 3 academic years - 8 years</w:t>
      </w:r>
    </w:p>
    <w:p w:rsidRPr="00B36B02" w:rsidR="00B36B02" w:rsidP="005A243E" w:rsidRDefault="00B36B02" w14:paraId="6966D93B" w14:textId="294361CF">
      <w:pPr>
        <w:pStyle w:val="ListParagraph"/>
        <w:numPr>
          <w:ilvl w:val="0"/>
          <w:numId w:val="13"/>
        </w:numPr>
        <w:tabs>
          <w:tab w:val="left" w:pos="1276"/>
        </w:tabs>
        <w:autoSpaceDE w:val="0"/>
        <w:autoSpaceDN w:val="0"/>
        <w:adjustRightInd w:val="0"/>
        <w:ind w:left="1276" w:right="237" w:hanging="425"/>
        <w:rPr>
          <w:rFonts w:ascii="Arial" w:hAnsi="Arial" w:cs="Arial"/>
          <w:szCs w:val="24"/>
        </w:rPr>
      </w:pPr>
      <w:r w:rsidRPr="00B36B02">
        <w:rPr>
          <w:rFonts w:ascii="Arial" w:hAnsi="Arial" w:cs="Arial"/>
          <w:szCs w:val="24"/>
        </w:rPr>
        <w:t>Extended Master’s Degree: 4 academic years - 8 years</w:t>
      </w:r>
    </w:p>
    <w:p w:rsidRPr="00B36B02" w:rsidR="00B36B02" w:rsidP="005A243E" w:rsidRDefault="00B36B02" w14:paraId="190C0D6E" w14:textId="6E02479D">
      <w:pPr>
        <w:pStyle w:val="ListParagraph"/>
        <w:numPr>
          <w:ilvl w:val="0"/>
          <w:numId w:val="13"/>
        </w:numPr>
        <w:tabs>
          <w:tab w:val="left" w:pos="1276"/>
        </w:tabs>
        <w:autoSpaceDE w:val="0"/>
        <w:autoSpaceDN w:val="0"/>
        <w:adjustRightInd w:val="0"/>
        <w:ind w:left="1276" w:right="237" w:hanging="425"/>
        <w:rPr>
          <w:rFonts w:ascii="Arial" w:hAnsi="Arial" w:cs="Arial"/>
          <w:szCs w:val="24"/>
        </w:rPr>
      </w:pPr>
      <w:r w:rsidRPr="00B36B02">
        <w:rPr>
          <w:rFonts w:ascii="Arial" w:hAnsi="Arial" w:cs="Arial"/>
          <w:szCs w:val="24"/>
        </w:rPr>
        <w:t>Postgraduate Certificate: 6 months - 4 years</w:t>
      </w:r>
    </w:p>
    <w:p w:rsidRPr="00B36B02" w:rsidR="00B36B02" w:rsidP="005A243E" w:rsidRDefault="00B36B02" w14:paraId="6882450C" w14:textId="6CAD4B67">
      <w:pPr>
        <w:pStyle w:val="ListParagraph"/>
        <w:numPr>
          <w:ilvl w:val="0"/>
          <w:numId w:val="13"/>
        </w:numPr>
        <w:tabs>
          <w:tab w:val="left" w:pos="1276"/>
        </w:tabs>
        <w:autoSpaceDE w:val="0"/>
        <w:autoSpaceDN w:val="0"/>
        <w:adjustRightInd w:val="0"/>
        <w:ind w:left="1276" w:right="237" w:hanging="425"/>
        <w:rPr>
          <w:rFonts w:ascii="Arial" w:hAnsi="Arial" w:cs="Arial"/>
          <w:szCs w:val="24"/>
        </w:rPr>
      </w:pPr>
      <w:r w:rsidRPr="00B36B02">
        <w:rPr>
          <w:rFonts w:ascii="Arial" w:hAnsi="Arial" w:cs="Arial"/>
          <w:szCs w:val="24"/>
        </w:rPr>
        <w:t>Postgraduate Diploma: 1 academic year - 6 years</w:t>
      </w:r>
    </w:p>
    <w:p w:rsidRPr="00B36B02" w:rsidR="00B36B02" w:rsidP="005A243E" w:rsidRDefault="00B36B02" w14:paraId="4F329A64" w14:textId="3C86056A">
      <w:pPr>
        <w:pStyle w:val="ListParagraph"/>
        <w:numPr>
          <w:ilvl w:val="0"/>
          <w:numId w:val="13"/>
        </w:numPr>
        <w:tabs>
          <w:tab w:val="left" w:pos="1276"/>
        </w:tabs>
        <w:autoSpaceDE w:val="0"/>
        <w:autoSpaceDN w:val="0"/>
        <w:adjustRightInd w:val="0"/>
        <w:ind w:left="1276" w:right="237" w:hanging="425"/>
        <w:rPr>
          <w:rFonts w:ascii="Arial" w:hAnsi="Arial" w:cs="Arial"/>
          <w:szCs w:val="24"/>
        </w:rPr>
      </w:pPr>
      <w:r w:rsidRPr="00B36B02">
        <w:rPr>
          <w:rFonts w:ascii="Arial" w:hAnsi="Arial" w:cs="Arial"/>
          <w:szCs w:val="24"/>
        </w:rPr>
        <w:t>Master’s Degree (graduate entry): 12 months - 6 years</w:t>
      </w:r>
    </w:p>
    <w:p w:rsidRPr="00AF5EBD" w:rsidR="004E3671" w:rsidP="004E72CE" w:rsidRDefault="004E3671" w14:paraId="6E6A8633" w14:textId="77777777">
      <w:pPr>
        <w:tabs>
          <w:tab w:val="left" w:pos="567"/>
        </w:tabs>
        <w:autoSpaceDE w:val="0"/>
        <w:autoSpaceDN w:val="0"/>
        <w:adjustRightInd w:val="0"/>
        <w:ind w:left="567" w:right="237" w:hanging="567"/>
        <w:rPr>
          <w:szCs w:val="24"/>
        </w:rPr>
      </w:pPr>
      <w:r w:rsidRPr="00AF5EBD">
        <w:rPr>
          <w:szCs w:val="24"/>
        </w:rPr>
        <w:t xml:space="preserve">4.2 </w:t>
      </w:r>
      <w:r w:rsidRPr="00AF5EBD">
        <w:rPr>
          <w:szCs w:val="24"/>
        </w:rPr>
        <w:tab/>
      </w:r>
      <w:r w:rsidRPr="00AF5EBD">
        <w:rPr>
          <w:szCs w:val="24"/>
        </w:rPr>
        <w:t>The Education and Student Experience Committee or the Graduate Studies and Student Experience Committee of the Division, as relevant to the provision, may, in appropriate circumstances and subject to any criteria which may be laid down by the Senate, grant exemption from part of a course of study provided that the requirements of the University’s Credit Framework with regard to limits on credit transfer, or equivalent requirements in the case of a course that is not subject to the Credit Framework, are complied with.</w:t>
      </w:r>
    </w:p>
    <w:p w:rsidRPr="00AF5EBD" w:rsidR="004E3671" w:rsidP="004E72CE" w:rsidRDefault="004E3671" w14:paraId="07AB3AFB" w14:textId="00BBB18B">
      <w:pPr>
        <w:tabs>
          <w:tab w:val="left" w:pos="567"/>
        </w:tabs>
        <w:autoSpaceDE w:val="0"/>
        <w:autoSpaceDN w:val="0"/>
        <w:adjustRightInd w:val="0"/>
        <w:ind w:left="567" w:right="237" w:hanging="567"/>
        <w:rPr>
          <w:szCs w:val="24"/>
        </w:rPr>
      </w:pPr>
      <w:r w:rsidRPr="00AF5EBD">
        <w:rPr>
          <w:szCs w:val="24"/>
        </w:rPr>
        <w:t xml:space="preserve">4.3 </w:t>
      </w:r>
      <w:r w:rsidRPr="00AF5EBD">
        <w:rPr>
          <w:szCs w:val="24"/>
        </w:rPr>
        <w:tab/>
      </w:r>
      <w:r w:rsidR="00770E68">
        <w:rPr>
          <w:szCs w:val="24"/>
        </w:rPr>
        <w:t>After receiving advice and guidance from Divisional Student Support, students</w:t>
      </w:r>
      <w:r w:rsidRPr="00AF5EBD">
        <w:rPr>
          <w:szCs w:val="24"/>
        </w:rPr>
        <w:t xml:space="preserve"> may</w:t>
      </w:r>
      <w:r w:rsidR="00770E68">
        <w:rPr>
          <w:szCs w:val="24"/>
        </w:rPr>
        <w:t xml:space="preserve"> </w:t>
      </w:r>
      <w:r w:rsidRPr="00AF5EBD">
        <w:rPr>
          <w:szCs w:val="24"/>
        </w:rPr>
        <w:t>interrupt registration as a student, normally for a period of not more than one year at a time.</w:t>
      </w:r>
    </w:p>
    <w:p w:rsidRPr="00AF5EBD" w:rsidR="004E3671" w:rsidP="00D025AC" w:rsidRDefault="004E3671" w14:paraId="105674C3" w14:textId="77777777">
      <w:pPr>
        <w:tabs>
          <w:tab w:val="left" w:pos="993"/>
        </w:tabs>
        <w:autoSpaceDE w:val="0"/>
        <w:autoSpaceDN w:val="0"/>
        <w:adjustRightInd w:val="0"/>
        <w:ind w:left="993" w:right="237" w:hanging="709"/>
        <w:rPr>
          <w:szCs w:val="24"/>
        </w:rPr>
      </w:pPr>
    </w:p>
    <w:p w:rsidRPr="00AF5EBD" w:rsidR="004E3671" w:rsidP="008218D8" w:rsidRDefault="004E3671" w14:paraId="5FCA06CC" w14:textId="77777777">
      <w:pPr>
        <w:pStyle w:val="Heading1"/>
      </w:pPr>
      <w:bookmarkStart w:name="_Toc87449565" w:id="4"/>
      <w:r w:rsidRPr="00AF5EBD">
        <w:t>Course of Study and Module Selection Changes</w:t>
      </w:r>
      <w:bookmarkEnd w:id="4"/>
      <w:r w:rsidRPr="00AF5EBD">
        <w:t xml:space="preserve"> </w:t>
      </w:r>
    </w:p>
    <w:p w:rsidRPr="00AF5EBD" w:rsidR="004E3671" w:rsidP="00C013A9" w:rsidRDefault="004E3671" w14:paraId="6473B585" w14:textId="77777777">
      <w:pPr>
        <w:pStyle w:val="ListParagraph"/>
        <w:numPr>
          <w:ilvl w:val="0"/>
          <w:numId w:val="7"/>
        </w:numPr>
        <w:tabs>
          <w:tab w:val="left" w:pos="567"/>
        </w:tabs>
        <w:spacing w:after="120" w:line="240" w:lineRule="auto"/>
        <w:ind w:left="567" w:right="237" w:hanging="567"/>
        <w:contextualSpacing w:val="0"/>
        <w:rPr>
          <w:rFonts w:ascii="Arial" w:hAnsi="Arial" w:cs="Arial"/>
          <w:szCs w:val="24"/>
        </w:rPr>
      </w:pPr>
      <w:r w:rsidRPr="00AF5EBD">
        <w:rPr>
          <w:rFonts w:ascii="Arial" w:hAnsi="Arial" w:cs="Arial"/>
          <w:szCs w:val="24"/>
        </w:rPr>
        <w:t xml:space="preserve">Stage 1 students are permitted to change their module choice(s) during the first three weeks of the Autumn Term and during the first two weeks of the Spring Term (where the student commenced studying the module in the Spring Term). </w:t>
      </w:r>
    </w:p>
    <w:p w:rsidRPr="00AF5EBD" w:rsidR="004E3671" w:rsidP="00C013A9" w:rsidRDefault="004E3671" w14:paraId="4607A15B" w14:textId="77777777">
      <w:pPr>
        <w:pStyle w:val="ListParagraph"/>
        <w:numPr>
          <w:ilvl w:val="0"/>
          <w:numId w:val="7"/>
        </w:numPr>
        <w:tabs>
          <w:tab w:val="left" w:pos="567"/>
        </w:tabs>
        <w:spacing w:after="120" w:line="240" w:lineRule="auto"/>
        <w:ind w:left="567" w:right="237" w:hanging="567"/>
        <w:contextualSpacing w:val="0"/>
        <w:rPr>
          <w:rFonts w:ascii="Arial" w:hAnsi="Arial" w:cs="Arial"/>
          <w:szCs w:val="24"/>
        </w:rPr>
      </w:pPr>
      <w:r w:rsidRPr="00AF5EBD">
        <w:rPr>
          <w:rFonts w:ascii="Arial" w:hAnsi="Arial" w:cs="Arial"/>
          <w:szCs w:val="24"/>
        </w:rPr>
        <w:t xml:space="preserve">For all other stages, students are permitted to change their module choice(s) only during the first two weeks of either term (where the student commenced studying the module in that term). </w:t>
      </w:r>
    </w:p>
    <w:p w:rsidRPr="00AF5EBD" w:rsidR="004E3671" w:rsidP="00C013A9" w:rsidRDefault="004E3671" w14:paraId="2DC60B6F" w14:textId="77777777">
      <w:pPr>
        <w:pStyle w:val="ListParagraph"/>
        <w:numPr>
          <w:ilvl w:val="0"/>
          <w:numId w:val="7"/>
        </w:numPr>
        <w:tabs>
          <w:tab w:val="left" w:pos="567"/>
        </w:tabs>
        <w:spacing w:after="120" w:line="240" w:lineRule="auto"/>
        <w:ind w:left="567" w:right="237" w:hanging="567"/>
        <w:contextualSpacing w:val="0"/>
        <w:rPr>
          <w:rFonts w:ascii="Arial" w:hAnsi="Arial" w:cs="Arial"/>
          <w:szCs w:val="24"/>
        </w:rPr>
      </w:pPr>
      <w:r w:rsidRPr="00AF5EBD">
        <w:rPr>
          <w:rFonts w:ascii="Arial" w:hAnsi="Arial" w:cs="Arial"/>
          <w:szCs w:val="24"/>
        </w:rPr>
        <w:t xml:space="preserve">In all cases, module changes will be permitted subject to available classroom space for the chosen module and subject to the requirements of the student’s course of study. </w:t>
      </w:r>
    </w:p>
    <w:p w:rsidRPr="00AF5EBD" w:rsidR="004E3671" w:rsidP="00C013A9" w:rsidRDefault="004E3671" w14:paraId="21B15FF7" w14:textId="77777777">
      <w:pPr>
        <w:pStyle w:val="ListParagraph"/>
        <w:numPr>
          <w:ilvl w:val="0"/>
          <w:numId w:val="7"/>
        </w:numPr>
        <w:tabs>
          <w:tab w:val="left" w:pos="567"/>
        </w:tabs>
        <w:spacing w:after="120" w:line="240" w:lineRule="auto"/>
        <w:ind w:left="567" w:right="237" w:hanging="567"/>
        <w:contextualSpacing w:val="0"/>
        <w:rPr>
          <w:rFonts w:ascii="Arial" w:hAnsi="Arial" w:cs="Arial"/>
          <w:szCs w:val="24"/>
        </w:rPr>
      </w:pPr>
      <w:r w:rsidRPr="00AF5EBD">
        <w:rPr>
          <w:rFonts w:ascii="Arial" w:hAnsi="Arial" w:cs="Arial"/>
          <w:szCs w:val="24"/>
        </w:rPr>
        <w:t xml:space="preserve">Where students have also selected extracurricular </w:t>
      </w:r>
      <w:proofErr w:type="gramStart"/>
      <w:r w:rsidRPr="00AF5EBD">
        <w:rPr>
          <w:rFonts w:ascii="Arial" w:hAnsi="Arial" w:cs="Arial"/>
          <w:szCs w:val="24"/>
        </w:rPr>
        <w:t>modules</w:t>
      </w:r>
      <w:proofErr w:type="gramEnd"/>
      <w:r w:rsidRPr="00AF5EBD">
        <w:rPr>
          <w:rFonts w:ascii="Arial" w:hAnsi="Arial" w:cs="Arial"/>
          <w:szCs w:val="24"/>
        </w:rPr>
        <w:t xml:space="preserve"> they are required to explicitly indicate which modules are intended to count towards the volume of credit for the stage and which modules are extracurricular. Such module choice will be within the same timeframe as that set out in sections 5.1 and 5.2 above. Once the chosen modules have been designated as counting towards a stage or as extracurricular students will not be permitted to vary it. </w:t>
      </w:r>
    </w:p>
    <w:p w:rsidRPr="00AF5EBD" w:rsidR="004E3671" w:rsidP="00D025AC" w:rsidRDefault="004E3671" w14:paraId="2CBB5AE0" w14:textId="77777777">
      <w:pPr>
        <w:tabs>
          <w:tab w:val="left" w:pos="993"/>
        </w:tabs>
        <w:autoSpaceDE w:val="0"/>
        <w:autoSpaceDN w:val="0"/>
        <w:adjustRightInd w:val="0"/>
        <w:ind w:left="993" w:right="237" w:hanging="709"/>
        <w:rPr>
          <w:szCs w:val="24"/>
        </w:rPr>
      </w:pPr>
    </w:p>
    <w:p w:rsidRPr="00AF5EBD" w:rsidR="004E3671" w:rsidP="008218D8" w:rsidRDefault="004E3671" w14:paraId="2A9A1C8B" w14:textId="77777777">
      <w:pPr>
        <w:pStyle w:val="Heading1"/>
      </w:pPr>
      <w:bookmarkStart w:name="_Toc87449566" w:id="5"/>
      <w:r w:rsidRPr="00AF5EBD">
        <w:t>Course of Study and Coursework Submission Requirements</w:t>
      </w:r>
      <w:bookmarkEnd w:id="5"/>
      <w:r w:rsidRPr="00AF5EBD">
        <w:t xml:space="preserve"> </w:t>
      </w:r>
    </w:p>
    <w:p w:rsidRPr="00AF5EBD" w:rsidR="004E3671" w:rsidP="00C013A9" w:rsidRDefault="004E3671" w14:paraId="7545B9D0" w14:textId="330F274A">
      <w:pPr>
        <w:pStyle w:val="ListParagraph"/>
        <w:numPr>
          <w:ilvl w:val="0"/>
          <w:numId w:val="6"/>
        </w:numPr>
        <w:tabs>
          <w:tab w:val="left" w:pos="567"/>
        </w:tabs>
        <w:autoSpaceDE w:val="0"/>
        <w:autoSpaceDN w:val="0"/>
        <w:adjustRightInd w:val="0"/>
        <w:spacing w:after="120" w:line="240" w:lineRule="auto"/>
        <w:ind w:left="567" w:right="237" w:hanging="567"/>
        <w:contextualSpacing w:val="0"/>
        <w:rPr>
          <w:rFonts w:ascii="Arial" w:hAnsi="Arial" w:cs="Arial"/>
          <w:szCs w:val="24"/>
        </w:rPr>
      </w:pPr>
      <w:r w:rsidRPr="00AF5EBD">
        <w:rPr>
          <w:rFonts w:ascii="Arial" w:hAnsi="Arial" w:cs="Arial"/>
          <w:szCs w:val="24"/>
        </w:rPr>
        <w:t>Except where specifically stated otherwise, all Schools</w:t>
      </w:r>
      <w:r w:rsidR="00C013A9">
        <w:rPr>
          <w:rFonts w:ascii="Arial" w:hAnsi="Arial" w:cs="Arial"/>
          <w:szCs w:val="24"/>
        </w:rPr>
        <w:t>/Divisions</w:t>
      </w:r>
      <w:r w:rsidRPr="00AF5EBD">
        <w:rPr>
          <w:rFonts w:ascii="Arial" w:hAnsi="Arial" w:cs="Arial"/>
          <w:szCs w:val="24"/>
        </w:rPr>
        <w:t xml:space="preserve"> will require the mandatory submission of written coursework in electronic format only. Schools may require a second copy to be submitted in paper format, but failure to comply will not result in failure of the coursework element. Where it is necessary for a School</w:t>
      </w:r>
      <w:r w:rsidR="00C013A9">
        <w:rPr>
          <w:rFonts w:ascii="Arial" w:hAnsi="Arial" w:cs="Arial"/>
          <w:szCs w:val="24"/>
        </w:rPr>
        <w:t>/Division</w:t>
      </w:r>
      <w:r w:rsidRPr="00AF5EBD">
        <w:rPr>
          <w:rFonts w:ascii="Arial" w:hAnsi="Arial" w:cs="Arial"/>
          <w:szCs w:val="24"/>
        </w:rPr>
        <w:t xml:space="preserve"> to require the mandatory submission of written coursework in hard copy (</w:t>
      </w:r>
      <w:proofErr w:type="gramStart"/>
      <w:r w:rsidRPr="00AF5EBD">
        <w:rPr>
          <w:rFonts w:ascii="Arial" w:hAnsi="Arial" w:cs="Arial"/>
          <w:szCs w:val="24"/>
        </w:rPr>
        <w:t>e.g.</w:t>
      </w:r>
      <w:proofErr w:type="gramEnd"/>
      <w:r w:rsidRPr="00AF5EBD">
        <w:rPr>
          <w:rFonts w:ascii="Arial" w:hAnsi="Arial" w:cs="Arial"/>
          <w:szCs w:val="24"/>
        </w:rPr>
        <w:t xml:space="preserve"> in the case of mathematical calculations) students must be explicitly advised in advance. </w:t>
      </w:r>
    </w:p>
    <w:p w:rsidRPr="00AF5EBD" w:rsidR="004E3671" w:rsidP="00C013A9" w:rsidRDefault="004E3671" w14:paraId="0EF65F0B" w14:textId="55440A3D">
      <w:pPr>
        <w:pStyle w:val="ListParagraph"/>
        <w:numPr>
          <w:ilvl w:val="0"/>
          <w:numId w:val="6"/>
        </w:numPr>
        <w:tabs>
          <w:tab w:val="left" w:pos="567"/>
        </w:tabs>
        <w:spacing w:after="120" w:line="240" w:lineRule="auto"/>
        <w:ind w:left="567" w:right="237" w:hanging="567"/>
        <w:contextualSpacing w:val="0"/>
        <w:rPr>
          <w:rFonts w:ascii="Arial" w:hAnsi="Arial" w:eastAsia="Times New Roman" w:cs="Arial"/>
          <w:szCs w:val="24"/>
        </w:rPr>
      </w:pPr>
      <w:r w:rsidRPr="00AF5EBD">
        <w:rPr>
          <w:rFonts w:ascii="Arial" w:hAnsi="Arial" w:eastAsia="Times New Roman" w:cs="Arial"/>
          <w:szCs w:val="24"/>
        </w:rPr>
        <w:t xml:space="preserve">Students are required to state the total word count of written coursework submissions. The word count will include everything in the body of the text, such as quotations, citations, </w:t>
      </w:r>
      <w:proofErr w:type="gramStart"/>
      <w:r w:rsidRPr="00AF5EBD">
        <w:rPr>
          <w:rFonts w:ascii="Arial" w:hAnsi="Arial" w:eastAsia="Times New Roman" w:cs="Arial"/>
          <w:szCs w:val="24"/>
        </w:rPr>
        <w:t>footnotes</w:t>
      </w:r>
      <w:proofErr w:type="gramEnd"/>
      <w:r w:rsidRPr="00AF5EBD">
        <w:rPr>
          <w:rFonts w:ascii="Arial" w:hAnsi="Arial" w:eastAsia="Times New Roman" w:cs="Arial"/>
          <w:szCs w:val="24"/>
        </w:rPr>
        <w:t xml:space="preserve"> and subheadings. It does not include the coursework title, bibliography, references, </w:t>
      </w:r>
      <w:proofErr w:type="gramStart"/>
      <w:r w:rsidRPr="00AF5EBD">
        <w:rPr>
          <w:rFonts w:ascii="Arial" w:hAnsi="Arial" w:eastAsia="Times New Roman" w:cs="Arial"/>
          <w:szCs w:val="24"/>
        </w:rPr>
        <w:t>appendices</w:t>
      </w:r>
      <w:proofErr w:type="gramEnd"/>
      <w:r w:rsidRPr="00AF5EBD">
        <w:rPr>
          <w:rFonts w:ascii="Arial" w:hAnsi="Arial" w:eastAsia="Times New Roman" w:cs="Arial"/>
          <w:szCs w:val="24"/>
        </w:rPr>
        <w:t xml:space="preserve"> or other supplementary material, which does not form an essential part of the text</w:t>
      </w:r>
      <w:r w:rsidR="00816DDF">
        <w:rPr>
          <w:rStyle w:val="FootnoteReference"/>
          <w:rFonts w:ascii="Arial" w:hAnsi="Arial" w:eastAsia="Times New Roman" w:cs="Arial"/>
          <w:szCs w:val="24"/>
        </w:rPr>
        <w:footnoteReference w:id="3"/>
      </w:r>
      <w:r w:rsidRPr="00AF5EBD">
        <w:rPr>
          <w:rFonts w:ascii="Arial" w:hAnsi="Arial" w:eastAsia="Times New Roman" w:cs="Arial"/>
          <w:szCs w:val="24"/>
        </w:rPr>
        <w:t xml:space="preserve">. Unless stated otherwise, there is an allowance of 10% deviation </w:t>
      </w:r>
      <w:proofErr w:type="gramStart"/>
      <w:r w:rsidRPr="00AF5EBD">
        <w:rPr>
          <w:rFonts w:ascii="Arial" w:hAnsi="Arial" w:eastAsia="Times New Roman" w:cs="Arial"/>
          <w:szCs w:val="24"/>
        </w:rPr>
        <w:t>in excess of</w:t>
      </w:r>
      <w:proofErr w:type="gramEnd"/>
      <w:r w:rsidRPr="00AF5EBD">
        <w:rPr>
          <w:rFonts w:ascii="Arial" w:hAnsi="Arial" w:eastAsia="Times New Roman" w:cs="Arial"/>
          <w:szCs w:val="24"/>
        </w:rPr>
        <w:t xml:space="preserve"> the stated maximum word count. </w:t>
      </w:r>
    </w:p>
    <w:p w:rsidRPr="00AF5EBD" w:rsidR="004E3671" w:rsidP="00D025AC" w:rsidRDefault="004E3671" w14:paraId="189FB748" w14:textId="77777777">
      <w:pPr>
        <w:tabs>
          <w:tab w:val="left" w:pos="993"/>
        </w:tabs>
        <w:autoSpaceDE w:val="0"/>
        <w:autoSpaceDN w:val="0"/>
        <w:adjustRightInd w:val="0"/>
        <w:ind w:left="993" w:right="237" w:hanging="709"/>
        <w:rPr>
          <w:szCs w:val="24"/>
        </w:rPr>
      </w:pPr>
    </w:p>
    <w:p w:rsidRPr="00AF5EBD" w:rsidR="004E3671" w:rsidP="008218D8" w:rsidRDefault="004E3671" w14:paraId="42470AC4" w14:textId="77777777">
      <w:pPr>
        <w:pStyle w:val="Heading1"/>
      </w:pPr>
      <w:bookmarkStart w:name="_Toc87449567" w:id="6"/>
      <w:r w:rsidRPr="00AF5EBD">
        <w:t>Course of Study and Progression</w:t>
      </w:r>
      <w:bookmarkEnd w:id="6"/>
    </w:p>
    <w:p w:rsidR="00BC3781" w:rsidP="00BC3781" w:rsidRDefault="00BC3781" w14:paraId="61E27A41" w14:textId="47C33225">
      <w:pPr>
        <w:pStyle w:val="Heading2"/>
        <w:ind w:left="567" w:hanging="567"/>
      </w:pPr>
      <w:bookmarkStart w:name="_Toc87449568" w:id="7"/>
      <w:r>
        <w:t>Methods of Assessment</w:t>
      </w:r>
      <w:bookmarkEnd w:id="7"/>
    </w:p>
    <w:p w:rsidRPr="00AF5EBD" w:rsidR="004E3671" w:rsidP="00C013A9" w:rsidRDefault="00BC3781" w14:paraId="3A74D13A" w14:textId="3FDB1590">
      <w:pPr>
        <w:tabs>
          <w:tab w:val="left" w:pos="567"/>
        </w:tabs>
        <w:ind w:left="567" w:right="237" w:hanging="567"/>
        <w:rPr>
          <w:szCs w:val="24"/>
        </w:rPr>
      </w:pPr>
      <w:r>
        <w:rPr>
          <w:szCs w:val="24"/>
        </w:rPr>
        <w:tab/>
      </w:r>
      <w:r w:rsidRPr="00AF5EBD" w:rsidR="004E3671">
        <w:rPr>
          <w:szCs w:val="24"/>
        </w:rPr>
        <w:t xml:space="preserve">All students shall be provided with details in writing of the course of study for which they are registered and the methods of assessment which will be used to test </w:t>
      </w:r>
      <w:r w:rsidR="00C013A9">
        <w:rPr>
          <w:szCs w:val="24"/>
        </w:rPr>
        <w:t>whether</w:t>
      </w:r>
      <w:r w:rsidRPr="00AF5EBD" w:rsidR="004E3671">
        <w:rPr>
          <w:szCs w:val="24"/>
        </w:rPr>
        <w:t xml:space="preserve"> they have achieved the learning outcomes required for the award of the University</w:t>
      </w:r>
      <w:r>
        <w:rPr>
          <w:szCs w:val="24"/>
        </w:rPr>
        <w:t>,</w:t>
      </w:r>
      <w:r w:rsidRPr="00AF5EBD" w:rsidR="004E3671">
        <w:rPr>
          <w:szCs w:val="24"/>
        </w:rPr>
        <w:t xml:space="preserve"> relevant to the course of study for which they are registered.</w:t>
      </w:r>
    </w:p>
    <w:p w:rsidRPr="00AF5EBD" w:rsidR="004E3671" w:rsidP="00BC3781" w:rsidRDefault="004E3671" w14:paraId="2E8B779C" w14:textId="77777777">
      <w:pPr>
        <w:pStyle w:val="Heading2"/>
        <w:ind w:left="567" w:hanging="567"/>
      </w:pPr>
      <w:bookmarkStart w:name="_Toc87449569" w:id="8"/>
      <w:r w:rsidRPr="00AF5EBD">
        <w:t>Academic Diligence</w:t>
      </w:r>
      <w:bookmarkEnd w:id="8"/>
    </w:p>
    <w:p w:rsidRPr="00AF5EBD" w:rsidR="004E3671" w:rsidP="00BC3781" w:rsidRDefault="004E3671" w14:paraId="377877D6" w14:textId="77777777">
      <w:pPr>
        <w:tabs>
          <w:tab w:val="left" w:pos="1276"/>
        </w:tabs>
        <w:ind w:left="567" w:right="237" w:firstLine="0"/>
        <w:rPr>
          <w:szCs w:val="24"/>
        </w:rPr>
      </w:pPr>
      <w:r w:rsidRPr="00AF5EBD">
        <w:rPr>
          <w:szCs w:val="24"/>
        </w:rPr>
        <w:t xml:space="preserve">If, in the view of the </w:t>
      </w:r>
      <w:bookmarkStart w:name="_Hlk49955526" w:id="9"/>
      <w:r w:rsidRPr="00AF5EBD">
        <w:rPr>
          <w:szCs w:val="24"/>
        </w:rPr>
        <w:t>Education and Student Experience Committee or the Graduate Studies and Student Experience Committee of the Division</w:t>
      </w:r>
      <w:bookmarkEnd w:id="9"/>
      <w:r w:rsidRPr="00AF5EBD">
        <w:rPr>
          <w:szCs w:val="24"/>
        </w:rPr>
        <w:t>, as relevant to the provision, a student persistently fails to attend scheduled events or perform satisfactorily the work prescribed, the University’s Academic Diligence and/or Support to Study procedures shall apply.</w:t>
      </w:r>
    </w:p>
    <w:p w:rsidRPr="00AF5EBD" w:rsidR="004E3671" w:rsidP="00BC3781" w:rsidRDefault="004E3671" w14:paraId="239A1041" w14:textId="77777777">
      <w:pPr>
        <w:pStyle w:val="Heading2"/>
        <w:ind w:left="567" w:hanging="567"/>
      </w:pPr>
      <w:bookmarkStart w:name="_Toc87449570" w:id="10"/>
      <w:r w:rsidRPr="00AF5EBD">
        <w:t>Academic Misconduct</w:t>
      </w:r>
      <w:bookmarkEnd w:id="10"/>
    </w:p>
    <w:p w:rsidRPr="00AF5EBD" w:rsidR="004E3671" w:rsidP="00BC3781" w:rsidRDefault="004E3671" w14:paraId="686E5A56" w14:textId="7566F083">
      <w:pPr>
        <w:tabs>
          <w:tab w:val="left" w:pos="1276"/>
        </w:tabs>
        <w:ind w:left="567" w:right="237" w:firstLine="0"/>
        <w:rPr>
          <w:szCs w:val="24"/>
        </w:rPr>
      </w:pPr>
      <w:r w:rsidRPr="00AF5EBD">
        <w:rPr>
          <w:szCs w:val="24"/>
        </w:rPr>
        <w:t xml:space="preserve">Students have a responsibility to act with honesty, </w:t>
      </w:r>
      <w:proofErr w:type="gramStart"/>
      <w:r w:rsidRPr="00AF5EBD">
        <w:rPr>
          <w:szCs w:val="24"/>
        </w:rPr>
        <w:t>integrity</w:t>
      </w:r>
      <w:proofErr w:type="gramEnd"/>
      <w:r w:rsidRPr="00AF5EBD">
        <w:rPr>
          <w:szCs w:val="24"/>
        </w:rPr>
        <w:t xml:space="preserve"> and fairness in completing assessment requirements in relation to their course of study. Where alleged breaches of academic integrity </w:t>
      </w:r>
      <w:proofErr w:type="gramStart"/>
      <w:r w:rsidRPr="00AF5EBD">
        <w:rPr>
          <w:szCs w:val="24"/>
        </w:rPr>
        <w:t>occur</w:t>
      </w:r>
      <w:proofErr w:type="gramEnd"/>
      <w:r w:rsidRPr="00AF5EBD">
        <w:rPr>
          <w:szCs w:val="24"/>
        </w:rPr>
        <w:t xml:space="preserve"> this is considered to be academic misconduct. Allegations of academic misconduct shall be considered in accordance with the procedures set out in </w:t>
      </w:r>
      <w:hyperlink w:history="1" w:anchor="annex-10" r:id="rId13">
        <w:r w:rsidRPr="00BC3781">
          <w:rPr>
            <w:rStyle w:val="Hyperlink"/>
            <w:szCs w:val="24"/>
          </w:rPr>
          <w:t>Annex 10</w:t>
        </w:r>
      </w:hyperlink>
      <w:r w:rsidRPr="00AF5EBD">
        <w:rPr>
          <w:szCs w:val="24"/>
        </w:rPr>
        <w:t xml:space="preserve"> of the University’s </w:t>
      </w:r>
      <w:r w:rsidRPr="00AF5EBD">
        <w:rPr>
          <w:iCs/>
          <w:szCs w:val="24"/>
        </w:rPr>
        <w:t>Credit Framework</w:t>
      </w:r>
      <w:r w:rsidRPr="00AF5EBD">
        <w:rPr>
          <w:szCs w:val="24"/>
        </w:rPr>
        <w:t>.</w:t>
      </w:r>
    </w:p>
    <w:p w:rsidRPr="00AF5EBD" w:rsidR="004E3671" w:rsidP="00BC3781" w:rsidRDefault="004E3671" w14:paraId="6C8C9571" w14:textId="77777777">
      <w:pPr>
        <w:pStyle w:val="Heading2"/>
        <w:ind w:left="567" w:hanging="567"/>
      </w:pPr>
      <w:bookmarkStart w:name="_Toc87449571" w:id="11"/>
      <w:r w:rsidRPr="00AF5EBD">
        <w:t>Student Progression and Award of Qualifications</w:t>
      </w:r>
      <w:bookmarkEnd w:id="11"/>
    </w:p>
    <w:p w:rsidRPr="00AF5EBD" w:rsidR="004E3671" w:rsidP="00BC3781" w:rsidRDefault="004E3671" w14:paraId="684E0815" w14:textId="170799AE">
      <w:pPr>
        <w:tabs>
          <w:tab w:val="left" w:pos="1276"/>
        </w:tabs>
        <w:ind w:left="567" w:right="237" w:firstLine="0"/>
        <w:rPr>
          <w:szCs w:val="24"/>
        </w:rPr>
      </w:pPr>
      <w:bookmarkStart w:name="153" w:id="12"/>
      <w:bookmarkEnd w:id="12"/>
      <w:r w:rsidRPr="00AF5EBD">
        <w:rPr>
          <w:szCs w:val="24"/>
        </w:rPr>
        <w:t xml:space="preserve">The academic progress of each student towards a </w:t>
      </w:r>
      <w:proofErr w:type="gramStart"/>
      <w:r w:rsidRPr="00AF5EBD">
        <w:rPr>
          <w:szCs w:val="24"/>
        </w:rPr>
        <w:t>University</w:t>
      </w:r>
      <w:proofErr w:type="gramEnd"/>
      <w:r w:rsidRPr="00AF5EBD">
        <w:rPr>
          <w:szCs w:val="24"/>
        </w:rPr>
        <w:t xml:space="preserve"> taught award will be considered by a Board of Examiners at the end of each </w:t>
      </w:r>
      <w:r w:rsidR="00BC3781">
        <w:rPr>
          <w:szCs w:val="24"/>
        </w:rPr>
        <w:t>s</w:t>
      </w:r>
      <w:r w:rsidRPr="00AF5EBD">
        <w:rPr>
          <w:szCs w:val="24"/>
        </w:rPr>
        <w:t xml:space="preserve">tage of a </w:t>
      </w:r>
      <w:r w:rsidR="00BC3781">
        <w:rPr>
          <w:szCs w:val="24"/>
        </w:rPr>
        <w:t>c</w:t>
      </w:r>
      <w:r w:rsidRPr="00AF5EBD">
        <w:rPr>
          <w:szCs w:val="24"/>
        </w:rPr>
        <w:t xml:space="preserve">ourse of </w:t>
      </w:r>
      <w:r w:rsidR="00BC3781">
        <w:rPr>
          <w:szCs w:val="24"/>
        </w:rPr>
        <w:t>s</w:t>
      </w:r>
      <w:r w:rsidRPr="00AF5EBD">
        <w:rPr>
          <w:szCs w:val="24"/>
        </w:rPr>
        <w:t xml:space="preserve">tudy in keeping with the conventions for progression and awards set out in the </w:t>
      </w:r>
      <w:r w:rsidRPr="00AF5EBD">
        <w:rPr>
          <w:iCs/>
          <w:szCs w:val="24"/>
        </w:rPr>
        <w:t>Credit Framework</w:t>
      </w:r>
      <w:r w:rsidRPr="00AF5EBD">
        <w:rPr>
          <w:szCs w:val="24"/>
        </w:rPr>
        <w:t xml:space="preserve">. </w:t>
      </w:r>
    </w:p>
    <w:p w:rsidR="00BC3781" w:rsidP="00BC3781" w:rsidRDefault="00BC3781" w14:paraId="119B9FF7" w14:textId="66A488EB">
      <w:pPr>
        <w:pStyle w:val="Heading2"/>
        <w:ind w:left="567" w:hanging="567"/>
      </w:pPr>
      <w:bookmarkStart w:name="_Toc87449572" w:id="13"/>
      <w:r>
        <w:t>Board of Examiners’ Recommendations</w:t>
      </w:r>
      <w:bookmarkEnd w:id="13"/>
    </w:p>
    <w:p w:rsidRPr="00AF5EBD" w:rsidR="004E3671" w:rsidP="00BC3781" w:rsidRDefault="004E3671" w14:paraId="14990D89" w14:textId="199F5C10">
      <w:pPr>
        <w:pStyle w:val="ListParagraph"/>
        <w:tabs>
          <w:tab w:val="left" w:pos="1560"/>
        </w:tabs>
        <w:autoSpaceDE w:val="0"/>
        <w:autoSpaceDN w:val="0"/>
        <w:adjustRightInd w:val="0"/>
        <w:spacing w:after="120" w:line="240" w:lineRule="auto"/>
        <w:ind w:left="567" w:right="237"/>
        <w:contextualSpacing w:val="0"/>
        <w:rPr>
          <w:rFonts w:ascii="Arial" w:hAnsi="Arial" w:cs="Arial"/>
          <w:szCs w:val="24"/>
        </w:rPr>
      </w:pPr>
      <w:r w:rsidRPr="00AF5EBD">
        <w:rPr>
          <w:rFonts w:ascii="Arial" w:hAnsi="Arial" w:cs="Arial"/>
          <w:szCs w:val="24"/>
        </w:rPr>
        <w:t xml:space="preserve">As relevant to the course of study, the Board of Examiners shall recommend either to the Education and Student Experience Committee or the Graduate Studies and Student Experience Committee of the Division, one of the following outcomes for each student: </w:t>
      </w:r>
    </w:p>
    <w:p w:rsidRPr="00AF5EBD" w:rsidR="004E3671" w:rsidP="00BC3781" w:rsidRDefault="004E3671" w14:paraId="4EA8F691" w14:textId="77777777">
      <w:pPr>
        <w:pStyle w:val="ListParagraph"/>
        <w:numPr>
          <w:ilvl w:val="0"/>
          <w:numId w:val="10"/>
        </w:numPr>
        <w:tabs>
          <w:tab w:val="left" w:pos="851"/>
        </w:tabs>
        <w:spacing w:after="120" w:line="240" w:lineRule="auto"/>
        <w:ind w:left="851" w:right="238" w:hanging="851"/>
        <w:contextualSpacing w:val="0"/>
        <w:rPr>
          <w:rFonts w:ascii="Arial" w:hAnsi="Arial" w:cs="Arial"/>
          <w:szCs w:val="24"/>
        </w:rPr>
      </w:pPr>
      <w:r w:rsidRPr="00AF5EBD">
        <w:rPr>
          <w:rFonts w:ascii="Arial" w:hAnsi="Arial" w:cs="Arial"/>
          <w:szCs w:val="24"/>
        </w:rPr>
        <w:t>that a qualification be awarded; or</w:t>
      </w:r>
    </w:p>
    <w:p w:rsidRPr="00AF5EBD" w:rsidR="004E3671" w:rsidP="00BC3781" w:rsidRDefault="004E3671" w14:paraId="4308028D" w14:textId="77777777">
      <w:pPr>
        <w:pStyle w:val="ListParagraph"/>
        <w:numPr>
          <w:ilvl w:val="0"/>
          <w:numId w:val="10"/>
        </w:numPr>
        <w:tabs>
          <w:tab w:val="left" w:pos="851"/>
        </w:tabs>
        <w:spacing w:after="120" w:line="240" w:lineRule="auto"/>
        <w:ind w:left="851" w:right="238" w:hanging="851"/>
        <w:contextualSpacing w:val="0"/>
        <w:rPr>
          <w:rFonts w:ascii="Arial" w:hAnsi="Arial" w:cs="Arial"/>
          <w:szCs w:val="24"/>
        </w:rPr>
      </w:pPr>
      <w:r w:rsidRPr="00AF5EBD">
        <w:rPr>
          <w:rFonts w:ascii="Arial" w:hAnsi="Arial" w:cs="Arial"/>
          <w:szCs w:val="24"/>
        </w:rPr>
        <w:t>in the case of a taught postgraduate course of study which requires submission of a dissertation, that a qualification be awarded subject to minor corrections to the dissertation being carried out to the satisfaction of the internal examiner within three months; or</w:t>
      </w:r>
    </w:p>
    <w:p w:rsidRPr="00AF5EBD" w:rsidR="004E3671" w:rsidP="00BC3781" w:rsidRDefault="004E3671" w14:paraId="2556A7F4" w14:textId="77777777">
      <w:pPr>
        <w:pStyle w:val="ListParagraph"/>
        <w:numPr>
          <w:ilvl w:val="0"/>
          <w:numId w:val="10"/>
        </w:numPr>
        <w:tabs>
          <w:tab w:val="left" w:pos="851"/>
        </w:tabs>
        <w:spacing w:after="120" w:line="240" w:lineRule="auto"/>
        <w:ind w:left="851" w:right="238" w:hanging="851"/>
        <w:contextualSpacing w:val="0"/>
        <w:rPr>
          <w:rFonts w:ascii="Arial" w:hAnsi="Arial" w:cs="Arial"/>
          <w:szCs w:val="24"/>
        </w:rPr>
      </w:pPr>
      <w:r w:rsidRPr="00AF5EBD">
        <w:rPr>
          <w:rFonts w:ascii="Arial" w:hAnsi="Arial" w:cs="Arial"/>
          <w:szCs w:val="24"/>
        </w:rPr>
        <w:t>that the student be permitted to proceed to the next stage of the course of study for which the student is registered; or</w:t>
      </w:r>
    </w:p>
    <w:p w:rsidRPr="00AF5EBD" w:rsidR="004E3671" w:rsidP="00BC3781" w:rsidRDefault="004E3671" w14:paraId="0875EF1F" w14:textId="77777777">
      <w:pPr>
        <w:pStyle w:val="ListParagraph"/>
        <w:numPr>
          <w:ilvl w:val="0"/>
          <w:numId w:val="10"/>
        </w:numPr>
        <w:tabs>
          <w:tab w:val="left" w:pos="851"/>
        </w:tabs>
        <w:spacing w:after="120" w:line="240" w:lineRule="auto"/>
        <w:ind w:left="851" w:right="238" w:hanging="851"/>
        <w:contextualSpacing w:val="0"/>
        <w:rPr>
          <w:rFonts w:ascii="Arial" w:hAnsi="Arial" w:cs="Arial"/>
          <w:szCs w:val="24"/>
        </w:rPr>
      </w:pPr>
      <w:r w:rsidRPr="00AF5EBD">
        <w:rPr>
          <w:rFonts w:ascii="Arial" w:hAnsi="Arial" w:cs="Arial"/>
          <w:szCs w:val="24"/>
        </w:rPr>
        <w:t xml:space="preserve">that the student be permitted to repeat </w:t>
      </w:r>
      <w:proofErr w:type="gramStart"/>
      <w:r w:rsidRPr="00AF5EBD">
        <w:rPr>
          <w:rFonts w:ascii="Arial" w:hAnsi="Arial" w:cs="Arial"/>
          <w:szCs w:val="24"/>
        </w:rPr>
        <w:t>part</w:t>
      </w:r>
      <w:proofErr w:type="gramEnd"/>
      <w:r w:rsidRPr="00AF5EBD">
        <w:rPr>
          <w:rFonts w:ascii="Arial" w:hAnsi="Arial" w:cs="Arial"/>
          <w:szCs w:val="24"/>
        </w:rPr>
        <w:t xml:space="preserve"> or all of the course of study and assessment as specified by the Board of Examiners and subject to section 7.6 below; or</w:t>
      </w:r>
    </w:p>
    <w:p w:rsidRPr="00AF5EBD" w:rsidR="004E3671" w:rsidP="00BC3781" w:rsidRDefault="004E3671" w14:paraId="2F632392" w14:textId="77777777">
      <w:pPr>
        <w:pStyle w:val="ListParagraph"/>
        <w:numPr>
          <w:ilvl w:val="0"/>
          <w:numId w:val="10"/>
        </w:numPr>
        <w:tabs>
          <w:tab w:val="left" w:pos="851"/>
        </w:tabs>
        <w:spacing w:after="120" w:line="240" w:lineRule="auto"/>
        <w:ind w:left="851" w:right="238" w:hanging="851"/>
        <w:contextualSpacing w:val="0"/>
        <w:rPr>
          <w:rFonts w:ascii="Arial" w:hAnsi="Arial" w:cs="Arial"/>
          <w:szCs w:val="24"/>
        </w:rPr>
      </w:pPr>
      <w:r w:rsidRPr="00AF5EBD">
        <w:rPr>
          <w:rFonts w:ascii="Arial" w:hAnsi="Arial" w:cs="Arial"/>
          <w:szCs w:val="24"/>
        </w:rPr>
        <w:t>that the student be permitted to undertake further assessment as specified by the Board of Examiners and subject to section 7.6, or</w:t>
      </w:r>
    </w:p>
    <w:p w:rsidRPr="00AF5EBD" w:rsidR="004E3671" w:rsidP="00BC3781" w:rsidRDefault="004E3671" w14:paraId="0958716F" w14:textId="77777777">
      <w:pPr>
        <w:pStyle w:val="ListParagraph"/>
        <w:numPr>
          <w:ilvl w:val="0"/>
          <w:numId w:val="10"/>
        </w:numPr>
        <w:tabs>
          <w:tab w:val="left" w:pos="851"/>
        </w:tabs>
        <w:spacing w:after="120" w:line="240" w:lineRule="auto"/>
        <w:ind w:left="851" w:right="238" w:hanging="851"/>
        <w:contextualSpacing w:val="0"/>
        <w:rPr>
          <w:rFonts w:ascii="Arial" w:hAnsi="Arial" w:cs="Arial"/>
          <w:szCs w:val="24"/>
        </w:rPr>
      </w:pPr>
      <w:r w:rsidRPr="00AF5EBD">
        <w:rPr>
          <w:rFonts w:ascii="Arial" w:hAnsi="Arial" w:cs="Arial"/>
          <w:szCs w:val="24"/>
        </w:rPr>
        <w:t>that the student be permitted to proceed to an appropriate stage of a different course of study as specified by the Board of Examiners; or</w:t>
      </w:r>
    </w:p>
    <w:p w:rsidRPr="00AF5EBD" w:rsidR="004E3671" w:rsidP="00BC3781" w:rsidRDefault="004E3671" w14:paraId="21045730" w14:textId="77777777">
      <w:pPr>
        <w:pStyle w:val="ListParagraph"/>
        <w:numPr>
          <w:ilvl w:val="0"/>
          <w:numId w:val="10"/>
        </w:numPr>
        <w:tabs>
          <w:tab w:val="left" w:pos="1276"/>
        </w:tabs>
        <w:spacing w:after="120" w:line="240" w:lineRule="auto"/>
        <w:ind w:left="851" w:right="238" w:hanging="851"/>
        <w:contextualSpacing w:val="0"/>
        <w:rPr>
          <w:rFonts w:ascii="Arial" w:hAnsi="Arial" w:cs="Arial"/>
          <w:szCs w:val="24"/>
        </w:rPr>
      </w:pPr>
      <w:r w:rsidRPr="00AF5EBD">
        <w:rPr>
          <w:rFonts w:ascii="Arial" w:hAnsi="Arial" w:cs="Arial"/>
          <w:color w:val="000000"/>
          <w:szCs w:val="24"/>
          <w:shd w:val="clear" w:color="auto" w:fill="FFFFFF"/>
        </w:rPr>
        <w:t>that when a student has completed a year of study but has not completed a stage of a course of study, that the student may continue with his or her studies;</w:t>
      </w:r>
      <w:r w:rsidRPr="00AF5EBD">
        <w:rPr>
          <w:rFonts w:ascii="Arial" w:hAnsi="Arial" w:cs="Arial"/>
          <w:szCs w:val="24"/>
        </w:rPr>
        <w:t xml:space="preserve"> or</w:t>
      </w:r>
    </w:p>
    <w:p w:rsidRPr="00AF5EBD" w:rsidR="004E3671" w:rsidP="00BC3781" w:rsidRDefault="004E3671" w14:paraId="3E919831" w14:textId="77777777">
      <w:pPr>
        <w:pStyle w:val="ListParagraph"/>
        <w:numPr>
          <w:ilvl w:val="0"/>
          <w:numId w:val="10"/>
        </w:numPr>
        <w:tabs>
          <w:tab w:val="left" w:pos="1276"/>
        </w:tabs>
        <w:spacing w:after="120" w:line="240" w:lineRule="auto"/>
        <w:ind w:left="851" w:right="238" w:hanging="851"/>
        <w:contextualSpacing w:val="0"/>
        <w:rPr>
          <w:rFonts w:ascii="Arial" w:hAnsi="Arial" w:cs="Arial"/>
          <w:szCs w:val="24"/>
        </w:rPr>
      </w:pPr>
      <w:r w:rsidRPr="00AF5EBD">
        <w:rPr>
          <w:rFonts w:ascii="Arial" w:hAnsi="Arial" w:cs="Arial"/>
          <w:szCs w:val="24"/>
        </w:rPr>
        <w:t>that the student be required to withdraw from the course of study and from the University.</w:t>
      </w:r>
    </w:p>
    <w:p w:rsidR="00214525" w:rsidP="00214525" w:rsidRDefault="00214525" w14:paraId="17FD0A3E" w14:textId="0B6174E2">
      <w:pPr>
        <w:pStyle w:val="Heading2"/>
        <w:ind w:left="567" w:hanging="567"/>
      </w:pPr>
      <w:bookmarkStart w:name="_Toc87449573" w:id="14"/>
      <w:r>
        <w:t>Failure of Modules</w:t>
      </w:r>
      <w:bookmarkEnd w:id="14"/>
    </w:p>
    <w:p w:rsidRPr="00AF5EBD" w:rsidR="004E3671" w:rsidP="00214525" w:rsidRDefault="004E3671" w14:paraId="72885BC6" w14:textId="6F407CB4">
      <w:pPr>
        <w:pStyle w:val="ListParagraph"/>
        <w:tabs>
          <w:tab w:val="left" w:pos="851"/>
        </w:tabs>
        <w:spacing w:after="120" w:line="240" w:lineRule="auto"/>
        <w:ind w:left="567" w:right="237"/>
        <w:contextualSpacing w:val="0"/>
        <w:rPr>
          <w:rFonts w:ascii="Arial" w:hAnsi="Arial" w:cs="Arial"/>
          <w:szCs w:val="24"/>
        </w:rPr>
      </w:pPr>
      <w:r w:rsidRPr="00AF5EBD">
        <w:rPr>
          <w:rFonts w:ascii="Arial" w:hAnsi="Arial" w:cs="Arial"/>
          <w:szCs w:val="24"/>
        </w:rPr>
        <w:t xml:space="preserve">A student may be registered on a module on, at most, three occasions. </w:t>
      </w:r>
      <w:proofErr w:type="gramStart"/>
      <w:r w:rsidRPr="00AF5EBD">
        <w:rPr>
          <w:rFonts w:ascii="Arial" w:hAnsi="Arial" w:cs="Arial"/>
          <w:szCs w:val="24"/>
        </w:rPr>
        <w:t>Thus</w:t>
      </w:r>
      <w:proofErr w:type="gramEnd"/>
      <w:r w:rsidRPr="00AF5EBD">
        <w:rPr>
          <w:rFonts w:ascii="Arial" w:hAnsi="Arial" w:cs="Arial"/>
          <w:szCs w:val="24"/>
        </w:rPr>
        <w:t xml:space="preserve"> a student who has failed a module on three occasions will not be permitted to undertake further assessment on the module in question. This may be varied where valid extenuating circumstances have been submitted by the student and accepted by the University.</w:t>
      </w:r>
    </w:p>
    <w:p w:rsidR="00214525" w:rsidP="00214525" w:rsidRDefault="00214525" w14:paraId="0DF38CA5" w14:textId="77C5ACFE">
      <w:pPr>
        <w:pStyle w:val="Heading2"/>
        <w:ind w:left="567" w:hanging="567"/>
      </w:pPr>
      <w:bookmarkStart w:name="_Toc87449574" w:id="15"/>
      <w:r>
        <w:t>Different Versions of Modules</w:t>
      </w:r>
      <w:bookmarkEnd w:id="15"/>
    </w:p>
    <w:p w:rsidRPr="00AF5EBD" w:rsidR="004E3671" w:rsidP="00214525" w:rsidRDefault="004E3671" w14:paraId="7435C22C" w14:textId="718ECA4B">
      <w:pPr>
        <w:pStyle w:val="ListParagraph"/>
        <w:tabs>
          <w:tab w:val="left" w:pos="567"/>
        </w:tabs>
        <w:spacing w:after="120" w:line="240" w:lineRule="auto"/>
        <w:ind w:left="567" w:right="237"/>
        <w:contextualSpacing w:val="0"/>
        <w:rPr>
          <w:rFonts w:ascii="Arial" w:hAnsi="Arial" w:cs="Arial"/>
          <w:szCs w:val="24"/>
        </w:rPr>
      </w:pPr>
      <w:r w:rsidRPr="00AF5EBD">
        <w:rPr>
          <w:rFonts w:ascii="Arial" w:hAnsi="Arial" w:cs="Arial"/>
          <w:szCs w:val="24"/>
        </w:rPr>
        <w:t xml:space="preserve">Where there are modules at different levels which have the same or similar curriculum (see Credit Framework section 3.3), students are not permitted to take more than one version of the module as part of their </w:t>
      </w:r>
      <w:r w:rsidR="004D488C">
        <w:rPr>
          <w:rFonts w:ascii="Arial" w:hAnsi="Arial" w:cs="Arial"/>
          <w:szCs w:val="24"/>
        </w:rPr>
        <w:t>course</w:t>
      </w:r>
      <w:r w:rsidRPr="00AF5EBD">
        <w:rPr>
          <w:rFonts w:ascii="Arial" w:hAnsi="Arial" w:cs="Arial"/>
          <w:szCs w:val="24"/>
        </w:rPr>
        <w:t xml:space="preserve"> of study.</w:t>
      </w:r>
    </w:p>
    <w:p w:rsidRPr="00AF5EBD" w:rsidR="004E3671" w:rsidP="00D025AC" w:rsidRDefault="004E3671" w14:paraId="4D670CF1" w14:textId="77777777">
      <w:pPr>
        <w:tabs>
          <w:tab w:val="left" w:pos="993"/>
        </w:tabs>
        <w:autoSpaceDE w:val="0"/>
        <w:autoSpaceDN w:val="0"/>
        <w:adjustRightInd w:val="0"/>
        <w:ind w:left="993" w:right="237" w:hanging="709"/>
        <w:rPr>
          <w:szCs w:val="24"/>
        </w:rPr>
      </w:pPr>
    </w:p>
    <w:p w:rsidRPr="00AF5EBD" w:rsidR="004E3671" w:rsidP="008218D8" w:rsidRDefault="004E3671" w14:paraId="0568563E" w14:textId="77777777">
      <w:pPr>
        <w:pStyle w:val="Heading1"/>
      </w:pPr>
      <w:bookmarkStart w:name="_Toc87449575" w:id="16"/>
      <w:r w:rsidRPr="00AF5EBD">
        <w:t>Examination Duration</w:t>
      </w:r>
      <w:bookmarkEnd w:id="16"/>
      <w:r w:rsidRPr="00AF5EBD">
        <w:t xml:space="preserve"> </w:t>
      </w:r>
    </w:p>
    <w:p w:rsidRPr="00AF5EBD" w:rsidR="004E3671" w:rsidP="00BF1E8D" w:rsidRDefault="004E3671" w14:paraId="0EC13017" w14:textId="77777777">
      <w:pPr>
        <w:tabs>
          <w:tab w:val="left" w:pos="567"/>
        </w:tabs>
        <w:autoSpaceDE w:val="0"/>
        <w:autoSpaceDN w:val="0"/>
        <w:adjustRightInd w:val="0"/>
        <w:ind w:left="567" w:right="237" w:hanging="567"/>
        <w:rPr>
          <w:szCs w:val="24"/>
        </w:rPr>
      </w:pPr>
      <w:r w:rsidRPr="00AF5EBD">
        <w:rPr>
          <w:szCs w:val="24"/>
        </w:rPr>
        <w:t>8.1</w:t>
      </w:r>
      <w:r w:rsidRPr="00AF5EBD">
        <w:rPr>
          <w:szCs w:val="24"/>
        </w:rPr>
        <w:tab/>
      </w:r>
      <w:r w:rsidRPr="00AF5EBD">
        <w:rPr>
          <w:szCs w:val="24"/>
        </w:rPr>
        <w:t xml:space="preserve">The duration of each individual examination shall be either two hours or three hours, to be stated in the relevant module specification. </w:t>
      </w:r>
    </w:p>
    <w:p w:rsidRPr="00AF5EBD" w:rsidR="004E3671" w:rsidP="00BF1E8D" w:rsidRDefault="004E3671" w14:paraId="245E923D" w14:textId="77777777">
      <w:pPr>
        <w:tabs>
          <w:tab w:val="left" w:pos="567"/>
        </w:tabs>
        <w:autoSpaceDE w:val="0"/>
        <w:autoSpaceDN w:val="0"/>
        <w:adjustRightInd w:val="0"/>
        <w:ind w:left="567" w:right="237" w:hanging="567"/>
        <w:rPr>
          <w:szCs w:val="24"/>
        </w:rPr>
      </w:pPr>
      <w:r w:rsidRPr="00AF5EBD">
        <w:rPr>
          <w:szCs w:val="24"/>
        </w:rPr>
        <w:t>8.2</w:t>
      </w:r>
      <w:r w:rsidRPr="00AF5EBD">
        <w:rPr>
          <w:szCs w:val="24"/>
        </w:rPr>
        <w:tab/>
      </w:r>
      <w:r w:rsidRPr="00AF5EBD">
        <w:rPr>
          <w:szCs w:val="24"/>
        </w:rPr>
        <w:t>An exception to 8.1 may be permitted in certain circumstances, where the examination is administered locally by the School or Division (</w:t>
      </w:r>
      <w:proofErr w:type="gramStart"/>
      <w:r w:rsidRPr="00AF5EBD">
        <w:rPr>
          <w:szCs w:val="24"/>
        </w:rPr>
        <w:t>i.e.</w:t>
      </w:r>
      <w:proofErr w:type="gramEnd"/>
      <w:r w:rsidRPr="00AF5EBD">
        <w:rPr>
          <w:szCs w:val="24"/>
        </w:rPr>
        <w:t xml:space="preserve"> where not administered by the Examinations Team of the Central/Medway Student Administration Offices), is specifically for blended learning contexts and is to be less than two hours. </w:t>
      </w:r>
    </w:p>
    <w:p w:rsidRPr="00AF5EBD" w:rsidR="004E3671" w:rsidP="00BF1E8D" w:rsidRDefault="004E3671" w14:paraId="5B1CE442" w14:textId="4FD54AFB">
      <w:pPr>
        <w:tabs>
          <w:tab w:val="left" w:pos="851"/>
        </w:tabs>
        <w:autoSpaceDE w:val="0"/>
        <w:autoSpaceDN w:val="0"/>
        <w:adjustRightInd w:val="0"/>
        <w:ind w:left="851" w:right="237" w:hanging="851"/>
        <w:rPr>
          <w:szCs w:val="24"/>
        </w:rPr>
      </w:pPr>
      <w:r w:rsidRPr="00BF1E8D">
        <w:rPr>
          <w:sz w:val="22"/>
        </w:rPr>
        <w:t>8.2.1</w:t>
      </w:r>
      <w:r w:rsidRPr="00AF5EBD">
        <w:rPr>
          <w:szCs w:val="24"/>
        </w:rPr>
        <w:tab/>
      </w:r>
      <w:r w:rsidRPr="00AF5EBD">
        <w:rPr>
          <w:szCs w:val="24"/>
        </w:rPr>
        <w:t xml:space="preserve">Such exceptions must be approved in advance, </w:t>
      </w:r>
      <w:proofErr w:type="gramStart"/>
      <w:r w:rsidRPr="00AF5EBD">
        <w:rPr>
          <w:szCs w:val="24"/>
        </w:rPr>
        <w:t>i.e.</w:t>
      </w:r>
      <w:proofErr w:type="gramEnd"/>
      <w:r w:rsidRPr="00AF5EBD">
        <w:rPr>
          <w:szCs w:val="24"/>
        </w:rPr>
        <w:t xml:space="preserve"> the School</w:t>
      </w:r>
      <w:r w:rsidR="00BF1E8D">
        <w:rPr>
          <w:szCs w:val="24"/>
        </w:rPr>
        <w:t>/Division</w:t>
      </w:r>
      <w:r w:rsidRPr="00AF5EBD">
        <w:rPr>
          <w:szCs w:val="24"/>
        </w:rPr>
        <w:t xml:space="preserve"> in question must make its case to the Quality Assurance and Compliance Office in writing</w:t>
      </w:r>
      <w:r w:rsidR="00BF1E8D">
        <w:rPr>
          <w:szCs w:val="24"/>
        </w:rPr>
        <w:t>. T</w:t>
      </w:r>
      <w:r w:rsidRPr="00AF5EBD">
        <w:rPr>
          <w:szCs w:val="24"/>
        </w:rPr>
        <w:t xml:space="preserve">he Quality Assurance and Compliance Office will liaise with the DVC Education and Student Experience (or nominee) and will relay the decision to the School/Division. </w:t>
      </w:r>
    </w:p>
    <w:p w:rsidRPr="00AF5EBD" w:rsidR="004E3671" w:rsidP="00BF1E8D" w:rsidRDefault="004E3671" w14:paraId="7E6D975B" w14:textId="77777777">
      <w:pPr>
        <w:tabs>
          <w:tab w:val="left" w:pos="851"/>
        </w:tabs>
        <w:autoSpaceDE w:val="0"/>
        <w:autoSpaceDN w:val="0"/>
        <w:adjustRightInd w:val="0"/>
        <w:ind w:left="851" w:right="237" w:hanging="851"/>
        <w:rPr>
          <w:szCs w:val="24"/>
        </w:rPr>
      </w:pPr>
      <w:r w:rsidRPr="00BF1E8D">
        <w:rPr>
          <w:sz w:val="22"/>
        </w:rPr>
        <w:t>8.2.2</w:t>
      </w:r>
      <w:r w:rsidRPr="00AF5EBD">
        <w:rPr>
          <w:szCs w:val="24"/>
        </w:rPr>
        <w:tab/>
      </w:r>
      <w:r w:rsidRPr="00AF5EBD">
        <w:rPr>
          <w:szCs w:val="24"/>
        </w:rPr>
        <w:t xml:space="preserve">Where an exception is permitted the School/Division, as relevant, will undertake responsibility for ensuring that the examination and its administration is subject to Kent’s quality assurance procedures. </w:t>
      </w:r>
    </w:p>
    <w:p w:rsidRPr="00AF5EBD" w:rsidR="004E3671" w:rsidP="00D025AC" w:rsidRDefault="004E3671" w14:paraId="4D548707" w14:textId="77777777">
      <w:pPr>
        <w:pStyle w:val="ListParagraph"/>
        <w:tabs>
          <w:tab w:val="left" w:pos="993"/>
        </w:tabs>
        <w:autoSpaceDE w:val="0"/>
        <w:autoSpaceDN w:val="0"/>
        <w:adjustRightInd w:val="0"/>
        <w:spacing w:after="120" w:line="240" w:lineRule="auto"/>
        <w:ind w:left="993" w:right="237" w:hanging="709"/>
        <w:contextualSpacing w:val="0"/>
        <w:rPr>
          <w:rFonts w:ascii="Arial" w:hAnsi="Arial" w:cs="Arial"/>
          <w:szCs w:val="24"/>
        </w:rPr>
      </w:pPr>
    </w:p>
    <w:p w:rsidRPr="00AF5EBD" w:rsidR="004E3671" w:rsidP="008218D8" w:rsidRDefault="004E3671" w14:paraId="3ECCF2E2" w14:textId="77777777">
      <w:pPr>
        <w:pStyle w:val="Heading1"/>
      </w:pPr>
      <w:bookmarkStart w:name="_Toc87449576" w:id="17"/>
      <w:r w:rsidRPr="00AF5EBD">
        <w:t>Award of Qualifications</w:t>
      </w:r>
      <w:bookmarkEnd w:id="17"/>
    </w:p>
    <w:p w:rsidRPr="00AF5EBD" w:rsidR="004E3671" w:rsidP="00BF1E8D" w:rsidRDefault="004E3671" w14:paraId="578E8BB0" w14:textId="77777777">
      <w:pPr>
        <w:pStyle w:val="ListParagraph"/>
        <w:numPr>
          <w:ilvl w:val="0"/>
          <w:numId w:val="4"/>
        </w:numPr>
        <w:tabs>
          <w:tab w:val="left" w:pos="567"/>
        </w:tabs>
        <w:autoSpaceDE w:val="0"/>
        <w:autoSpaceDN w:val="0"/>
        <w:adjustRightInd w:val="0"/>
        <w:spacing w:after="120" w:line="240" w:lineRule="auto"/>
        <w:ind w:left="567" w:right="237" w:hanging="567"/>
        <w:contextualSpacing w:val="0"/>
        <w:rPr>
          <w:rFonts w:ascii="Arial" w:hAnsi="Arial" w:cs="Arial"/>
          <w:szCs w:val="24"/>
        </w:rPr>
      </w:pPr>
      <w:r w:rsidRPr="00AF5EBD">
        <w:rPr>
          <w:rFonts w:ascii="Arial" w:hAnsi="Arial" w:cs="Arial"/>
          <w:szCs w:val="24"/>
        </w:rPr>
        <w:t>The award of a qualification must be approved by the Education and Student Experience Committee or the Graduate Studies and Student Experience Committee of the Division (as relevant to the provision)</w:t>
      </w:r>
      <w:r w:rsidRPr="00AF5EBD" w:rsidDel="004633CD">
        <w:rPr>
          <w:rFonts w:ascii="Arial" w:hAnsi="Arial" w:cs="Arial"/>
          <w:szCs w:val="24"/>
        </w:rPr>
        <w:t xml:space="preserve"> </w:t>
      </w:r>
      <w:r w:rsidRPr="00AF5EBD">
        <w:rPr>
          <w:rFonts w:ascii="Arial" w:hAnsi="Arial" w:cs="Arial"/>
          <w:szCs w:val="24"/>
        </w:rPr>
        <w:t>and by the Senate or by persons authorised by the Education and Student Experience Committee or the Graduate Studies and Student Experience Committee and the Senate to act on their behalf.</w:t>
      </w:r>
    </w:p>
    <w:p w:rsidRPr="00AF5EBD" w:rsidR="004E3671" w:rsidP="00BF1E8D" w:rsidRDefault="004E3671" w14:paraId="1291B2A3" w14:textId="77777777">
      <w:pPr>
        <w:pStyle w:val="ListParagraph"/>
        <w:numPr>
          <w:ilvl w:val="0"/>
          <w:numId w:val="4"/>
        </w:numPr>
        <w:tabs>
          <w:tab w:val="left" w:pos="567"/>
        </w:tabs>
        <w:autoSpaceDE w:val="0"/>
        <w:autoSpaceDN w:val="0"/>
        <w:adjustRightInd w:val="0"/>
        <w:spacing w:after="120" w:line="240" w:lineRule="auto"/>
        <w:ind w:left="567" w:right="237" w:hanging="567"/>
        <w:contextualSpacing w:val="0"/>
        <w:rPr>
          <w:rFonts w:ascii="Arial" w:hAnsi="Arial" w:cs="Arial"/>
          <w:szCs w:val="24"/>
        </w:rPr>
      </w:pPr>
      <w:r w:rsidRPr="00AF5EBD">
        <w:rPr>
          <w:rFonts w:ascii="Arial" w:hAnsi="Arial" w:cs="Arial"/>
          <w:szCs w:val="24"/>
        </w:rPr>
        <w:t>The award of a qualification may be withheld where a student owes money to the University. Such students will not normally be informed of the recommendation of the Board of Examiners concerning them.</w:t>
      </w:r>
    </w:p>
    <w:p w:rsidRPr="00AF5EBD" w:rsidR="004E3671" w:rsidP="00BF1E8D" w:rsidRDefault="004E3671" w14:paraId="7A7EC691" w14:textId="77777777">
      <w:pPr>
        <w:pStyle w:val="ListParagraph"/>
        <w:numPr>
          <w:ilvl w:val="0"/>
          <w:numId w:val="4"/>
        </w:numPr>
        <w:tabs>
          <w:tab w:val="left" w:pos="567"/>
        </w:tabs>
        <w:autoSpaceDE w:val="0"/>
        <w:autoSpaceDN w:val="0"/>
        <w:adjustRightInd w:val="0"/>
        <w:spacing w:after="120" w:line="240" w:lineRule="auto"/>
        <w:ind w:left="567" w:right="237" w:hanging="567"/>
        <w:contextualSpacing w:val="0"/>
        <w:rPr>
          <w:rFonts w:ascii="Arial" w:hAnsi="Arial" w:cs="Arial"/>
          <w:szCs w:val="24"/>
        </w:rPr>
      </w:pPr>
      <w:r w:rsidRPr="00AF5EBD">
        <w:rPr>
          <w:rFonts w:ascii="Arial" w:hAnsi="Arial" w:cs="Arial"/>
          <w:szCs w:val="24"/>
        </w:rPr>
        <w:t>Once an award has been conferred on a student neither the qualification awarded nor the course title may be changed, whether wholly or in part. (With the exception of where an error has been made in the recording of the qualification achieved or the stated award title.)</w:t>
      </w:r>
    </w:p>
    <w:p w:rsidRPr="00AF5EBD" w:rsidR="004E3671" w:rsidP="00D025AC" w:rsidRDefault="004E3671" w14:paraId="6C94A115" w14:textId="77777777">
      <w:pPr>
        <w:tabs>
          <w:tab w:val="left" w:pos="993"/>
        </w:tabs>
        <w:autoSpaceDE w:val="0"/>
        <w:autoSpaceDN w:val="0"/>
        <w:adjustRightInd w:val="0"/>
        <w:ind w:left="993" w:right="237" w:hanging="709"/>
        <w:rPr>
          <w:szCs w:val="24"/>
        </w:rPr>
      </w:pPr>
    </w:p>
    <w:p w:rsidRPr="00AF5EBD" w:rsidR="004E3671" w:rsidP="008218D8" w:rsidRDefault="004E3671" w14:paraId="1CF49EF0" w14:textId="77777777">
      <w:pPr>
        <w:pStyle w:val="Heading1"/>
      </w:pPr>
      <w:bookmarkStart w:name="_Toc87449577" w:id="18"/>
      <w:r w:rsidRPr="00AF5EBD">
        <w:t>Mitigation of Extenuating Circumstances</w:t>
      </w:r>
      <w:bookmarkEnd w:id="18"/>
    </w:p>
    <w:p w:rsidRPr="00AF5EBD" w:rsidR="004E3671" w:rsidP="00BF1E8D" w:rsidRDefault="004E3671" w14:paraId="6F821DD9" w14:textId="0FAA94EA">
      <w:pPr>
        <w:pStyle w:val="ListParagraph"/>
        <w:tabs>
          <w:tab w:val="left" w:pos="1276"/>
        </w:tabs>
        <w:autoSpaceDE w:val="0"/>
        <w:autoSpaceDN w:val="0"/>
        <w:adjustRightInd w:val="0"/>
        <w:spacing w:after="120" w:line="240" w:lineRule="auto"/>
        <w:ind w:left="567" w:right="237"/>
        <w:contextualSpacing w:val="0"/>
        <w:rPr>
          <w:rFonts w:ascii="Arial" w:hAnsi="Arial" w:cs="Arial"/>
          <w:b/>
          <w:szCs w:val="24"/>
        </w:rPr>
      </w:pPr>
      <w:r w:rsidRPr="00AF5EBD">
        <w:rPr>
          <w:rFonts w:ascii="Arial" w:hAnsi="Arial" w:cs="Arial"/>
          <w:szCs w:val="24"/>
        </w:rPr>
        <w:t>Where circumstances mean that a student wishes to submit an application for mitigation</w:t>
      </w:r>
      <w:r w:rsidR="00935956">
        <w:rPr>
          <w:rFonts w:ascii="Arial" w:hAnsi="Arial" w:cs="Arial"/>
          <w:szCs w:val="24"/>
        </w:rPr>
        <w:t>,</w:t>
      </w:r>
      <w:r w:rsidRPr="00AF5EBD">
        <w:rPr>
          <w:rFonts w:ascii="Arial" w:hAnsi="Arial" w:cs="Arial"/>
          <w:szCs w:val="24"/>
        </w:rPr>
        <w:t xml:space="preserve"> </w:t>
      </w:r>
      <w:hyperlink w:history="1" w:anchor="annex-9" r:id="rId14">
        <w:r w:rsidRPr="00935956">
          <w:rPr>
            <w:rStyle w:val="Hyperlink"/>
            <w:rFonts w:ascii="Arial" w:hAnsi="Arial" w:cs="Arial"/>
            <w:iCs/>
            <w:szCs w:val="24"/>
          </w:rPr>
          <w:t>Annex 9</w:t>
        </w:r>
      </w:hyperlink>
      <w:r w:rsidRPr="00AF5EBD">
        <w:rPr>
          <w:rFonts w:ascii="Arial" w:hAnsi="Arial" w:cs="Arial"/>
          <w:szCs w:val="24"/>
        </w:rPr>
        <w:t xml:space="preserve"> of the </w:t>
      </w:r>
      <w:r w:rsidRPr="00AF5EBD">
        <w:rPr>
          <w:rFonts w:ascii="Arial" w:hAnsi="Arial" w:cs="Arial"/>
          <w:iCs/>
          <w:szCs w:val="24"/>
        </w:rPr>
        <w:t>Credit Framework for Taught Courses of Study</w:t>
      </w:r>
      <w:r w:rsidRPr="00AF5EBD">
        <w:rPr>
          <w:rFonts w:ascii="Arial" w:hAnsi="Arial" w:cs="Arial"/>
          <w:i/>
          <w:iCs/>
          <w:szCs w:val="24"/>
        </w:rPr>
        <w:t xml:space="preserve"> </w:t>
      </w:r>
      <w:r w:rsidRPr="00AF5EBD">
        <w:rPr>
          <w:rFonts w:ascii="Arial" w:hAnsi="Arial" w:cs="Arial"/>
          <w:szCs w:val="24"/>
        </w:rPr>
        <w:t>shall apply.</w:t>
      </w:r>
    </w:p>
    <w:p w:rsidRPr="00AF5EBD" w:rsidR="004E3671" w:rsidP="00D025AC" w:rsidRDefault="004E3671" w14:paraId="6DC004AA" w14:textId="77777777">
      <w:pPr>
        <w:pStyle w:val="ListParagraph"/>
        <w:tabs>
          <w:tab w:val="left" w:pos="993"/>
        </w:tabs>
        <w:autoSpaceDE w:val="0"/>
        <w:autoSpaceDN w:val="0"/>
        <w:adjustRightInd w:val="0"/>
        <w:spacing w:after="120" w:line="240" w:lineRule="auto"/>
        <w:ind w:left="993" w:right="237" w:hanging="709"/>
        <w:contextualSpacing w:val="0"/>
        <w:rPr>
          <w:rFonts w:ascii="Arial" w:hAnsi="Arial" w:cs="Arial"/>
          <w:b/>
          <w:szCs w:val="24"/>
        </w:rPr>
      </w:pPr>
    </w:p>
    <w:p w:rsidRPr="00AF5EBD" w:rsidR="004E3671" w:rsidP="008218D8" w:rsidRDefault="004E3671" w14:paraId="7A7FF141" w14:textId="77777777">
      <w:pPr>
        <w:pStyle w:val="Heading1"/>
      </w:pPr>
      <w:bookmarkStart w:name="_Toc87449578" w:id="19"/>
      <w:r w:rsidRPr="00AF5EBD">
        <w:t>Appeals</w:t>
      </w:r>
      <w:bookmarkEnd w:id="19"/>
    </w:p>
    <w:p w:rsidRPr="00AF5EBD" w:rsidR="004E3671" w:rsidP="4305CA5C" w:rsidRDefault="004E3671" w14:paraId="1957426D" w14:textId="565D9F6C">
      <w:pPr>
        <w:pStyle w:val="ListParagraph"/>
        <w:tabs>
          <w:tab w:val="left" w:pos="1276"/>
        </w:tabs>
        <w:autoSpaceDE w:val="0"/>
        <w:autoSpaceDN w:val="0"/>
        <w:adjustRightInd w:val="0"/>
        <w:spacing w:after="120" w:line="240" w:lineRule="auto"/>
        <w:ind w:left="567" w:right="237"/>
        <w:rPr>
          <w:rFonts w:ascii="Arial" w:hAnsi="Arial" w:cs="Arial"/>
        </w:rPr>
      </w:pPr>
      <w:r w:rsidRPr="4305CA5C" w:rsidR="004E3671">
        <w:rPr>
          <w:rFonts w:ascii="Arial" w:hAnsi="Arial" w:cs="Arial"/>
        </w:rPr>
        <w:t xml:space="preserve">Where a student wishes to </w:t>
      </w:r>
      <w:r w:rsidRPr="4305CA5C" w:rsidR="004E3671">
        <w:rPr>
          <w:rFonts w:ascii="Arial" w:hAnsi="Arial" w:cs="Arial"/>
        </w:rPr>
        <w:t>submit</w:t>
      </w:r>
      <w:r w:rsidRPr="4305CA5C" w:rsidR="004E3671">
        <w:rPr>
          <w:rFonts w:ascii="Arial" w:hAnsi="Arial" w:cs="Arial"/>
        </w:rPr>
        <w:t xml:space="preserve"> an appeal against the recommendation of a Board of Examiners,</w:t>
      </w:r>
      <w:r w:rsidRPr="4305CA5C" w:rsidR="24EB9DB8">
        <w:rPr>
          <w:rFonts w:ascii="Arial" w:hAnsi="Arial" w:cs="Arial"/>
        </w:rPr>
        <w:t xml:space="preserve"> </w:t>
      </w:r>
      <w:bookmarkStart w:name="_Int_B8fLYBmK" w:id="2073484410"/>
      <w:r w:rsidRPr="4305CA5C" w:rsidR="24EB9DB8">
        <w:rPr>
          <w:rFonts w:ascii="Arial" w:hAnsi="Arial" w:cs="Arial"/>
        </w:rPr>
        <w:t>the</w:t>
      </w:r>
      <w:bookmarkEnd w:id="2073484410"/>
      <w:r w:rsidRPr="4305CA5C" w:rsidR="24EB9DB8">
        <w:rPr>
          <w:rFonts w:ascii="Arial" w:hAnsi="Arial" w:cs="Arial"/>
        </w:rPr>
        <w:t xml:space="preserve"> </w:t>
      </w:r>
      <w:hyperlink r:id="R781b1490f14c4193">
        <w:r w:rsidRPr="4305CA5C" w:rsidR="24EB9DB8">
          <w:rPr>
            <w:rStyle w:val="Hyperlink"/>
            <w:rFonts w:ascii="Arial" w:hAnsi="Arial" w:cs="Arial"/>
          </w:rPr>
          <w:t>Academic Appeals Policy</w:t>
        </w:r>
      </w:hyperlink>
      <w:r w:rsidRPr="4305CA5C" w:rsidR="004E3671">
        <w:rPr>
          <w:rFonts w:ascii="Arial" w:hAnsi="Arial" w:cs="Arial"/>
        </w:rPr>
        <w:t xml:space="preserve"> </w:t>
      </w:r>
      <w:r w:rsidRPr="4305CA5C" w:rsidR="004E3671">
        <w:rPr>
          <w:rFonts w:ascii="Arial" w:hAnsi="Arial" w:cs="Arial"/>
        </w:rPr>
        <w:t>shall apply.</w:t>
      </w:r>
    </w:p>
    <w:p w:rsidRPr="00AF5EBD" w:rsidR="004E3671" w:rsidP="00D025AC" w:rsidRDefault="004E3671" w14:paraId="439C1428" w14:textId="77777777">
      <w:pPr>
        <w:pStyle w:val="ListParagraph"/>
        <w:tabs>
          <w:tab w:val="left" w:pos="851"/>
          <w:tab w:val="left" w:pos="993"/>
        </w:tabs>
        <w:autoSpaceDE w:val="0"/>
        <w:autoSpaceDN w:val="0"/>
        <w:adjustRightInd w:val="0"/>
        <w:spacing w:after="120" w:line="240" w:lineRule="auto"/>
        <w:ind w:left="993" w:right="237" w:hanging="709"/>
        <w:contextualSpacing w:val="0"/>
        <w:rPr>
          <w:rFonts w:ascii="Arial" w:hAnsi="Arial" w:cs="Arial"/>
          <w:szCs w:val="24"/>
        </w:rPr>
      </w:pPr>
    </w:p>
    <w:p w:rsidRPr="00AF5EBD" w:rsidR="004E3671" w:rsidP="008218D8" w:rsidRDefault="004E3671" w14:paraId="55BE2416" w14:textId="77777777">
      <w:pPr>
        <w:pStyle w:val="Heading1"/>
      </w:pPr>
      <w:bookmarkStart w:name="_Toc87449579" w:id="20"/>
      <w:r w:rsidRPr="00AF5EBD">
        <w:t>Delegation of Powers</w:t>
      </w:r>
      <w:bookmarkEnd w:id="20"/>
    </w:p>
    <w:p w:rsidRPr="00AF5EBD" w:rsidR="004E3671" w:rsidP="00935956" w:rsidRDefault="004E3671" w14:paraId="7A7B4CDC" w14:textId="77777777">
      <w:pPr>
        <w:pStyle w:val="ListParagraph"/>
        <w:numPr>
          <w:ilvl w:val="0"/>
          <w:numId w:val="5"/>
        </w:numPr>
        <w:tabs>
          <w:tab w:val="left" w:pos="567"/>
        </w:tabs>
        <w:autoSpaceDE w:val="0"/>
        <w:autoSpaceDN w:val="0"/>
        <w:adjustRightInd w:val="0"/>
        <w:spacing w:after="120" w:line="240" w:lineRule="auto"/>
        <w:ind w:left="567" w:right="237" w:hanging="567"/>
        <w:contextualSpacing w:val="0"/>
        <w:rPr>
          <w:rFonts w:ascii="Arial" w:hAnsi="Arial" w:cs="Arial"/>
          <w:szCs w:val="24"/>
        </w:rPr>
      </w:pPr>
      <w:r w:rsidRPr="00AF5EBD">
        <w:rPr>
          <w:rFonts w:ascii="Arial" w:hAnsi="Arial" w:cs="Arial"/>
          <w:szCs w:val="24"/>
        </w:rPr>
        <w:t>The Senate may delegate any of the powers conferred on it by these regulations to the Education and Student Experience Committee or the Graduate Studies and Student Experience Committee of the Division concerned (as relevant to the provision) or to other committees or to appropriate persons as it sees fit.</w:t>
      </w:r>
    </w:p>
    <w:p w:rsidRPr="00AF5EBD" w:rsidR="004E3671" w:rsidP="00935956" w:rsidRDefault="004E3671" w14:paraId="67409133" w14:textId="77777777">
      <w:pPr>
        <w:pStyle w:val="ListParagraph"/>
        <w:numPr>
          <w:ilvl w:val="0"/>
          <w:numId w:val="5"/>
        </w:numPr>
        <w:tabs>
          <w:tab w:val="left" w:pos="567"/>
        </w:tabs>
        <w:autoSpaceDE w:val="0"/>
        <w:autoSpaceDN w:val="0"/>
        <w:adjustRightInd w:val="0"/>
        <w:spacing w:after="120" w:line="240" w:lineRule="auto"/>
        <w:ind w:left="567" w:right="237" w:hanging="567"/>
        <w:contextualSpacing w:val="0"/>
        <w:rPr>
          <w:rFonts w:ascii="Arial" w:hAnsi="Arial" w:cs="Arial"/>
          <w:szCs w:val="24"/>
        </w:rPr>
      </w:pPr>
      <w:r w:rsidRPr="00AF5EBD">
        <w:rPr>
          <w:rFonts w:ascii="Arial" w:hAnsi="Arial" w:cs="Arial"/>
          <w:szCs w:val="24"/>
        </w:rPr>
        <w:t>The Education and Student Experience Committee or the Graduate Studies and Student Experience Committee of the Division</w:t>
      </w:r>
      <w:r w:rsidRPr="00AF5EBD" w:rsidDel="006F33E7">
        <w:rPr>
          <w:rFonts w:ascii="Arial" w:hAnsi="Arial" w:cs="Arial"/>
          <w:szCs w:val="24"/>
        </w:rPr>
        <w:t xml:space="preserve"> </w:t>
      </w:r>
      <w:r w:rsidRPr="00AF5EBD">
        <w:rPr>
          <w:rFonts w:ascii="Arial" w:hAnsi="Arial" w:cs="Arial"/>
          <w:szCs w:val="24"/>
        </w:rPr>
        <w:t>may delegate any of the powers conferred on it by these regulations to other committees or to appropriate persons as it sees fit.</w:t>
      </w:r>
    </w:p>
    <w:p w:rsidRPr="00AF5EBD" w:rsidR="004E3671" w:rsidP="00D025AC" w:rsidRDefault="004E3671" w14:paraId="330F4657" w14:textId="77777777">
      <w:pPr>
        <w:tabs>
          <w:tab w:val="left" w:pos="993"/>
        </w:tabs>
        <w:autoSpaceDE w:val="0"/>
        <w:autoSpaceDN w:val="0"/>
        <w:adjustRightInd w:val="0"/>
        <w:ind w:left="993" w:right="237" w:hanging="709"/>
        <w:rPr>
          <w:szCs w:val="24"/>
        </w:rPr>
      </w:pPr>
    </w:p>
    <w:p w:rsidRPr="00AF5EBD" w:rsidR="004E3671" w:rsidP="008218D8" w:rsidRDefault="004E3671" w14:paraId="6C0A5843" w14:textId="77777777">
      <w:pPr>
        <w:pStyle w:val="Heading1"/>
      </w:pPr>
      <w:bookmarkStart w:name="_Toc87449580" w:id="21"/>
      <w:r w:rsidRPr="00AF5EBD">
        <w:t>Dispensation from Regulations</w:t>
      </w:r>
      <w:bookmarkEnd w:id="21"/>
    </w:p>
    <w:p w:rsidRPr="00AF5EBD" w:rsidR="004E3671" w:rsidP="00935956" w:rsidRDefault="004E3671" w14:paraId="63E8E851" w14:textId="77777777">
      <w:pPr>
        <w:pStyle w:val="ListParagraph"/>
        <w:numPr>
          <w:ilvl w:val="0"/>
          <w:numId w:val="11"/>
        </w:numPr>
        <w:tabs>
          <w:tab w:val="left" w:pos="567"/>
        </w:tabs>
        <w:autoSpaceDE w:val="0"/>
        <w:autoSpaceDN w:val="0"/>
        <w:adjustRightInd w:val="0"/>
        <w:spacing w:after="120" w:line="240" w:lineRule="auto"/>
        <w:ind w:left="567" w:right="237" w:hanging="567"/>
        <w:contextualSpacing w:val="0"/>
        <w:rPr>
          <w:rFonts w:ascii="Arial" w:hAnsi="Arial" w:cs="Arial"/>
          <w:szCs w:val="24"/>
        </w:rPr>
      </w:pPr>
      <w:r w:rsidRPr="00AF5EBD">
        <w:rPr>
          <w:rFonts w:ascii="Arial" w:hAnsi="Arial" w:cs="Arial"/>
          <w:szCs w:val="24"/>
        </w:rPr>
        <w:t xml:space="preserve">Senate may, if it considers it appropriate, dispense a student from any of the requirements of these regulations. </w:t>
      </w:r>
    </w:p>
    <w:p w:rsidRPr="00AF5EBD" w:rsidR="004E3671" w:rsidP="00935956" w:rsidRDefault="004E3671" w14:paraId="79254D81" w14:textId="77777777">
      <w:pPr>
        <w:pStyle w:val="ListParagraph"/>
        <w:numPr>
          <w:ilvl w:val="0"/>
          <w:numId w:val="11"/>
        </w:numPr>
        <w:tabs>
          <w:tab w:val="left" w:pos="567"/>
        </w:tabs>
        <w:autoSpaceDE w:val="0"/>
        <w:autoSpaceDN w:val="0"/>
        <w:adjustRightInd w:val="0"/>
        <w:spacing w:after="120" w:line="240" w:lineRule="auto"/>
        <w:ind w:left="567" w:right="237" w:hanging="567"/>
        <w:contextualSpacing w:val="0"/>
        <w:rPr>
          <w:rFonts w:ascii="Arial" w:hAnsi="Arial" w:cs="Arial"/>
          <w:szCs w:val="24"/>
        </w:rPr>
      </w:pPr>
      <w:r w:rsidRPr="00AF5EBD">
        <w:rPr>
          <w:rFonts w:ascii="Arial" w:hAnsi="Arial" w:cs="Arial"/>
          <w:szCs w:val="24"/>
        </w:rPr>
        <w:t xml:space="preserve">Senate has delegated authority </w:t>
      </w:r>
      <w:r w:rsidRPr="00AF5EBD">
        <w:rPr>
          <w:rFonts w:ascii="Arial" w:hAnsi="Arial" w:eastAsia="Times New Roman" w:cs="Arial"/>
          <w:color w:val="000000"/>
          <w:szCs w:val="24"/>
        </w:rPr>
        <w:t>to approve exceptions to the requirements of the Credit Framework to the</w:t>
      </w:r>
      <w:bookmarkStart w:name="dispensation" w:id="22"/>
      <w:bookmarkEnd w:id="22"/>
      <w:r w:rsidRPr="00AF5EBD">
        <w:rPr>
          <w:rFonts w:ascii="Arial" w:hAnsi="Arial" w:eastAsia="Times New Roman" w:cs="Arial"/>
          <w:color w:val="000000"/>
          <w:szCs w:val="24"/>
        </w:rPr>
        <w:t xml:space="preserve"> Education and Student Experience Board. </w:t>
      </w:r>
    </w:p>
    <w:p w:rsidRPr="00AF5EBD" w:rsidR="004E3671" w:rsidP="00935956" w:rsidRDefault="004E3671" w14:paraId="271B4527" w14:textId="77777777">
      <w:pPr>
        <w:pStyle w:val="ListParagraph"/>
        <w:numPr>
          <w:ilvl w:val="0"/>
          <w:numId w:val="11"/>
        </w:numPr>
        <w:tabs>
          <w:tab w:val="left" w:pos="567"/>
        </w:tabs>
        <w:autoSpaceDE w:val="0"/>
        <w:autoSpaceDN w:val="0"/>
        <w:adjustRightInd w:val="0"/>
        <w:spacing w:after="120" w:line="240" w:lineRule="auto"/>
        <w:ind w:left="567" w:right="237" w:hanging="567"/>
        <w:contextualSpacing w:val="0"/>
        <w:rPr>
          <w:rFonts w:ascii="Arial" w:hAnsi="Arial" w:cs="Arial"/>
          <w:szCs w:val="24"/>
        </w:rPr>
      </w:pPr>
      <w:r w:rsidRPr="00AF5EBD">
        <w:rPr>
          <w:rFonts w:ascii="Arial" w:hAnsi="Arial" w:eastAsia="Times New Roman" w:cs="Arial"/>
          <w:color w:val="000000"/>
          <w:szCs w:val="24"/>
        </w:rPr>
        <w:t>Where the request is for a deviation from the course specification, but it does not require an exemption from the Credit Framework, the request can be considered and approved/rejected by the Divisional Director of</w:t>
      </w:r>
      <w:r w:rsidRPr="00AF5EBD">
        <w:rPr>
          <w:rFonts w:ascii="Arial" w:hAnsi="Arial" w:cs="Arial"/>
          <w:szCs w:val="24"/>
        </w:rPr>
        <w:t xml:space="preserve"> Education and UG Student Experience/Graduate Studies and PG Student Experience of the Division concerned (as relevant to the provision)</w:t>
      </w:r>
      <w:r w:rsidRPr="00AF5EBD">
        <w:rPr>
          <w:rFonts w:ascii="Arial" w:hAnsi="Arial" w:eastAsia="Times New Roman" w:cs="Arial"/>
          <w:szCs w:val="24"/>
        </w:rPr>
        <w:t>.</w:t>
      </w:r>
    </w:p>
    <w:p w:rsidRPr="00AF5EBD" w:rsidR="004E3671" w:rsidP="00D025AC" w:rsidRDefault="004E3671" w14:paraId="5C38A33C" w14:textId="77777777">
      <w:pPr>
        <w:tabs>
          <w:tab w:val="left" w:pos="993"/>
        </w:tabs>
        <w:ind w:left="993" w:right="237" w:hanging="709"/>
        <w:rPr>
          <w:szCs w:val="24"/>
        </w:rPr>
      </w:pPr>
    </w:p>
    <w:p w:rsidRPr="00AF5EBD" w:rsidR="004E3671" w:rsidP="00935956" w:rsidRDefault="004E3671" w14:paraId="03DB2C3D" w14:textId="77777777">
      <w:pPr>
        <w:pStyle w:val="Heading4"/>
        <w:shd w:val="clear" w:color="auto" w:fill="FFFFFF"/>
        <w:tabs>
          <w:tab w:val="left" w:pos="567"/>
        </w:tabs>
        <w:spacing w:before="0" w:after="120" w:line="240" w:lineRule="auto"/>
        <w:ind w:left="993" w:right="237" w:hanging="993"/>
        <w:rPr>
          <w:rFonts w:ascii="Arial" w:hAnsi="Arial" w:eastAsia="Times New Roman" w:cs="Arial"/>
          <w:b/>
          <w:bCs/>
          <w:i w:val="0"/>
          <w:iCs w:val="0"/>
          <w:color w:val="auto"/>
          <w:sz w:val="24"/>
          <w:szCs w:val="24"/>
        </w:rPr>
      </w:pPr>
      <w:r w:rsidRPr="00AF5EBD">
        <w:rPr>
          <w:rFonts w:ascii="Arial" w:hAnsi="Arial" w:eastAsia="Times New Roman" w:cs="Arial"/>
          <w:b/>
          <w:bCs/>
          <w:i w:val="0"/>
          <w:iCs w:val="0"/>
          <w:color w:val="auto"/>
          <w:sz w:val="24"/>
          <w:szCs w:val="24"/>
        </w:rPr>
        <w:t>14.</w:t>
      </w:r>
      <w:r w:rsidRPr="00AF5EBD">
        <w:rPr>
          <w:rFonts w:ascii="Arial" w:hAnsi="Arial" w:eastAsia="Times New Roman" w:cs="Arial"/>
          <w:b/>
          <w:bCs/>
          <w:i w:val="0"/>
          <w:iCs w:val="0"/>
          <w:color w:val="auto"/>
          <w:sz w:val="24"/>
          <w:szCs w:val="24"/>
        </w:rPr>
        <w:tab/>
      </w:r>
      <w:r w:rsidRPr="00AB0873">
        <w:rPr>
          <w:rStyle w:val="Heading1Char"/>
        </w:rPr>
        <w:t>Posthumous Awards</w:t>
      </w:r>
      <w:r w:rsidRPr="00AF5EBD">
        <w:rPr>
          <w:rFonts w:ascii="Arial" w:hAnsi="Arial" w:eastAsia="Times New Roman" w:cs="Arial"/>
          <w:b/>
          <w:bCs/>
          <w:i w:val="0"/>
          <w:iCs w:val="0"/>
          <w:color w:val="auto"/>
          <w:sz w:val="24"/>
          <w:szCs w:val="24"/>
        </w:rPr>
        <w:t xml:space="preserve"> </w:t>
      </w:r>
    </w:p>
    <w:p w:rsidRPr="00AF5EBD" w:rsidR="004E3671" w:rsidP="00935956" w:rsidRDefault="004E3671" w14:paraId="0A3CC1CE" w14:textId="77777777">
      <w:pPr>
        <w:pStyle w:val="ListParagraph"/>
        <w:numPr>
          <w:ilvl w:val="0"/>
          <w:numId w:val="12"/>
        </w:numPr>
        <w:tabs>
          <w:tab w:val="left" w:pos="1276"/>
        </w:tabs>
        <w:autoSpaceDE w:val="0"/>
        <w:autoSpaceDN w:val="0"/>
        <w:adjustRightInd w:val="0"/>
        <w:spacing w:after="120" w:line="240" w:lineRule="auto"/>
        <w:ind w:left="567" w:right="237" w:hanging="567"/>
        <w:contextualSpacing w:val="0"/>
        <w:rPr>
          <w:rFonts w:ascii="Arial" w:hAnsi="Arial" w:cs="Arial"/>
          <w:bCs/>
          <w:color w:val="000000"/>
          <w:szCs w:val="24"/>
          <w:bdr w:val="none" w:color="auto" w:sz="0" w:space="0" w:frame="1"/>
        </w:rPr>
      </w:pPr>
      <w:r w:rsidRPr="00AF5EBD">
        <w:rPr>
          <w:rFonts w:ascii="Arial" w:hAnsi="Arial" w:eastAsia="Times New Roman" w:cs="Arial"/>
          <w:iCs/>
          <w:color w:val="000000"/>
          <w:szCs w:val="24"/>
        </w:rPr>
        <w:t>Where a student has died before completion of their course of study, the Board of Examiners may recommend a posthumous award.</w:t>
      </w:r>
      <w:r w:rsidRPr="00AF5EBD">
        <w:rPr>
          <w:rFonts w:ascii="Arial" w:hAnsi="Arial" w:cs="Arial"/>
          <w:bCs/>
          <w:color w:val="000000"/>
          <w:szCs w:val="24"/>
          <w:bdr w:val="none" w:color="auto" w:sz="0" w:space="0" w:frame="1"/>
        </w:rPr>
        <w:t xml:space="preserve"> </w:t>
      </w:r>
    </w:p>
    <w:p w:rsidRPr="00AF5EBD" w:rsidR="004E3671" w:rsidP="4305CA5C" w:rsidRDefault="004E3671" w14:paraId="57E3C4AA" w14:textId="2149DBFF">
      <w:pPr>
        <w:pStyle w:val="ListParagraph"/>
        <w:numPr>
          <w:ilvl w:val="0"/>
          <w:numId w:val="12"/>
        </w:numPr>
        <w:tabs>
          <w:tab w:val="left" w:pos="1276"/>
        </w:tabs>
        <w:autoSpaceDE w:val="0"/>
        <w:autoSpaceDN w:val="0"/>
        <w:adjustRightInd w:val="0"/>
        <w:spacing w:after="120" w:line="240" w:lineRule="auto"/>
        <w:ind w:left="567" w:right="237" w:hanging="567"/>
        <w:rPr>
          <w:rFonts w:ascii="Arial" w:hAnsi="Arial" w:cs="Arial"/>
          <w:color w:val="000000"/>
          <w:bdr w:val="none" w:color="auto" w:sz="0" w:space="0" w:frame="1"/>
        </w:rPr>
      </w:pPr>
      <w:r w:rsidRPr="4305CA5C" w:rsidR="004E3671">
        <w:rPr>
          <w:rFonts w:ascii="Arial" w:hAnsi="Arial" w:eastAsia="Times New Roman" w:cs="Arial"/>
          <w:color w:val="000000" w:themeColor="text1" w:themeTint="FF" w:themeShade="FF"/>
        </w:rPr>
        <w:t xml:space="preserve">For each case above, refer to the </w:t>
      </w:r>
      <w:hyperlink r:id="Rf893375238434e24">
        <w:r w:rsidRPr="4305CA5C" w:rsidR="004E3671">
          <w:rPr>
            <w:rStyle w:val="Hyperlink"/>
            <w:rFonts w:ascii="Arial" w:hAnsi="Arial" w:eastAsia="Times New Roman" w:cs="Arial"/>
          </w:rPr>
          <w:t>Credit Framework</w:t>
        </w:r>
      </w:hyperlink>
      <w:r w:rsidRPr="4305CA5C" w:rsidR="004E3671">
        <w:rPr>
          <w:rFonts w:ascii="Arial" w:hAnsi="Arial" w:eastAsia="Times New Roman" w:cs="Arial"/>
          <w:color w:val="000000" w:themeColor="text1" w:themeTint="FF" w:themeShade="FF"/>
        </w:rPr>
        <w:t xml:space="preserve"> section 13.4 for the procedure</w:t>
      </w:r>
      <w:r w:rsidRPr="4305CA5C" w:rsidR="004E3671">
        <w:rPr>
          <w:rFonts w:ascii="Arial" w:hAnsi="Arial" w:eastAsia="Times New Roman" w:cs="Arial"/>
          <w:color w:val="000000" w:themeColor="text1" w:themeTint="FF" w:themeShade="FF"/>
        </w:rPr>
        <w:t xml:space="preserve">. </w:t>
      </w:r>
    </w:p>
    <w:p w:rsidRPr="00AF5EBD" w:rsidR="004E3671" w:rsidP="00D025AC" w:rsidRDefault="004E3671" w14:paraId="57FC9CE0" w14:textId="77777777">
      <w:pPr>
        <w:pStyle w:val="ListParagraph"/>
        <w:tabs>
          <w:tab w:val="left" w:pos="993"/>
        </w:tabs>
        <w:autoSpaceDE w:val="0"/>
        <w:autoSpaceDN w:val="0"/>
        <w:adjustRightInd w:val="0"/>
        <w:spacing w:after="120" w:line="240" w:lineRule="auto"/>
        <w:ind w:left="993" w:right="237" w:hanging="709"/>
        <w:contextualSpacing w:val="0"/>
        <w:rPr>
          <w:rFonts w:ascii="Arial" w:hAnsi="Arial" w:cs="Arial"/>
          <w:szCs w:val="24"/>
        </w:rPr>
      </w:pPr>
    </w:p>
    <w:p w:rsidRPr="00AF5EBD" w:rsidR="00577A60" w:rsidP="00D025AC" w:rsidRDefault="00577A60" w14:paraId="1625F46D" w14:textId="77471C03">
      <w:pPr>
        <w:tabs>
          <w:tab w:val="left" w:pos="993"/>
        </w:tabs>
        <w:ind w:left="993" w:hanging="709"/>
        <w:rPr>
          <w:szCs w:val="24"/>
        </w:rPr>
      </w:pPr>
    </w:p>
    <w:sectPr w:rsidRPr="00AF5EBD" w:rsidR="00577A60" w:rsidSect="002750C2">
      <w:headerReference w:type="default" r:id="rId17"/>
      <w:footerReference w:type="default" r:id="rId18"/>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7A35" w:rsidP="002750C2" w:rsidRDefault="00E87A35" w14:paraId="6E8F2597" w14:textId="77777777">
      <w:pPr>
        <w:spacing w:after="0"/>
      </w:pPr>
      <w:r>
        <w:separator/>
      </w:r>
    </w:p>
  </w:endnote>
  <w:endnote w:type="continuationSeparator" w:id="0">
    <w:p w:rsidR="00E87A35" w:rsidP="002750C2" w:rsidRDefault="00E87A35" w14:paraId="568D92C9" w14:textId="77777777">
      <w:pPr>
        <w:spacing w:after="0"/>
      </w:pPr>
      <w:r>
        <w:continuationSeparator/>
      </w:r>
    </w:p>
  </w:endnote>
  <w:endnote w:type="continuationNotice" w:id="1">
    <w:p w:rsidR="00E74A11" w:rsidRDefault="00E74A11" w14:paraId="4642F8C9"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407B0524" w14:textId="52327F0D">
    <w:pPr>
      <w:pStyle w:val="Header"/>
      <w:rPr>
        <w:noProof/>
        <w:sz w:val="20"/>
      </w:rPr>
    </w:pPr>
  </w:p>
  <w:p w:rsidR="00EC0843" w:rsidP="002750C2" w:rsidRDefault="00EC0843" w14:paraId="37AB7106" w14:textId="77777777">
    <w:pPr>
      <w:pStyle w:val="Header"/>
      <w:rPr>
        <w:noProof/>
        <w:sz w:val="20"/>
      </w:rPr>
    </w:pPr>
  </w:p>
  <w:p w:rsidR="002750C2" w:rsidP="002F7E36" w:rsidRDefault="002750C2" w14:paraId="4A810940" w14:textId="59B81075">
    <w:pPr>
      <w:pStyle w:val="Header"/>
      <w:rPr>
        <w:rStyle w:val="eop"/>
        <w:sz w:val="20"/>
        <w:szCs w:val="20"/>
      </w:rPr>
    </w:pPr>
    <w:r>
      <w:rPr>
        <w:rStyle w:val="normaltextrun"/>
        <w:sz w:val="20"/>
        <w:szCs w:val="20"/>
      </w:rPr>
      <w:t>Author: QACO</w:t>
    </w:r>
  </w:p>
  <w:p w:rsidR="009C5B42" w:rsidP="4305CA5C" w:rsidRDefault="009C5B42" w14:paraId="3D2989F6" w14:textId="6356BFA8">
    <w:pPr>
      <w:pStyle w:val="Header"/>
      <w:rPr>
        <w:rStyle w:val="eop"/>
        <w:sz w:val="20"/>
        <w:szCs w:val="20"/>
      </w:rPr>
    </w:pPr>
    <w:r w:rsidRPr="4305CA5C" w:rsidR="4305CA5C">
      <w:rPr>
        <w:rStyle w:val="eop"/>
        <w:sz w:val="20"/>
        <w:szCs w:val="20"/>
      </w:rPr>
      <w:t xml:space="preserve">Applies </w:t>
    </w:r>
    <w:r w:rsidRPr="4305CA5C" w:rsidR="4305CA5C">
      <w:rPr>
        <w:rStyle w:val="eop"/>
        <w:sz w:val="20"/>
        <w:szCs w:val="20"/>
      </w:rPr>
      <w:t>to:</w:t>
    </w:r>
    <w:r w:rsidRPr="4305CA5C" w:rsidR="4305CA5C">
      <w:rPr>
        <w:rStyle w:val="eop"/>
        <w:sz w:val="20"/>
        <w:szCs w:val="20"/>
      </w:rPr>
      <w:t xml:space="preserve"> 202</w:t>
    </w:r>
    <w:r w:rsidRPr="4305CA5C" w:rsidR="4305CA5C">
      <w:rPr>
        <w:rStyle w:val="eop"/>
        <w:sz w:val="20"/>
        <w:szCs w:val="20"/>
      </w:rPr>
      <w:t>3</w:t>
    </w:r>
    <w:r w:rsidRPr="4305CA5C" w:rsidR="4305CA5C">
      <w:rPr>
        <w:rStyle w:val="eop"/>
        <w:sz w:val="20"/>
        <w:szCs w:val="20"/>
      </w:rPr>
      <w:t>/2</w:t>
    </w:r>
    <w:r w:rsidRPr="4305CA5C" w:rsidR="4305CA5C">
      <w:rPr>
        <w:rStyle w:val="eop"/>
        <w:sz w:val="20"/>
        <w:szCs w:val="20"/>
      </w:rPr>
      <w:t>4</w:t>
    </w:r>
  </w:p>
  <w:p w:rsidR="002F7E36" w:rsidP="002F7E36" w:rsidRDefault="002750C2" w14:paraId="534CA78D"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4305CA5C" w:rsidRDefault="002750C2" w14:paraId="3EC4BB1E" w14:textId="232A21E7">
    <w:pPr>
      <w:pStyle w:val="paragraph"/>
      <w:spacing w:before="0" w:beforeAutospacing="off" w:after="0" w:afterAutospacing="off"/>
      <w:textAlignment w:val="baseline"/>
      <w:rPr>
        <w:rStyle w:val="normaltextrun"/>
        <w:rFonts w:ascii="Arial" w:hAnsi="Arial" w:cs="Arial"/>
        <w:sz w:val="20"/>
        <w:szCs w:val="20"/>
      </w:rPr>
    </w:pPr>
    <w:r w:rsidRPr="4305CA5C" w:rsidR="4305CA5C">
      <w:rPr>
        <w:rStyle w:val="normaltextrun"/>
        <w:rFonts w:ascii="Arial" w:hAnsi="Arial" w:cs="Arial"/>
        <w:sz w:val="20"/>
        <w:szCs w:val="20"/>
      </w:rPr>
      <w:t xml:space="preserve">Last Revised: </w:t>
    </w:r>
    <w:r w:rsidRPr="4305CA5C" w:rsidR="4305CA5C">
      <w:rPr>
        <w:rStyle w:val="normaltextrun"/>
        <w:rFonts w:ascii="Arial" w:hAnsi="Arial" w:cs="Arial"/>
        <w:sz w:val="20"/>
        <w:szCs w:val="20"/>
      </w:rPr>
      <w:t>November 2023</w:t>
    </w:r>
  </w:p>
  <w:p w:rsidR="002750C2" w:rsidP="4305CA5C" w:rsidRDefault="002750C2" w14:paraId="1C4B4125" w14:textId="73E86528">
    <w:pPr>
      <w:pStyle w:val="paragraph"/>
      <w:spacing w:before="0" w:beforeAutospacing="off" w:after="0" w:afterAutospacing="off"/>
      <w:textAlignment w:val="baseline"/>
      <w:rPr>
        <w:rStyle w:val="normaltextrun"/>
        <w:rFonts w:ascii="Arial" w:hAnsi="Arial" w:cs="Arial"/>
        <w:sz w:val="20"/>
        <w:szCs w:val="20"/>
        <w:lang w:val="en-US"/>
      </w:rPr>
    </w:pPr>
    <w:r w:rsidRPr="4305CA5C" w:rsidR="4305CA5C">
      <w:rPr>
        <w:rStyle w:val="normaltextrun"/>
        <w:rFonts w:ascii="Arial" w:hAnsi="Arial" w:cs="Arial"/>
        <w:sz w:val="20"/>
        <w:szCs w:val="20"/>
      </w:rPr>
      <w:t>Next review: September 202</w:t>
    </w:r>
    <w:r w:rsidRPr="4305CA5C" w:rsidR="4305CA5C">
      <w:rPr>
        <w:rStyle w:val="normaltextrun"/>
        <w:rFonts w:ascii="Arial" w:hAnsi="Arial" w:cs="Arial"/>
        <w:sz w:val="20"/>
        <w:szCs w:val="20"/>
      </w:rPr>
      <w:t>4</w:t>
    </w:r>
  </w:p>
  <w:p w:rsidR="005F4147" w:rsidP="003A0781" w:rsidRDefault="002750C2" w14:paraId="0E0EFAB7"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DC7EB2">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DC7EB2">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7A35" w:rsidP="002750C2" w:rsidRDefault="00E87A35" w14:paraId="1C893618" w14:textId="77777777">
      <w:pPr>
        <w:spacing w:after="0"/>
      </w:pPr>
      <w:r>
        <w:separator/>
      </w:r>
    </w:p>
  </w:footnote>
  <w:footnote w:type="continuationSeparator" w:id="0">
    <w:p w:rsidR="00E87A35" w:rsidP="002750C2" w:rsidRDefault="00E87A35" w14:paraId="5C037943" w14:textId="77777777">
      <w:pPr>
        <w:spacing w:after="0"/>
      </w:pPr>
      <w:r>
        <w:continuationSeparator/>
      </w:r>
    </w:p>
  </w:footnote>
  <w:footnote w:type="continuationNotice" w:id="1">
    <w:p w:rsidR="00E74A11" w:rsidRDefault="00E74A11" w14:paraId="719E651A" w14:textId="77777777">
      <w:pPr>
        <w:spacing w:after="0"/>
      </w:pPr>
    </w:p>
  </w:footnote>
  <w:footnote w:id="2">
    <w:p w:rsidRPr="006D0564" w:rsidR="00B36B02" w:rsidP="005A243E" w:rsidRDefault="00B36B02" w14:paraId="73D8ACD5" w14:textId="77777777">
      <w:pPr>
        <w:pStyle w:val="FootnoteText"/>
        <w:spacing w:before="60" w:after="60"/>
        <w:rPr>
          <w:rFonts w:ascii="Arial" w:hAnsi="Arial" w:cs="Arial"/>
          <w:sz w:val="22"/>
        </w:rPr>
      </w:pPr>
      <w:r w:rsidRPr="006D0564">
        <w:rPr>
          <w:rStyle w:val="FootnoteReference"/>
          <w:rFonts w:ascii="Arial" w:hAnsi="Arial" w:cs="Arial"/>
          <w:sz w:val="22"/>
        </w:rPr>
        <w:footnoteRef/>
      </w:r>
      <w:r w:rsidRPr="006D0564">
        <w:rPr>
          <w:rFonts w:ascii="Arial" w:hAnsi="Arial" w:cs="Arial"/>
          <w:sz w:val="22"/>
        </w:rPr>
        <w:t xml:space="preserve"> Note: one academic year is defined as nine months (normally September to May). </w:t>
      </w:r>
    </w:p>
  </w:footnote>
  <w:footnote w:id="3">
    <w:p w:rsidRPr="00816DDF" w:rsidR="00816DDF" w:rsidP="00C013A9" w:rsidRDefault="00816DDF" w14:paraId="48D8D364" w14:textId="2823737C">
      <w:pPr>
        <w:pStyle w:val="FootnoteText"/>
        <w:spacing w:before="60" w:after="60"/>
        <w:rPr>
          <w:rFonts w:ascii="Arial" w:hAnsi="Arial" w:cs="Arial"/>
          <w:sz w:val="22"/>
          <w:szCs w:val="22"/>
        </w:rPr>
      </w:pPr>
      <w:r w:rsidRPr="00816DDF">
        <w:rPr>
          <w:rStyle w:val="FootnoteReference"/>
          <w:rFonts w:ascii="Arial" w:hAnsi="Arial" w:cs="Arial"/>
          <w:sz w:val="22"/>
          <w:szCs w:val="22"/>
        </w:rPr>
        <w:footnoteRef/>
      </w:r>
      <w:r w:rsidRPr="00816DDF">
        <w:rPr>
          <w:rFonts w:ascii="Arial" w:hAnsi="Arial" w:cs="Arial"/>
          <w:sz w:val="22"/>
          <w:szCs w:val="22"/>
        </w:rPr>
        <w:t xml:space="preserve"> </w:t>
      </w:r>
      <w:r w:rsidRPr="00816DDF">
        <w:rPr>
          <w:rFonts w:ascii="Arial" w:hAnsi="Arial" w:cs="Arial"/>
          <w:b/>
          <w:i/>
          <w:sz w:val="22"/>
          <w:szCs w:val="22"/>
        </w:rPr>
        <w:t>‘</w:t>
      </w:r>
      <w:r w:rsidRPr="00816DDF">
        <w:rPr>
          <w:rFonts w:ascii="Arial" w:hAnsi="Arial" w:cs="Arial"/>
          <w:i/>
          <w:sz w:val="22"/>
          <w:szCs w:val="22"/>
        </w:rPr>
        <w:t>Footnotes’ encompasses additional explanatory text included at the bottom of a page to amplify specific sections of text in the main body of the work. ‘References’ indicates the systematic referencing of the sources used by the text author, according to the Harvard (or other) system employed by the School</w:t>
      </w:r>
      <w:r w:rsidR="00C013A9">
        <w:rPr>
          <w:rFonts w:ascii="Arial" w:hAnsi="Arial" w:cs="Arial"/>
          <w:i/>
          <w:sz w:val="22"/>
          <w:szCs w:val="22"/>
        </w:rPr>
        <w:t xml:space="preserve">/Division.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394575" w14:paraId="09E2B212" w14:textId="0C50E2F2">
    <w:pPr>
      <w:pStyle w:val="Header"/>
      <w:jc w:val="right"/>
    </w:pPr>
    <w:r>
      <w:rPr>
        <w:noProof/>
      </w:rPr>
      <w:drawing>
        <wp:anchor distT="0" distB="0" distL="114300" distR="114300" simplePos="0" relativeHeight="251658240" behindDoc="0" locked="0" layoutInCell="1" allowOverlap="1" wp14:anchorId="161F0687" wp14:editId="2B402D4E">
          <wp:simplePos x="0" y="0"/>
          <wp:positionH relativeFrom="column">
            <wp:posOffset>-914400</wp:posOffset>
          </wp:positionH>
          <wp:positionV relativeFrom="paragraph">
            <wp:posOffset>-449580</wp:posOffset>
          </wp:positionV>
          <wp:extent cx="7560000" cy="1110283"/>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27082"/>
                  <a:stretch/>
                </pic:blipFill>
                <pic:spPr bwMode="auto">
                  <a:xfrm>
                    <a:off x="0" y="0"/>
                    <a:ext cx="7560000" cy="11102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2750C2" w:rsidR="00007B98" w:rsidP="00007B98" w:rsidRDefault="00007B98" w14:paraId="47111786" w14:textId="77777777">
    <w:pPr>
      <w:pStyle w:val="Header"/>
      <w:ind w:right="284"/>
      <w:jc w:val="center"/>
      <w:rPr>
        <w:b/>
      </w:rPr>
    </w:pPr>
    <w:r>
      <w:rPr>
        <w:b/>
      </w:rPr>
      <w:t>Academic Regulations: Taught Courses of Study</w:t>
    </w:r>
  </w:p>
  <w:p w:rsidR="005F4147" w:rsidP="00746ED1" w:rsidRDefault="005F4147" w14:paraId="3C2000A0" w14:textId="77777777">
    <w:pPr>
      <w:ind w:left="0" w:firstLine="0"/>
    </w:pPr>
  </w:p>
</w:hdr>
</file>

<file path=word/intelligence2.xml><?xml version="1.0" encoding="utf-8"?>
<int2:intelligence xmlns:int2="http://schemas.microsoft.com/office/intelligence/2020/intelligence">
  <int2:observations>
    <int2:bookmark int2:bookmarkName="_Int_B8fLYBmK" int2:invalidationBookmarkName="" int2:hashCode="u8zfLvsztS5snQ" int2:id="ybAb9xKr">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60E"/>
    <w:multiLevelType w:val="hybridMultilevel"/>
    <w:tmpl w:val="B01804FC"/>
    <w:lvl w:ilvl="0" w:tplc="8DF45D80">
      <w:start w:val="1"/>
      <w:numFmt w:val="decimal"/>
      <w:lvlText w:val="12.%1"/>
      <w:lvlJc w:val="left"/>
      <w:pPr>
        <w:ind w:left="502" w:hanging="360"/>
      </w:pPr>
      <w:rPr>
        <w:rFonts w:hint="default"/>
        <w:b w:val="0"/>
        <w:sz w:val="24"/>
        <w:szCs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E766C5F"/>
    <w:multiLevelType w:val="hybridMultilevel"/>
    <w:tmpl w:val="476413AE"/>
    <w:lvl w:ilvl="0" w:tplc="7544421A">
      <w:start w:val="1"/>
      <w:numFmt w:val="decimal"/>
      <w:lvlText w:val="13.%1"/>
      <w:lvlJc w:val="left"/>
      <w:pPr>
        <w:ind w:left="1287" w:hanging="360"/>
      </w:pPr>
      <w:rPr>
        <w:rFonts w:hint="default"/>
        <w:b w:val="0"/>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76A60C5"/>
    <w:multiLevelType w:val="hybridMultilevel"/>
    <w:tmpl w:val="21620084"/>
    <w:lvl w:ilvl="0" w:tplc="23640FC6">
      <w:start w:val="1"/>
      <w:numFmt w:val="decimal"/>
      <w:lvlText w:val="6.%1"/>
      <w:lvlJc w:val="left"/>
      <w:pPr>
        <w:ind w:left="1287" w:hanging="360"/>
      </w:pPr>
      <w:rPr>
        <w:rFonts w:hint="default"/>
        <w:b w:val="0"/>
        <w:sz w:val="24"/>
        <w:szCs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E1E10E7"/>
    <w:multiLevelType w:val="hybridMultilevel"/>
    <w:tmpl w:val="4E18801A"/>
    <w:lvl w:ilvl="0" w:tplc="A0D0C1D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102DF8"/>
    <w:multiLevelType w:val="hybridMultilevel"/>
    <w:tmpl w:val="56D49106"/>
    <w:lvl w:ilvl="0" w:tplc="31C831A8">
      <w:start w:val="2"/>
      <w:numFmt w:val="decimal"/>
      <w:lvlText w:val="7.%1"/>
      <w:lvlJc w:val="left"/>
      <w:pPr>
        <w:ind w:left="720" w:hanging="360"/>
      </w:pPr>
      <w:rPr>
        <w:rFonts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3A7E46"/>
    <w:multiLevelType w:val="hybridMultilevel"/>
    <w:tmpl w:val="42065408"/>
    <w:lvl w:ilvl="0" w:tplc="08E23358">
      <w:start w:val="1"/>
      <w:numFmt w:val="decimal"/>
      <w:lvlText w:val="14.%1"/>
      <w:lvlJc w:val="left"/>
      <w:pPr>
        <w:ind w:left="1287" w:hanging="360"/>
      </w:pPr>
      <w:rPr>
        <w:rFonts w:hint="default"/>
        <w:b w:val="0"/>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443728EE"/>
    <w:multiLevelType w:val="hybridMultilevel"/>
    <w:tmpl w:val="544433C4"/>
    <w:lvl w:ilvl="0" w:tplc="15BE8276">
      <w:start w:val="1"/>
      <w:numFmt w:val="decimal"/>
      <w:pStyle w:val="Heading2"/>
      <w:lvlText w:val="7.%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6234DB"/>
    <w:multiLevelType w:val="multilevel"/>
    <w:tmpl w:val="F940C680"/>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8" w15:restartNumberingAfterBreak="0">
    <w:nsid w:val="4E1F30BD"/>
    <w:multiLevelType w:val="hybridMultilevel"/>
    <w:tmpl w:val="D2B2A758"/>
    <w:lvl w:ilvl="0" w:tplc="7756A67C">
      <w:start w:val="1"/>
      <w:numFmt w:val="decimal"/>
      <w:lvlText w:val="7.5.%1"/>
      <w:lvlJc w:val="left"/>
      <w:pPr>
        <w:ind w:left="720" w:hanging="360"/>
      </w:pPr>
      <w:rPr>
        <w:rFonts w:hint="default" w:ascii="Arial" w:hAnsi="Arial" w:cs="Arial"/>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FE0AC8"/>
    <w:multiLevelType w:val="hybridMultilevel"/>
    <w:tmpl w:val="F912D6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1985F3B"/>
    <w:multiLevelType w:val="multilevel"/>
    <w:tmpl w:val="CBAC1E4C"/>
    <w:lvl w:ilvl="0">
      <w:start w:val="7"/>
      <w:numFmt w:val="decimal"/>
      <w:lvlText w:val="%1."/>
      <w:lvlJc w:val="left"/>
      <w:pPr>
        <w:ind w:left="720" w:hanging="360"/>
      </w:pPr>
      <w:rPr>
        <w:rFonts w:hint="default"/>
      </w:rPr>
    </w:lvl>
    <w:lvl w:ilvl="1">
      <w:start w:val="4"/>
      <w:numFmt w:val="decimal"/>
      <w:isLgl/>
      <w:lvlText w:val="%1.%2"/>
      <w:lvlJc w:val="left"/>
      <w:pPr>
        <w:ind w:left="720" w:hanging="360"/>
      </w:pPr>
      <w:rPr>
        <w:rFonts w:hint="default" w:ascii="Arial" w:hAnsi="Arial" w:cs="Arial"/>
        <w:u w:val="none"/>
      </w:rPr>
    </w:lvl>
    <w:lvl w:ilvl="2">
      <w:start w:val="1"/>
      <w:numFmt w:val="decimal"/>
      <w:isLgl/>
      <w:lvlText w:val="%1.%2.%3"/>
      <w:lvlJc w:val="left"/>
      <w:pPr>
        <w:ind w:left="1080" w:hanging="720"/>
      </w:pPr>
      <w:rPr>
        <w:rFonts w:hint="default" w:asciiTheme="minorHAnsi" w:hAnsiTheme="minorHAnsi" w:cstheme="minorBidi"/>
        <w:u w:val="none"/>
      </w:rPr>
    </w:lvl>
    <w:lvl w:ilvl="3">
      <w:start w:val="1"/>
      <w:numFmt w:val="decimal"/>
      <w:isLgl/>
      <w:lvlText w:val="%1.%2.%3.%4"/>
      <w:lvlJc w:val="left"/>
      <w:pPr>
        <w:ind w:left="1080" w:hanging="720"/>
      </w:pPr>
      <w:rPr>
        <w:rFonts w:hint="default" w:asciiTheme="minorHAnsi" w:hAnsiTheme="minorHAnsi" w:cstheme="minorBidi"/>
        <w:u w:val="none"/>
      </w:rPr>
    </w:lvl>
    <w:lvl w:ilvl="4">
      <w:start w:val="1"/>
      <w:numFmt w:val="decimal"/>
      <w:isLgl/>
      <w:lvlText w:val="%1.%2.%3.%4.%5"/>
      <w:lvlJc w:val="left"/>
      <w:pPr>
        <w:ind w:left="1440" w:hanging="1080"/>
      </w:pPr>
      <w:rPr>
        <w:rFonts w:hint="default" w:asciiTheme="minorHAnsi" w:hAnsiTheme="minorHAnsi" w:cstheme="minorBidi"/>
        <w:u w:val="none"/>
      </w:rPr>
    </w:lvl>
    <w:lvl w:ilvl="5">
      <w:start w:val="1"/>
      <w:numFmt w:val="decimal"/>
      <w:isLgl/>
      <w:lvlText w:val="%1.%2.%3.%4.%5.%6"/>
      <w:lvlJc w:val="left"/>
      <w:pPr>
        <w:ind w:left="1440" w:hanging="1080"/>
      </w:pPr>
      <w:rPr>
        <w:rFonts w:hint="default" w:asciiTheme="minorHAnsi" w:hAnsiTheme="minorHAnsi" w:cstheme="minorBidi"/>
        <w:u w:val="none"/>
      </w:rPr>
    </w:lvl>
    <w:lvl w:ilvl="6">
      <w:start w:val="1"/>
      <w:numFmt w:val="decimal"/>
      <w:isLgl/>
      <w:lvlText w:val="%1.%2.%3.%4.%5.%6.%7"/>
      <w:lvlJc w:val="left"/>
      <w:pPr>
        <w:ind w:left="1800" w:hanging="1440"/>
      </w:pPr>
      <w:rPr>
        <w:rFonts w:hint="default" w:asciiTheme="minorHAnsi" w:hAnsiTheme="minorHAnsi" w:cstheme="minorBidi"/>
        <w:u w:val="none"/>
      </w:rPr>
    </w:lvl>
    <w:lvl w:ilvl="7">
      <w:start w:val="1"/>
      <w:numFmt w:val="decimal"/>
      <w:isLgl/>
      <w:lvlText w:val="%1.%2.%3.%4.%5.%6.%7.%8"/>
      <w:lvlJc w:val="left"/>
      <w:pPr>
        <w:ind w:left="1800" w:hanging="1440"/>
      </w:pPr>
      <w:rPr>
        <w:rFonts w:hint="default" w:asciiTheme="minorHAnsi" w:hAnsiTheme="minorHAnsi" w:cstheme="minorBidi"/>
        <w:u w:val="none"/>
      </w:rPr>
    </w:lvl>
    <w:lvl w:ilvl="8">
      <w:start w:val="1"/>
      <w:numFmt w:val="decimal"/>
      <w:isLgl/>
      <w:lvlText w:val="%1.%2.%3.%4.%5.%6.%7.%8.%9"/>
      <w:lvlJc w:val="left"/>
      <w:pPr>
        <w:ind w:left="2160" w:hanging="1800"/>
      </w:pPr>
      <w:rPr>
        <w:rFonts w:hint="default" w:asciiTheme="minorHAnsi" w:hAnsiTheme="minorHAnsi" w:cstheme="minorBidi"/>
        <w:u w:val="none"/>
      </w:rPr>
    </w:lvl>
  </w:abstractNum>
  <w:abstractNum w:abstractNumId="11" w15:restartNumberingAfterBreak="0">
    <w:nsid w:val="6544341C"/>
    <w:multiLevelType w:val="hybridMultilevel"/>
    <w:tmpl w:val="B35A16DE"/>
    <w:lvl w:ilvl="0" w:tplc="7D442080">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7D3417"/>
    <w:multiLevelType w:val="hybridMultilevel"/>
    <w:tmpl w:val="854C396A"/>
    <w:lvl w:ilvl="0" w:tplc="FC5A8C3C">
      <w:start w:val="1"/>
      <w:numFmt w:val="decimal"/>
      <w:lvlText w:val="9.%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3477792">
    <w:abstractNumId w:val="7"/>
  </w:num>
  <w:num w:numId="2" w16cid:durableId="1766534597">
    <w:abstractNumId w:val="6"/>
  </w:num>
  <w:num w:numId="3" w16cid:durableId="1413893096">
    <w:abstractNumId w:val="3"/>
  </w:num>
  <w:num w:numId="4" w16cid:durableId="283724">
    <w:abstractNumId w:val="12"/>
  </w:num>
  <w:num w:numId="5" w16cid:durableId="1700860236">
    <w:abstractNumId w:val="0"/>
  </w:num>
  <w:num w:numId="6" w16cid:durableId="241329817">
    <w:abstractNumId w:val="2"/>
  </w:num>
  <w:num w:numId="7" w16cid:durableId="1228686359">
    <w:abstractNumId w:val="11"/>
  </w:num>
  <w:num w:numId="8" w16cid:durableId="1364284373">
    <w:abstractNumId w:val="10"/>
  </w:num>
  <w:num w:numId="9" w16cid:durableId="136458123">
    <w:abstractNumId w:val="4"/>
  </w:num>
  <w:num w:numId="10" w16cid:durableId="1823502733">
    <w:abstractNumId w:val="8"/>
  </w:num>
  <w:num w:numId="11" w16cid:durableId="340208688">
    <w:abstractNumId w:val="1"/>
  </w:num>
  <w:num w:numId="12" w16cid:durableId="614797560">
    <w:abstractNumId w:val="5"/>
  </w:num>
  <w:num w:numId="13" w16cid:durableId="513348087">
    <w:abstractNumId w:val="9"/>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9"/>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07B98"/>
    <w:rsid w:val="0003627F"/>
    <w:rsid w:val="000D64FC"/>
    <w:rsid w:val="00131FA3"/>
    <w:rsid w:val="00146B68"/>
    <w:rsid w:val="00212DE3"/>
    <w:rsid w:val="00214525"/>
    <w:rsid w:val="002750C2"/>
    <w:rsid w:val="002E2660"/>
    <w:rsid w:val="002F7E36"/>
    <w:rsid w:val="00366AD0"/>
    <w:rsid w:val="00394575"/>
    <w:rsid w:val="003A0781"/>
    <w:rsid w:val="003A70DC"/>
    <w:rsid w:val="003B5299"/>
    <w:rsid w:val="00426A84"/>
    <w:rsid w:val="00484ECB"/>
    <w:rsid w:val="004D488C"/>
    <w:rsid w:val="004E3671"/>
    <w:rsid w:val="004E72CE"/>
    <w:rsid w:val="00516BB0"/>
    <w:rsid w:val="00535CF8"/>
    <w:rsid w:val="00577A60"/>
    <w:rsid w:val="005A243E"/>
    <w:rsid w:val="005C13DE"/>
    <w:rsid w:val="005F4147"/>
    <w:rsid w:val="006D6612"/>
    <w:rsid w:val="006F60A4"/>
    <w:rsid w:val="00746ED1"/>
    <w:rsid w:val="00770E68"/>
    <w:rsid w:val="007905DA"/>
    <w:rsid w:val="007A4FB5"/>
    <w:rsid w:val="008137CA"/>
    <w:rsid w:val="00816DDF"/>
    <w:rsid w:val="008218D8"/>
    <w:rsid w:val="00823703"/>
    <w:rsid w:val="00922C93"/>
    <w:rsid w:val="0092794F"/>
    <w:rsid w:val="00935956"/>
    <w:rsid w:val="00995060"/>
    <w:rsid w:val="009C5B42"/>
    <w:rsid w:val="009D346B"/>
    <w:rsid w:val="00A33598"/>
    <w:rsid w:val="00A82F80"/>
    <w:rsid w:val="00AB0873"/>
    <w:rsid w:val="00AF5EBD"/>
    <w:rsid w:val="00B1150F"/>
    <w:rsid w:val="00B36B02"/>
    <w:rsid w:val="00BC3781"/>
    <w:rsid w:val="00BF1E8D"/>
    <w:rsid w:val="00BF2FB5"/>
    <w:rsid w:val="00C013A9"/>
    <w:rsid w:val="00C607FC"/>
    <w:rsid w:val="00CE4E2F"/>
    <w:rsid w:val="00D025AC"/>
    <w:rsid w:val="00D86572"/>
    <w:rsid w:val="00DC7EB2"/>
    <w:rsid w:val="00E154F3"/>
    <w:rsid w:val="00E74A11"/>
    <w:rsid w:val="00E755AB"/>
    <w:rsid w:val="00E87A35"/>
    <w:rsid w:val="00EA2DC1"/>
    <w:rsid w:val="00EC0843"/>
    <w:rsid w:val="00ED0751"/>
    <w:rsid w:val="00EE7692"/>
    <w:rsid w:val="00F83C4D"/>
    <w:rsid w:val="00FF600E"/>
    <w:rsid w:val="24EB9DB8"/>
    <w:rsid w:val="41F6295E"/>
    <w:rsid w:val="4305CA5C"/>
    <w:rsid w:val="4794DC08"/>
    <w:rsid w:val="7DB877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CF1AD"/>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7EB2"/>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8218D8"/>
    <w:pPr>
      <w:keepNext/>
      <w:keepLines/>
      <w:numPr>
        <w:numId w:val="1"/>
      </w:numPr>
      <w:tabs>
        <w:tab w:val="left" w:pos="567"/>
      </w:tabs>
      <w:ind w:left="993" w:hanging="993"/>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77A60"/>
    <w:pPr>
      <w:keepNext/>
      <w:keepLines/>
      <w:numPr>
        <w:numId w:val="2"/>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numPr>
        <w:numId w:val="3"/>
      </w:numPr>
      <w:outlineLvl w:val="2"/>
    </w:pPr>
    <w:rPr>
      <w:rFonts w:eastAsiaTheme="majorEastAsia" w:cstheme="majorBidi"/>
      <w:b/>
      <w:color w:val="auto"/>
      <w:szCs w:val="24"/>
    </w:rPr>
  </w:style>
  <w:style w:type="paragraph" w:styleId="Heading4">
    <w:name w:val="heading 4"/>
    <w:basedOn w:val="Normal"/>
    <w:next w:val="Normal"/>
    <w:link w:val="Heading4Char"/>
    <w:uiPriority w:val="9"/>
    <w:unhideWhenUsed/>
    <w:qFormat/>
    <w:rsid w:val="004E3671"/>
    <w:pPr>
      <w:keepNext/>
      <w:keepLines/>
      <w:spacing w:before="40" w:after="0" w:line="276" w:lineRule="auto"/>
      <w:ind w:left="0" w:firstLine="0"/>
      <w:outlineLvl w:val="3"/>
    </w:pPr>
    <w:rPr>
      <w:rFonts w:asciiTheme="majorHAnsi" w:hAnsiTheme="majorHAnsi" w:eastAsiaTheme="majorEastAsia" w:cstheme="majorBidi"/>
      <w:i/>
      <w:iCs/>
      <w:color w:val="2E74B5" w:themeColor="accent1" w:themeShade="BF"/>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218D8"/>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577A60"/>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577A60"/>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577A60"/>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0D64FC"/>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DC7EB2"/>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DC7EB2"/>
    <w:rPr>
      <w:rFonts w:ascii="Arial" w:hAnsi="Arial" w:eastAsiaTheme="minorEastAsia"/>
      <w:b/>
      <w:spacing w:val="15"/>
      <w:sz w:val="24"/>
      <w:lang w:eastAsia="en-GB"/>
    </w:rPr>
  </w:style>
  <w:style w:type="paragraph" w:styleId="TOC1">
    <w:name w:val="toc 1"/>
    <w:basedOn w:val="Normal"/>
    <w:next w:val="Normal"/>
    <w:autoRedefine/>
    <w:uiPriority w:val="39"/>
    <w:unhideWhenUsed/>
    <w:rsid w:val="00DC7EB2"/>
    <w:pPr>
      <w:spacing w:after="100"/>
      <w:ind w:left="0"/>
    </w:pPr>
  </w:style>
  <w:style w:type="paragraph" w:styleId="TOC2">
    <w:name w:val="toc 2"/>
    <w:basedOn w:val="Normal"/>
    <w:next w:val="Normal"/>
    <w:autoRedefine/>
    <w:uiPriority w:val="39"/>
    <w:unhideWhenUsed/>
    <w:rsid w:val="00DC7EB2"/>
    <w:pPr>
      <w:spacing w:after="100"/>
      <w:ind w:left="240"/>
    </w:pPr>
  </w:style>
  <w:style w:type="paragraph" w:styleId="TOC3">
    <w:name w:val="toc 3"/>
    <w:basedOn w:val="Normal"/>
    <w:next w:val="Normal"/>
    <w:autoRedefine/>
    <w:uiPriority w:val="39"/>
    <w:unhideWhenUsed/>
    <w:rsid w:val="00DC7EB2"/>
    <w:pPr>
      <w:tabs>
        <w:tab w:val="left" w:pos="1320"/>
        <w:tab w:val="right" w:leader="dot" w:pos="9016"/>
      </w:tabs>
      <w:spacing w:after="100"/>
      <w:ind w:left="851" w:hanging="851"/>
    </w:pPr>
  </w:style>
  <w:style w:type="character" w:styleId="Heading4Char" w:customStyle="1">
    <w:name w:val="Heading 4 Char"/>
    <w:basedOn w:val="DefaultParagraphFont"/>
    <w:link w:val="Heading4"/>
    <w:uiPriority w:val="9"/>
    <w:rsid w:val="004E3671"/>
    <w:rPr>
      <w:rFonts w:asciiTheme="majorHAnsi" w:hAnsiTheme="majorHAnsi" w:eastAsiaTheme="majorEastAsia" w:cstheme="majorBidi"/>
      <w:i/>
      <w:iCs/>
      <w:color w:val="2E74B5" w:themeColor="accent1" w:themeShade="BF"/>
      <w:lang w:eastAsia="en-GB"/>
    </w:rPr>
  </w:style>
  <w:style w:type="table" w:styleId="TableGrid">
    <w:name w:val="Table Grid"/>
    <w:basedOn w:val="TableNormal"/>
    <w:uiPriority w:val="59"/>
    <w:rsid w:val="004E3671"/>
    <w:pPr>
      <w:spacing w:after="0" w:line="240" w:lineRule="auto"/>
    </w:pPr>
    <w:rPr>
      <w:rFonts w:eastAsiaTheme="minorEastAsia"/>
      <w:lang w:eastAsia="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OCHeading">
    <w:name w:val="TOC Heading"/>
    <w:basedOn w:val="Heading1"/>
    <w:next w:val="Normal"/>
    <w:uiPriority w:val="39"/>
    <w:unhideWhenUsed/>
    <w:qFormat/>
    <w:rsid w:val="00D025AC"/>
    <w:pPr>
      <w:numPr>
        <w:numId w:val="0"/>
      </w:numPr>
      <w:spacing w:before="240" w:after="0" w:line="259" w:lineRule="auto"/>
      <w:outlineLvl w:val="9"/>
    </w:pPr>
    <w:rPr>
      <w:rFonts w:asciiTheme="majorHAnsi" w:hAnsiTheme="majorHAnsi"/>
      <w:b w:val="0"/>
      <w:color w:val="2E74B5" w:themeColor="accent1" w:themeShade="BF"/>
      <w:sz w:val="32"/>
      <w:lang w:val="en-US" w:eastAsia="en-US"/>
    </w:rPr>
  </w:style>
  <w:style w:type="character" w:styleId="CommentReference">
    <w:name w:val="annotation reference"/>
    <w:basedOn w:val="DefaultParagraphFont"/>
    <w:uiPriority w:val="99"/>
    <w:semiHidden/>
    <w:unhideWhenUsed/>
    <w:rsid w:val="00816DDF"/>
    <w:rPr>
      <w:sz w:val="16"/>
      <w:szCs w:val="16"/>
    </w:rPr>
  </w:style>
  <w:style w:type="paragraph" w:styleId="CommentText">
    <w:name w:val="annotation text"/>
    <w:basedOn w:val="Normal"/>
    <w:link w:val="CommentTextChar"/>
    <w:uiPriority w:val="99"/>
    <w:semiHidden/>
    <w:unhideWhenUsed/>
    <w:rsid w:val="00816DDF"/>
    <w:rPr>
      <w:sz w:val="20"/>
      <w:szCs w:val="20"/>
    </w:rPr>
  </w:style>
  <w:style w:type="character" w:styleId="CommentTextChar" w:customStyle="1">
    <w:name w:val="Comment Text Char"/>
    <w:basedOn w:val="DefaultParagraphFont"/>
    <w:link w:val="CommentText"/>
    <w:uiPriority w:val="99"/>
    <w:semiHidden/>
    <w:rsid w:val="00816DDF"/>
    <w:rPr>
      <w:rFonts w:ascii="Arial" w:hAnsi="Arial" w:eastAsia="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16DDF"/>
    <w:rPr>
      <w:b/>
      <w:bCs/>
    </w:rPr>
  </w:style>
  <w:style w:type="character" w:styleId="CommentSubjectChar" w:customStyle="1">
    <w:name w:val="Comment Subject Char"/>
    <w:basedOn w:val="CommentTextChar"/>
    <w:link w:val="CommentSubject"/>
    <w:uiPriority w:val="99"/>
    <w:semiHidden/>
    <w:rsid w:val="00816DDF"/>
    <w:rPr>
      <w:rFonts w:ascii="Arial" w:hAnsi="Arial" w:eastAsia="Arial" w:cs="Arial"/>
      <w:b/>
      <w:bCs/>
      <w:color w:val="000000"/>
      <w:sz w:val="20"/>
      <w:szCs w:val="20"/>
      <w:lang w:eastAsia="en-GB"/>
    </w:rPr>
  </w:style>
  <w:style w:type="character" w:styleId="UnresolvedMention">
    <w:name w:val="Unresolved Mention"/>
    <w:basedOn w:val="DefaultParagraphFont"/>
    <w:uiPriority w:val="99"/>
    <w:semiHidden/>
    <w:unhideWhenUsed/>
    <w:rsid w:val="005C13DE"/>
    <w:rPr>
      <w:color w:val="605E5C"/>
      <w:shd w:val="clear" w:color="auto" w:fill="E1DFDD"/>
    </w:rPr>
  </w:style>
  <w:style w:type="paragraph" w:styleId="Revision">
    <w:name w:val="Revision"/>
    <w:hidden/>
    <w:uiPriority w:val="99"/>
    <w:semiHidden/>
    <w:rsid w:val="007A4FB5"/>
    <w:pPr>
      <w:spacing w:after="0" w:line="240" w:lineRule="auto"/>
    </w:pPr>
    <w:rPr>
      <w:rFonts w:ascii="Arial" w:hAnsi="Arial" w:eastAsia="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education/regulatory-framework/credit-framework"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kent.ac.uk/education/regulatory-framework/credit-framework"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odes-of-practice-for-taught-courses"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ent.ac.uk/education/regulatory-framework/credit-framework" TargetMode="External" Id="rId14" /><Relationship Type="http://schemas.openxmlformats.org/officeDocument/2006/relationships/hyperlink" Target="https://www.kent.ac.uk/education/regulatory-framework/policies-and-procedures-examinations-guidance/policies" TargetMode="External" Id="R781b1490f14c4193" /><Relationship Type="http://schemas.openxmlformats.org/officeDocument/2006/relationships/hyperlink" Target="https://view.officeapps.live.com/op/view.aspx?src=https%3A%2F%2Fwww.kent.ac.uk%2Feducation%2Fdocuments%2Fcredit-framework%2Fcredit-framework.docx&amp;wdOrigin=BROWSELINK" TargetMode="External" Id="Rf893375238434e24" /><Relationship Type="http://schemas.microsoft.com/office/2020/10/relationships/intelligence" Target="intelligence2.xml" Id="R6f65f42384874f7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EA8DE-0CFB-4E94-ADFE-53FCC27B46E4}">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2.xml><?xml version="1.0" encoding="utf-8"?>
<ds:datastoreItem xmlns:ds="http://schemas.openxmlformats.org/officeDocument/2006/customXml" ds:itemID="{BE95B908-7F2A-4CFB-925F-57FC62521578}">
  <ds:schemaRefs>
    <ds:schemaRef ds:uri="http://schemas.openxmlformats.org/officeDocument/2006/bibliography"/>
  </ds:schemaRefs>
</ds:datastoreItem>
</file>

<file path=customXml/itemProps3.xml><?xml version="1.0" encoding="utf-8"?>
<ds:datastoreItem xmlns:ds="http://schemas.openxmlformats.org/officeDocument/2006/customXml" ds:itemID="{EC6D66FF-8748-4A0E-8CC6-7937B452DD62}">
  <ds:schemaRefs>
    <ds:schemaRef ds:uri="http://schemas.microsoft.com/sharepoint/v3/contenttype/forms"/>
  </ds:schemaRefs>
</ds:datastoreItem>
</file>

<file path=customXml/itemProps4.xml><?xml version="1.0" encoding="utf-8"?>
<ds:datastoreItem xmlns:ds="http://schemas.openxmlformats.org/officeDocument/2006/customXml" ds:itemID="{04CD1CA5-05CE-4251-9FCA-15A5BF7A552B}"/>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6</cp:revision>
  <dcterms:created xsi:type="dcterms:W3CDTF">2023-01-18T10:26:00Z</dcterms:created>
  <dcterms:modified xsi:type="dcterms:W3CDTF">2023-11-09T11:08:48Z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