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38D4" w:rsidR="00F838D4" w:rsidP="00F838D4" w:rsidRDefault="00F838D4" w14:paraId="748A13D2" w14:textId="2B20BBE1">
      <w:pPr>
        <w:pStyle w:val="Title"/>
        <w:ind w:left="0" w:firstLine="0"/>
      </w:pPr>
      <w:r w:rsidRPr="00796793">
        <w:rPr>
          <w:rFonts w:cs="Arial"/>
        </w:rPr>
        <w:t xml:space="preserve">Progression Rules: PhD Text and Event in Early Modern Europe (TEEME) </w:t>
      </w:r>
    </w:p>
    <w:p w:rsidRPr="00F838D4" w:rsidR="006F3B5E" w:rsidP="006F3B5E" w:rsidRDefault="006F3B5E" w14:paraId="24EDF382" w14:textId="77777777">
      <w:pPr>
        <w:tabs>
          <w:tab w:val="left" w:pos="567"/>
        </w:tabs>
        <w:snapToGrid w:val="0"/>
        <w:ind w:left="567" w:right="95" w:hanging="567"/>
        <w:rPr>
          <w:szCs w:val="24"/>
          <w:lang w:val="fr-FR"/>
        </w:rPr>
      </w:pPr>
      <w:r w:rsidRPr="00F838D4">
        <w:rPr>
          <w:szCs w:val="24"/>
          <w:lang w:val="fr-FR"/>
        </w:rPr>
        <w:t xml:space="preserve">(An Erasmus </w:t>
      </w:r>
      <w:proofErr w:type="spellStart"/>
      <w:r w:rsidRPr="00F838D4">
        <w:rPr>
          <w:szCs w:val="24"/>
          <w:lang w:val="fr-FR"/>
        </w:rPr>
        <w:t>Mundus</w:t>
      </w:r>
      <w:proofErr w:type="spellEnd"/>
      <w:r w:rsidRPr="00F838D4">
        <w:rPr>
          <w:szCs w:val="24"/>
          <w:lang w:val="fr-FR"/>
        </w:rPr>
        <w:t xml:space="preserve"> Joint </w:t>
      </w:r>
      <w:proofErr w:type="spellStart"/>
      <w:r w:rsidRPr="00F838D4">
        <w:rPr>
          <w:szCs w:val="24"/>
          <w:lang w:val="fr-FR"/>
        </w:rPr>
        <w:t>Doctorate</w:t>
      </w:r>
      <w:proofErr w:type="spellEnd"/>
      <w:r w:rsidRPr="00F838D4">
        <w:rPr>
          <w:szCs w:val="24"/>
          <w:lang w:val="fr-FR"/>
        </w:rPr>
        <w:t>)</w:t>
      </w:r>
    </w:p>
    <w:p w:rsidRPr="006F3B5E" w:rsidR="00DC7EB2" w:rsidP="00DC7EB2" w:rsidRDefault="00DC7EB2" w14:paraId="242CC118" w14:textId="0A4B7B38">
      <w:pPr>
        <w:rPr>
          <w:lang w:val="fr-FR"/>
        </w:rPr>
      </w:pPr>
    </w:p>
    <w:p w:rsidRPr="006F3B5E" w:rsidR="006F3B5E" w:rsidP="00DC7EB2" w:rsidRDefault="006F3B5E" w14:paraId="0CC2B6DD" w14:textId="77777777">
      <w:pPr>
        <w:rPr>
          <w:lang w:val="fr-FR"/>
        </w:rPr>
      </w:pPr>
    </w:p>
    <w:p w:rsidR="00DC7EB2" w:rsidP="00DC7EB2" w:rsidRDefault="00DC7EB2" w14:paraId="63F8696B" w14:textId="77777777">
      <w:pPr>
        <w:pStyle w:val="Subtitle"/>
      </w:pPr>
      <w:r>
        <w:t xml:space="preserve">Contents </w:t>
      </w:r>
    </w:p>
    <w:p w:rsidR="006F3B5E" w:rsidP="006F3B5E" w:rsidRDefault="00DC7EB2" w14:paraId="229837EA" w14:textId="5BDFFD35">
      <w:pPr>
        <w:pStyle w:val="TOC1"/>
        <w:tabs>
          <w:tab w:val="right" w:leader="dot" w:pos="9016"/>
        </w:tabs>
        <w:ind w:left="567" w:hanging="567"/>
        <w:rPr>
          <w:rFonts w:asciiTheme="minorHAnsi" w:hAnsiTheme="minorHAnsi" w:eastAsiaTheme="minorEastAsia" w:cstheme="minorBidi"/>
          <w:noProof/>
          <w:color w:val="auto"/>
          <w:sz w:val="22"/>
          <w:lang w:eastAsia="zh-CN"/>
        </w:rPr>
      </w:pPr>
      <w:r>
        <w:fldChar w:fldCharType="begin"/>
      </w:r>
      <w:r>
        <w:instrText xml:space="preserve"> TOC \o "1-3" \h \z \u </w:instrText>
      </w:r>
      <w:r>
        <w:fldChar w:fldCharType="separate"/>
      </w:r>
      <w:hyperlink w:history="1" w:anchor="_Toc86747428">
        <w:r w:rsidRPr="00BB3C62" w:rsidR="006F3B5E">
          <w:rPr>
            <w:rStyle w:val="Hyperlink"/>
            <w:bCs/>
            <w:noProof/>
          </w:rPr>
          <w:t>1.</w:t>
        </w:r>
        <w:r w:rsidR="006F3B5E">
          <w:rPr>
            <w:rFonts w:asciiTheme="minorHAnsi" w:hAnsiTheme="minorHAnsi" w:eastAsiaTheme="minorEastAsia" w:cstheme="minorBidi"/>
            <w:noProof/>
            <w:color w:val="auto"/>
            <w:sz w:val="22"/>
            <w:lang w:eastAsia="zh-CN"/>
          </w:rPr>
          <w:tab/>
        </w:r>
        <w:r w:rsidRPr="00BB3C62" w:rsidR="006F3B5E">
          <w:rPr>
            <w:rStyle w:val="Hyperlink"/>
            <w:noProof/>
          </w:rPr>
          <w:t>Length of Course</w:t>
        </w:r>
        <w:r w:rsidR="006F3B5E">
          <w:rPr>
            <w:noProof/>
            <w:webHidden/>
          </w:rPr>
          <w:tab/>
        </w:r>
        <w:r w:rsidR="006F3B5E">
          <w:rPr>
            <w:noProof/>
            <w:webHidden/>
          </w:rPr>
          <w:fldChar w:fldCharType="begin"/>
        </w:r>
        <w:r w:rsidR="006F3B5E">
          <w:rPr>
            <w:noProof/>
            <w:webHidden/>
          </w:rPr>
          <w:instrText xml:space="preserve"> PAGEREF _Toc86747428 \h </w:instrText>
        </w:r>
        <w:r w:rsidR="006F3B5E">
          <w:rPr>
            <w:noProof/>
            <w:webHidden/>
          </w:rPr>
        </w:r>
        <w:r w:rsidR="006F3B5E">
          <w:rPr>
            <w:noProof/>
            <w:webHidden/>
          </w:rPr>
          <w:fldChar w:fldCharType="separate"/>
        </w:r>
        <w:r w:rsidR="006F3B5E">
          <w:rPr>
            <w:noProof/>
            <w:webHidden/>
          </w:rPr>
          <w:t>2</w:t>
        </w:r>
        <w:r w:rsidR="006F3B5E">
          <w:rPr>
            <w:noProof/>
            <w:webHidden/>
          </w:rPr>
          <w:fldChar w:fldCharType="end"/>
        </w:r>
      </w:hyperlink>
    </w:p>
    <w:p w:rsidR="006F3B5E" w:rsidP="006F3B5E" w:rsidRDefault="0050295D" w14:paraId="44A5D19E" w14:textId="77A7D2E7">
      <w:pPr>
        <w:pStyle w:val="TOC2"/>
        <w:tabs>
          <w:tab w:val="right" w:leader="dot" w:pos="9016"/>
        </w:tabs>
        <w:ind w:left="567" w:hanging="567"/>
        <w:rPr>
          <w:rFonts w:asciiTheme="minorHAnsi" w:hAnsiTheme="minorHAnsi" w:eastAsiaTheme="minorEastAsia" w:cstheme="minorBidi"/>
          <w:noProof/>
          <w:color w:val="auto"/>
          <w:sz w:val="22"/>
          <w:lang w:eastAsia="zh-CN"/>
        </w:rPr>
      </w:pPr>
      <w:hyperlink w:history="1" w:anchor="_Toc86747429">
        <w:r w:rsidRPr="00BB3C62" w:rsidR="006F3B5E">
          <w:rPr>
            <w:rStyle w:val="Hyperlink"/>
            <w:noProof/>
          </w:rPr>
          <w:t>1.1</w:t>
        </w:r>
        <w:r w:rsidR="006F3B5E">
          <w:rPr>
            <w:rFonts w:asciiTheme="minorHAnsi" w:hAnsiTheme="minorHAnsi" w:eastAsiaTheme="minorEastAsia" w:cstheme="minorBidi"/>
            <w:noProof/>
            <w:color w:val="auto"/>
            <w:sz w:val="22"/>
            <w:lang w:eastAsia="zh-CN"/>
          </w:rPr>
          <w:tab/>
        </w:r>
        <w:r w:rsidRPr="00BB3C62" w:rsidR="006F3B5E">
          <w:rPr>
            <w:rStyle w:val="Hyperlink"/>
            <w:noProof/>
          </w:rPr>
          <w:t>Academic Year</w:t>
        </w:r>
        <w:r w:rsidR="006F3B5E">
          <w:rPr>
            <w:noProof/>
            <w:webHidden/>
          </w:rPr>
          <w:tab/>
        </w:r>
        <w:r w:rsidR="006F3B5E">
          <w:rPr>
            <w:noProof/>
            <w:webHidden/>
          </w:rPr>
          <w:fldChar w:fldCharType="begin"/>
        </w:r>
        <w:r w:rsidR="006F3B5E">
          <w:rPr>
            <w:noProof/>
            <w:webHidden/>
          </w:rPr>
          <w:instrText xml:space="preserve"> PAGEREF _Toc86747429 \h </w:instrText>
        </w:r>
        <w:r w:rsidR="006F3B5E">
          <w:rPr>
            <w:noProof/>
            <w:webHidden/>
          </w:rPr>
        </w:r>
        <w:r w:rsidR="006F3B5E">
          <w:rPr>
            <w:noProof/>
            <w:webHidden/>
          </w:rPr>
          <w:fldChar w:fldCharType="separate"/>
        </w:r>
        <w:r w:rsidR="006F3B5E">
          <w:rPr>
            <w:noProof/>
            <w:webHidden/>
          </w:rPr>
          <w:t>2</w:t>
        </w:r>
        <w:r w:rsidR="006F3B5E">
          <w:rPr>
            <w:noProof/>
            <w:webHidden/>
          </w:rPr>
          <w:fldChar w:fldCharType="end"/>
        </w:r>
      </w:hyperlink>
    </w:p>
    <w:p w:rsidR="006F3B5E" w:rsidP="006F3B5E" w:rsidRDefault="0050295D" w14:paraId="28676A6C" w14:textId="061CD1C1">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747430">
        <w:r w:rsidRPr="00BB3C62" w:rsidR="006F3B5E">
          <w:rPr>
            <w:rStyle w:val="Hyperlink"/>
            <w:bCs/>
            <w:noProof/>
          </w:rPr>
          <w:t>2.</w:t>
        </w:r>
        <w:r w:rsidR="006F3B5E">
          <w:rPr>
            <w:rFonts w:asciiTheme="minorHAnsi" w:hAnsiTheme="minorHAnsi" w:eastAsiaTheme="minorEastAsia" w:cstheme="minorBidi"/>
            <w:noProof/>
            <w:color w:val="auto"/>
            <w:sz w:val="22"/>
            <w:lang w:eastAsia="zh-CN"/>
          </w:rPr>
          <w:tab/>
        </w:r>
        <w:r w:rsidRPr="00BB3C62" w:rsidR="006F3B5E">
          <w:rPr>
            <w:rStyle w:val="Hyperlink"/>
            <w:noProof/>
          </w:rPr>
          <w:t>Credit Volume</w:t>
        </w:r>
        <w:r w:rsidR="006F3B5E">
          <w:rPr>
            <w:noProof/>
            <w:webHidden/>
          </w:rPr>
          <w:tab/>
        </w:r>
        <w:r w:rsidR="006F3B5E">
          <w:rPr>
            <w:noProof/>
            <w:webHidden/>
          </w:rPr>
          <w:fldChar w:fldCharType="begin"/>
        </w:r>
        <w:r w:rsidR="006F3B5E">
          <w:rPr>
            <w:noProof/>
            <w:webHidden/>
          </w:rPr>
          <w:instrText xml:space="preserve"> PAGEREF _Toc86747430 \h </w:instrText>
        </w:r>
        <w:r w:rsidR="006F3B5E">
          <w:rPr>
            <w:noProof/>
            <w:webHidden/>
          </w:rPr>
        </w:r>
        <w:r w:rsidR="006F3B5E">
          <w:rPr>
            <w:noProof/>
            <w:webHidden/>
          </w:rPr>
          <w:fldChar w:fldCharType="separate"/>
        </w:r>
        <w:r w:rsidR="006F3B5E">
          <w:rPr>
            <w:noProof/>
            <w:webHidden/>
          </w:rPr>
          <w:t>2</w:t>
        </w:r>
        <w:r w:rsidR="006F3B5E">
          <w:rPr>
            <w:noProof/>
            <w:webHidden/>
          </w:rPr>
          <w:fldChar w:fldCharType="end"/>
        </w:r>
      </w:hyperlink>
    </w:p>
    <w:p w:rsidR="006F3B5E" w:rsidP="006F3B5E" w:rsidRDefault="0050295D" w14:paraId="226A8AC7" w14:textId="74A3D74B">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747431">
        <w:r w:rsidRPr="00BB3C62" w:rsidR="006F3B5E">
          <w:rPr>
            <w:rStyle w:val="Hyperlink"/>
            <w:bCs/>
            <w:noProof/>
          </w:rPr>
          <w:t>3.</w:t>
        </w:r>
        <w:r w:rsidR="006F3B5E">
          <w:rPr>
            <w:rFonts w:asciiTheme="minorHAnsi" w:hAnsiTheme="minorHAnsi" w:eastAsiaTheme="minorEastAsia" w:cstheme="minorBidi"/>
            <w:noProof/>
            <w:color w:val="auto"/>
            <w:sz w:val="22"/>
            <w:lang w:eastAsia="zh-CN"/>
          </w:rPr>
          <w:tab/>
        </w:r>
        <w:r w:rsidRPr="00BB3C62" w:rsidR="006F3B5E">
          <w:rPr>
            <w:rStyle w:val="Hyperlink"/>
            <w:noProof/>
          </w:rPr>
          <w:t>Course Structure</w:t>
        </w:r>
        <w:r w:rsidR="006F3B5E">
          <w:rPr>
            <w:noProof/>
            <w:webHidden/>
          </w:rPr>
          <w:tab/>
        </w:r>
        <w:r w:rsidR="006F3B5E">
          <w:rPr>
            <w:noProof/>
            <w:webHidden/>
          </w:rPr>
          <w:fldChar w:fldCharType="begin"/>
        </w:r>
        <w:r w:rsidR="006F3B5E">
          <w:rPr>
            <w:noProof/>
            <w:webHidden/>
          </w:rPr>
          <w:instrText xml:space="preserve"> PAGEREF _Toc86747431 \h </w:instrText>
        </w:r>
        <w:r w:rsidR="006F3B5E">
          <w:rPr>
            <w:noProof/>
            <w:webHidden/>
          </w:rPr>
        </w:r>
        <w:r w:rsidR="006F3B5E">
          <w:rPr>
            <w:noProof/>
            <w:webHidden/>
          </w:rPr>
          <w:fldChar w:fldCharType="separate"/>
        </w:r>
        <w:r w:rsidR="006F3B5E">
          <w:rPr>
            <w:noProof/>
            <w:webHidden/>
          </w:rPr>
          <w:t>2</w:t>
        </w:r>
        <w:r w:rsidR="006F3B5E">
          <w:rPr>
            <w:noProof/>
            <w:webHidden/>
          </w:rPr>
          <w:fldChar w:fldCharType="end"/>
        </w:r>
      </w:hyperlink>
    </w:p>
    <w:p w:rsidR="006F3B5E" w:rsidP="006F3B5E" w:rsidRDefault="0050295D" w14:paraId="6C5AAA17" w14:textId="6A409768">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747432">
        <w:r w:rsidRPr="00BB3C62" w:rsidR="006F3B5E">
          <w:rPr>
            <w:rStyle w:val="Hyperlink"/>
            <w:bCs/>
            <w:noProof/>
          </w:rPr>
          <w:t>4.</w:t>
        </w:r>
        <w:r w:rsidR="006F3B5E">
          <w:rPr>
            <w:rFonts w:asciiTheme="minorHAnsi" w:hAnsiTheme="minorHAnsi" w:eastAsiaTheme="minorEastAsia" w:cstheme="minorBidi"/>
            <w:noProof/>
            <w:color w:val="auto"/>
            <w:sz w:val="22"/>
            <w:lang w:eastAsia="zh-CN"/>
          </w:rPr>
          <w:tab/>
        </w:r>
        <w:r w:rsidRPr="00BB3C62" w:rsidR="006F3B5E">
          <w:rPr>
            <w:rStyle w:val="Hyperlink"/>
            <w:noProof/>
          </w:rPr>
          <w:t>Monitoring and Progression Points</w:t>
        </w:r>
        <w:r w:rsidR="006F3B5E">
          <w:rPr>
            <w:noProof/>
            <w:webHidden/>
          </w:rPr>
          <w:tab/>
        </w:r>
        <w:r w:rsidR="006F3B5E">
          <w:rPr>
            <w:noProof/>
            <w:webHidden/>
          </w:rPr>
          <w:fldChar w:fldCharType="begin"/>
        </w:r>
        <w:r w:rsidR="006F3B5E">
          <w:rPr>
            <w:noProof/>
            <w:webHidden/>
          </w:rPr>
          <w:instrText xml:space="preserve"> PAGEREF _Toc86747432 \h </w:instrText>
        </w:r>
        <w:r w:rsidR="006F3B5E">
          <w:rPr>
            <w:noProof/>
            <w:webHidden/>
          </w:rPr>
        </w:r>
        <w:r w:rsidR="006F3B5E">
          <w:rPr>
            <w:noProof/>
            <w:webHidden/>
          </w:rPr>
          <w:fldChar w:fldCharType="separate"/>
        </w:r>
        <w:r w:rsidR="006F3B5E">
          <w:rPr>
            <w:noProof/>
            <w:webHidden/>
          </w:rPr>
          <w:t>2</w:t>
        </w:r>
        <w:r w:rsidR="006F3B5E">
          <w:rPr>
            <w:noProof/>
            <w:webHidden/>
          </w:rPr>
          <w:fldChar w:fldCharType="end"/>
        </w:r>
      </w:hyperlink>
    </w:p>
    <w:p w:rsidR="006F3B5E" w:rsidP="006F3B5E" w:rsidRDefault="0050295D" w14:paraId="6D3C1E3A" w14:textId="0B15C854">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747433">
        <w:r w:rsidRPr="00BB3C62" w:rsidR="006F3B5E">
          <w:rPr>
            <w:rStyle w:val="Hyperlink"/>
            <w:bCs/>
            <w:noProof/>
          </w:rPr>
          <w:t>5.</w:t>
        </w:r>
        <w:r w:rsidR="006F3B5E">
          <w:rPr>
            <w:rFonts w:asciiTheme="minorHAnsi" w:hAnsiTheme="minorHAnsi" w:eastAsiaTheme="minorEastAsia" w:cstheme="minorBidi"/>
            <w:noProof/>
            <w:color w:val="auto"/>
            <w:sz w:val="22"/>
            <w:lang w:eastAsia="zh-CN"/>
          </w:rPr>
          <w:tab/>
        </w:r>
        <w:r w:rsidRPr="00BB3C62" w:rsidR="006F3B5E">
          <w:rPr>
            <w:rStyle w:val="Hyperlink"/>
            <w:noProof/>
          </w:rPr>
          <w:t>Progression Requirements</w:t>
        </w:r>
        <w:r w:rsidR="006F3B5E">
          <w:rPr>
            <w:noProof/>
            <w:webHidden/>
          </w:rPr>
          <w:tab/>
        </w:r>
        <w:r w:rsidR="006F3B5E">
          <w:rPr>
            <w:noProof/>
            <w:webHidden/>
          </w:rPr>
          <w:fldChar w:fldCharType="begin"/>
        </w:r>
        <w:r w:rsidR="006F3B5E">
          <w:rPr>
            <w:noProof/>
            <w:webHidden/>
          </w:rPr>
          <w:instrText xml:space="preserve"> PAGEREF _Toc86747433 \h </w:instrText>
        </w:r>
        <w:r w:rsidR="006F3B5E">
          <w:rPr>
            <w:noProof/>
            <w:webHidden/>
          </w:rPr>
        </w:r>
        <w:r w:rsidR="006F3B5E">
          <w:rPr>
            <w:noProof/>
            <w:webHidden/>
          </w:rPr>
          <w:fldChar w:fldCharType="separate"/>
        </w:r>
        <w:r w:rsidR="006F3B5E">
          <w:rPr>
            <w:noProof/>
            <w:webHidden/>
          </w:rPr>
          <w:t>3</w:t>
        </w:r>
        <w:r w:rsidR="006F3B5E">
          <w:rPr>
            <w:noProof/>
            <w:webHidden/>
          </w:rPr>
          <w:fldChar w:fldCharType="end"/>
        </w:r>
      </w:hyperlink>
    </w:p>
    <w:p w:rsidR="006F3B5E" w:rsidP="006F3B5E" w:rsidRDefault="0050295D" w14:paraId="36608A3C" w14:textId="487D39F1">
      <w:pPr>
        <w:pStyle w:val="TOC2"/>
        <w:tabs>
          <w:tab w:val="right" w:leader="dot" w:pos="9016"/>
        </w:tabs>
        <w:ind w:left="567" w:hanging="567"/>
        <w:rPr>
          <w:rFonts w:asciiTheme="minorHAnsi" w:hAnsiTheme="minorHAnsi" w:eastAsiaTheme="minorEastAsia" w:cstheme="minorBidi"/>
          <w:noProof/>
          <w:color w:val="auto"/>
          <w:sz w:val="22"/>
          <w:lang w:eastAsia="zh-CN"/>
        </w:rPr>
      </w:pPr>
      <w:hyperlink w:history="1" w:anchor="_Toc86747434">
        <w:r w:rsidRPr="00BB3C62" w:rsidR="006F3B5E">
          <w:rPr>
            <w:rStyle w:val="Hyperlink"/>
            <w:noProof/>
          </w:rPr>
          <w:t>5.1</w:t>
        </w:r>
        <w:r w:rsidR="006F3B5E">
          <w:rPr>
            <w:rFonts w:asciiTheme="minorHAnsi" w:hAnsiTheme="minorHAnsi" w:eastAsiaTheme="minorEastAsia" w:cstheme="minorBidi"/>
            <w:noProof/>
            <w:color w:val="auto"/>
            <w:sz w:val="22"/>
            <w:lang w:eastAsia="zh-CN"/>
          </w:rPr>
          <w:tab/>
        </w:r>
        <w:r w:rsidRPr="00BB3C62" w:rsidR="006F3B5E">
          <w:rPr>
            <w:rStyle w:val="Hyperlink"/>
            <w:noProof/>
          </w:rPr>
          <w:t>Other Areas for Consideration</w:t>
        </w:r>
        <w:r w:rsidR="006F3B5E">
          <w:rPr>
            <w:noProof/>
            <w:webHidden/>
          </w:rPr>
          <w:tab/>
        </w:r>
        <w:r w:rsidR="006F3B5E">
          <w:rPr>
            <w:noProof/>
            <w:webHidden/>
          </w:rPr>
          <w:fldChar w:fldCharType="begin"/>
        </w:r>
        <w:r w:rsidR="006F3B5E">
          <w:rPr>
            <w:noProof/>
            <w:webHidden/>
          </w:rPr>
          <w:instrText xml:space="preserve"> PAGEREF _Toc86747434 \h </w:instrText>
        </w:r>
        <w:r w:rsidR="006F3B5E">
          <w:rPr>
            <w:noProof/>
            <w:webHidden/>
          </w:rPr>
        </w:r>
        <w:r w:rsidR="006F3B5E">
          <w:rPr>
            <w:noProof/>
            <w:webHidden/>
          </w:rPr>
          <w:fldChar w:fldCharType="separate"/>
        </w:r>
        <w:r w:rsidR="006F3B5E">
          <w:rPr>
            <w:noProof/>
            <w:webHidden/>
          </w:rPr>
          <w:t>3</w:t>
        </w:r>
        <w:r w:rsidR="006F3B5E">
          <w:rPr>
            <w:noProof/>
            <w:webHidden/>
          </w:rPr>
          <w:fldChar w:fldCharType="end"/>
        </w:r>
      </w:hyperlink>
    </w:p>
    <w:p w:rsidR="006F3B5E" w:rsidP="006F3B5E" w:rsidRDefault="0050295D" w14:paraId="30A400AE" w14:textId="4FD2D32D">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747435">
        <w:r w:rsidRPr="00BB3C62" w:rsidR="006F3B5E">
          <w:rPr>
            <w:rStyle w:val="Hyperlink"/>
            <w:bCs/>
            <w:noProof/>
          </w:rPr>
          <w:t>6.</w:t>
        </w:r>
        <w:r w:rsidR="006F3B5E">
          <w:rPr>
            <w:rFonts w:asciiTheme="minorHAnsi" w:hAnsiTheme="minorHAnsi" w:eastAsiaTheme="minorEastAsia" w:cstheme="minorBidi"/>
            <w:noProof/>
            <w:color w:val="auto"/>
            <w:sz w:val="22"/>
            <w:lang w:eastAsia="zh-CN"/>
          </w:rPr>
          <w:tab/>
        </w:r>
        <w:r w:rsidRPr="00BB3C62" w:rsidR="006F3B5E">
          <w:rPr>
            <w:rStyle w:val="Hyperlink"/>
            <w:noProof/>
          </w:rPr>
          <w:t>Final Examination</w:t>
        </w:r>
        <w:r w:rsidR="006F3B5E">
          <w:rPr>
            <w:noProof/>
            <w:webHidden/>
          </w:rPr>
          <w:tab/>
        </w:r>
        <w:r w:rsidR="006F3B5E">
          <w:rPr>
            <w:noProof/>
            <w:webHidden/>
          </w:rPr>
          <w:fldChar w:fldCharType="begin"/>
        </w:r>
        <w:r w:rsidR="006F3B5E">
          <w:rPr>
            <w:noProof/>
            <w:webHidden/>
          </w:rPr>
          <w:instrText xml:space="preserve"> PAGEREF _Toc86747435 \h </w:instrText>
        </w:r>
        <w:r w:rsidR="006F3B5E">
          <w:rPr>
            <w:noProof/>
            <w:webHidden/>
          </w:rPr>
        </w:r>
        <w:r w:rsidR="006F3B5E">
          <w:rPr>
            <w:noProof/>
            <w:webHidden/>
          </w:rPr>
          <w:fldChar w:fldCharType="separate"/>
        </w:r>
        <w:r w:rsidR="006F3B5E">
          <w:rPr>
            <w:noProof/>
            <w:webHidden/>
          </w:rPr>
          <w:t>3</w:t>
        </w:r>
        <w:r w:rsidR="006F3B5E">
          <w:rPr>
            <w:noProof/>
            <w:webHidden/>
          </w:rPr>
          <w:fldChar w:fldCharType="end"/>
        </w:r>
      </w:hyperlink>
    </w:p>
    <w:p w:rsidR="006F3B5E" w:rsidP="006F3B5E" w:rsidRDefault="0050295D" w14:paraId="1EBAE7BB" w14:textId="24370FC1">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747436">
        <w:r w:rsidRPr="00BB3C62" w:rsidR="006F3B5E">
          <w:rPr>
            <w:rStyle w:val="Hyperlink"/>
            <w:bCs/>
            <w:noProof/>
          </w:rPr>
          <w:t>7.</w:t>
        </w:r>
        <w:r w:rsidR="006F3B5E">
          <w:rPr>
            <w:rFonts w:asciiTheme="minorHAnsi" w:hAnsiTheme="minorHAnsi" w:eastAsiaTheme="minorEastAsia" w:cstheme="minorBidi"/>
            <w:noProof/>
            <w:color w:val="auto"/>
            <w:sz w:val="22"/>
            <w:lang w:eastAsia="zh-CN"/>
          </w:rPr>
          <w:tab/>
        </w:r>
        <w:r w:rsidRPr="00BB3C62" w:rsidR="006F3B5E">
          <w:rPr>
            <w:rStyle w:val="Hyperlink"/>
            <w:noProof/>
          </w:rPr>
          <w:t>Recommendations</w:t>
        </w:r>
        <w:r w:rsidR="006F3B5E">
          <w:rPr>
            <w:noProof/>
            <w:webHidden/>
          </w:rPr>
          <w:tab/>
        </w:r>
        <w:r w:rsidR="006F3B5E">
          <w:rPr>
            <w:noProof/>
            <w:webHidden/>
          </w:rPr>
          <w:fldChar w:fldCharType="begin"/>
        </w:r>
        <w:r w:rsidR="006F3B5E">
          <w:rPr>
            <w:noProof/>
            <w:webHidden/>
          </w:rPr>
          <w:instrText xml:space="preserve"> PAGEREF _Toc86747436 \h </w:instrText>
        </w:r>
        <w:r w:rsidR="006F3B5E">
          <w:rPr>
            <w:noProof/>
            <w:webHidden/>
          </w:rPr>
        </w:r>
        <w:r w:rsidR="006F3B5E">
          <w:rPr>
            <w:noProof/>
            <w:webHidden/>
          </w:rPr>
          <w:fldChar w:fldCharType="separate"/>
        </w:r>
        <w:r w:rsidR="006F3B5E">
          <w:rPr>
            <w:noProof/>
            <w:webHidden/>
          </w:rPr>
          <w:t>3</w:t>
        </w:r>
        <w:r w:rsidR="006F3B5E">
          <w:rPr>
            <w:noProof/>
            <w:webHidden/>
          </w:rPr>
          <w:fldChar w:fldCharType="end"/>
        </w:r>
      </w:hyperlink>
    </w:p>
    <w:p w:rsidR="006F3B5E" w:rsidP="006F3B5E" w:rsidRDefault="0050295D" w14:paraId="0358C695" w14:textId="4D83F46A">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6747437">
        <w:r w:rsidRPr="00BB3C62" w:rsidR="006F3B5E">
          <w:rPr>
            <w:rStyle w:val="Hyperlink"/>
            <w:bCs/>
            <w:noProof/>
          </w:rPr>
          <w:t>8.</w:t>
        </w:r>
        <w:r w:rsidR="006F3B5E">
          <w:rPr>
            <w:rFonts w:asciiTheme="minorHAnsi" w:hAnsiTheme="minorHAnsi" w:eastAsiaTheme="minorEastAsia" w:cstheme="minorBidi"/>
            <w:noProof/>
            <w:color w:val="auto"/>
            <w:sz w:val="22"/>
            <w:lang w:eastAsia="zh-CN"/>
          </w:rPr>
          <w:tab/>
        </w:r>
        <w:r w:rsidRPr="00BB3C62" w:rsidR="006F3B5E">
          <w:rPr>
            <w:rStyle w:val="Hyperlink"/>
            <w:noProof/>
          </w:rPr>
          <w:t>Academic Appeals</w:t>
        </w:r>
        <w:r w:rsidR="006F3B5E">
          <w:rPr>
            <w:noProof/>
            <w:webHidden/>
          </w:rPr>
          <w:tab/>
        </w:r>
        <w:r w:rsidR="006F3B5E">
          <w:rPr>
            <w:noProof/>
            <w:webHidden/>
          </w:rPr>
          <w:fldChar w:fldCharType="begin"/>
        </w:r>
        <w:r w:rsidR="006F3B5E">
          <w:rPr>
            <w:noProof/>
            <w:webHidden/>
          </w:rPr>
          <w:instrText xml:space="preserve"> PAGEREF _Toc86747437 \h </w:instrText>
        </w:r>
        <w:r w:rsidR="006F3B5E">
          <w:rPr>
            <w:noProof/>
            <w:webHidden/>
          </w:rPr>
        </w:r>
        <w:r w:rsidR="006F3B5E">
          <w:rPr>
            <w:noProof/>
            <w:webHidden/>
          </w:rPr>
          <w:fldChar w:fldCharType="separate"/>
        </w:r>
        <w:r w:rsidR="006F3B5E">
          <w:rPr>
            <w:noProof/>
            <w:webHidden/>
          </w:rPr>
          <w:t>4</w:t>
        </w:r>
        <w:r w:rsidR="006F3B5E">
          <w:rPr>
            <w:noProof/>
            <w:webHidden/>
          </w:rPr>
          <w:fldChar w:fldCharType="end"/>
        </w:r>
      </w:hyperlink>
    </w:p>
    <w:p w:rsidR="00DC7EB2" w:rsidP="006F3B5E" w:rsidRDefault="00DC7EB2" w14:paraId="3397D4B3" w14:textId="7FC6E6D7">
      <w:pPr>
        <w:ind w:left="567" w:hanging="567"/>
      </w:pPr>
      <w:r>
        <w:fldChar w:fldCharType="end"/>
      </w:r>
    </w:p>
    <w:p w:rsidR="00DC7EB2" w:rsidP="00DC7EB2" w:rsidRDefault="00DC7EB2" w14:paraId="62C7B8F5" w14:textId="77777777"/>
    <w:p w:rsidR="00DC7EB2" w:rsidP="00DC7EB2" w:rsidRDefault="00DC7EB2" w14:paraId="230F785B" w14:textId="77777777">
      <w:pPr>
        <w:spacing w:after="160" w:line="259" w:lineRule="auto"/>
        <w:ind w:left="0" w:firstLine="0"/>
      </w:pPr>
      <w:r>
        <w:br w:type="page"/>
      </w:r>
    </w:p>
    <w:p w:rsidR="00F838D4" w:rsidP="00F838D4" w:rsidRDefault="003A51EE" w14:paraId="540F3BB1" w14:textId="05564E52">
      <w:pPr>
        <w:pStyle w:val="Heading1"/>
      </w:pPr>
      <w:bookmarkStart w:name="_Toc86747428" w:id="0"/>
      <w:r w:rsidRPr="00F838D4">
        <w:lastRenderedPageBreak/>
        <w:t xml:space="preserve">Length of </w:t>
      </w:r>
      <w:r w:rsidR="00F838D4">
        <w:t>Course</w:t>
      </w:r>
      <w:bookmarkEnd w:id="0"/>
    </w:p>
    <w:p w:rsidRPr="00F838D4" w:rsidR="003A51EE" w:rsidP="00F838D4" w:rsidRDefault="003A51EE" w14:paraId="1190F952" w14:textId="7D2A1FB4">
      <w:pPr>
        <w:snapToGrid w:val="0"/>
        <w:ind w:left="567" w:right="95" w:firstLine="0"/>
      </w:pPr>
      <w:r w:rsidRPr="00F838D4">
        <w:t xml:space="preserve">Three years of full-time study. Additionally, candidates may, at the discretion of the Academic Board, be permitted a fourth year of registration at continuation status, for the purpose of writing-up the thesis. </w:t>
      </w:r>
    </w:p>
    <w:p w:rsidR="00F838D4" w:rsidP="00715E05" w:rsidRDefault="003A51EE" w14:paraId="269F9A36" w14:textId="4D829128">
      <w:pPr>
        <w:pStyle w:val="Heading2"/>
        <w:numPr>
          <w:ilvl w:val="1"/>
          <w:numId w:val="8"/>
        </w:numPr>
        <w:ind w:left="567" w:hanging="567"/>
      </w:pPr>
      <w:bookmarkStart w:name="_Toc86747429" w:id="1"/>
      <w:r w:rsidRPr="00F838D4">
        <w:t>Academic Year</w:t>
      </w:r>
      <w:bookmarkEnd w:id="1"/>
    </w:p>
    <w:p w:rsidRPr="00F838D4" w:rsidR="003A51EE" w:rsidP="00F838D4" w:rsidRDefault="003A51EE" w14:paraId="01B96754" w14:textId="63329589">
      <w:pPr>
        <w:ind w:hanging="295"/>
      </w:pPr>
      <w:r w:rsidRPr="00F838D4">
        <w:t xml:space="preserve">1 September - 31 August. </w:t>
      </w:r>
    </w:p>
    <w:p w:rsidRPr="00F838D4" w:rsidR="003A51EE" w:rsidP="00F838D4" w:rsidRDefault="003A51EE" w14:paraId="40BDBF42" w14:textId="77777777">
      <w:pPr>
        <w:snapToGrid w:val="0"/>
        <w:ind w:left="567" w:right="95" w:hanging="567"/>
      </w:pPr>
    </w:p>
    <w:p w:rsidR="00F838D4" w:rsidP="00F838D4" w:rsidRDefault="003A51EE" w14:paraId="62BC75A8" w14:textId="44E9942A">
      <w:pPr>
        <w:pStyle w:val="Heading1"/>
      </w:pPr>
      <w:bookmarkStart w:name="_Toc86747430" w:id="2"/>
      <w:r w:rsidRPr="00F838D4">
        <w:t>Credit Volume</w:t>
      </w:r>
      <w:bookmarkEnd w:id="2"/>
    </w:p>
    <w:p w:rsidRPr="00F838D4" w:rsidR="003A51EE" w:rsidP="00F838D4" w:rsidRDefault="00F838D4" w14:paraId="4A5F143B" w14:textId="38466A33">
      <w:pPr>
        <w:snapToGrid w:val="0"/>
        <w:ind w:left="567" w:right="95" w:firstLine="0"/>
      </w:pPr>
      <w:r>
        <w:t xml:space="preserve">Credit volume is </w:t>
      </w:r>
      <w:r w:rsidRPr="00F838D4" w:rsidR="003A51EE">
        <w:t xml:space="preserve">180 ECTS. Each year of successful study contributes 60 ECTS to the overall total required. Candidates who progress through all three years of the </w:t>
      </w:r>
      <w:r>
        <w:t xml:space="preserve">course </w:t>
      </w:r>
      <w:r w:rsidRPr="00F838D4" w:rsidR="003A51EE">
        <w:t>and achieve 180 ECTS may, at the discretion of the Academic Board, be considered eligible to submit a thesis for examination.</w:t>
      </w:r>
    </w:p>
    <w:p w:rsidRPr="00F838D4" w:rsidR="003A51EE" w:rsidP="00F838D4" w:rsidRDefault="003A51EE" w14:paraId="3C97F054" w14:textId="77777777">
      <w:pPr>
        <w:snapToGrid w:val="0"/>
        <w:ind w:left="567" w:right="95" w:hanging="567"/>
      </w:pPr>
    </w:p>
    <w:p w:rsidR="006A53F8" w:rsidP="006A53F8" w:rsidRDefault="00F838D4" w14:paraId="7703F35B" w14:textId="1109A301">
      <w:pPr>
        <w:pStyle w:val="Heading1"/>
      </w:pPr>
      <w:bookmarkStart w:name="_Toc86747431" w:id="3"/>
      <w:r>
        <w:t>Course</w:t>
      </w:r>
      <w:r w:rsidRPr="00F838D4" w:rsidR="003A51EE">
        <w:t xml:space="preserve"> Structure</w:t>
      </w:r>
      <w:bookmarkEnd w:id="3"/>
    </w:p>
    <w:p w:rsidRPr="00F838D4" w:rsidR="003A51EE" w:rsidP="006A53F8" w:rsidRDefault="003A51EE" w14:paraId="2BEB98A3" w14:textId="220A0F91">
      <w:pPr>
        <w:snapToGrid w:val="0"/>
        <w:ind w:left="567" w:right="95" w:firstLine="0"/>
      </w:pPr>
      <w:r w:rsidRPr="00F838D4">
        <w:t xml:space="preserve">Each year of study is structured into two semesters. Candidates take a variety of curriculum elements in the respective research and skills strands of the </w:t>
      </w:r>
      <w:r w:rsidR="00F838D4">
        <w:t>course</w:t>
      </w:r>
      <w:r w:rsidRPr="00F838D4">
        <w:t xml:space="preserve"> to a total of 30 ECTS in each semester. These curriculum elements may include taught courses, workshops, online publication, project work, placements and such other activities as set out in the </w:t>
      </w:r>
      <w:r w:rsidR="00F838D4">
        <w:t>course</w:t>
      </w:r>
      <w:r w:rsidRPr="00F838D4">
        <w:t xml:space="preserve"> specification. Credits for these elements will be awarded for successful completion of the relevant assessments, active participation by the candidates and, where required, satisfactory attendance. Candidates may apply, upon production of appropriate evidence, for exemption from elements of the skills strand, provided that equivalent training has already been completed prior to, or outside of the </w:t>
      </w:r>
      <w:r w:rsidR="00F838D4">
        <w:t>course</w:t>
      </w:r>
      <w:r w:rsidRPr="00F838D4">
        <w:t xml:space="preserve">s. Credit for no more than 50% of the credits available for the skills strand for the </w:t>
      </w:r>
      <w:r w:rsidR="00F838D4">
        <w:t>course</w:t>
      </w:r>
      <w:r w:rsidRPr="00F838D4">
        <w:t xml:space="preserve"> may be awarded through this means. </w:t>
      </w:r>
    </w:p>
    <w:p w:rsidRPr="00F838D4" w:rsidR="003A51EE" w:rsidP="00F838D4" w:rsidRDefault="003A51EE" w14:paraId="084B820E" w14:textId="77777777">
      <w:pPr>
        <w:snapToGrid w:val="0"/>
        <w:ind w:left="567" w:right="95" w:hanging="567"/>
      </w:pPr>
    </w:p>
    <w:p w:rsidR="00715E05" w:rsidP="00715E05" w:rsidRDefault="003A51EE" w14:paraId="5EF5B3A5" w14:textId="0F31DF9F">
      <w:pPr>
        <w:pStyle w:val="Heading1"/>
      </w:pPr>
      <w:bookmarkStart w:name="_Toc86747432" w:id="4"/>
      <w:r w:rsidRPr="00F838D4">
        <w:t>Monitoring and Progression Points</w:t>
      </w:r>
      <w:bookmarkEnd w:id="4"/>
    </w:p>
    <w:p w:rsidRPr="00F838D4" w:rsidR="003A51EE" w:rsidP="00715E05" w:rsidRDefault="003A51EE" w14:paraId="53C90895" w14:textId="3127CD24">
      <w:pPr>
        <w:snapToGrid w:val="0"/>
        <w:ind w:left="567" w:right="95" w:firstLine="0"/>
      </w:pPr>
      <w:r w:rsidRPr="00F838D4">
        <w:t xml:space="preserve">The progress of candidates will be formally reviewed by the relevant supervisory boards at the end of the first academic year and thereafter in both mid-year and end of year reviews. While the mid-year review will primarily have a function of monitoring student progress, it may nonetheless contribute to a recommendation to the Academic Board to withdraw a candidate where there is evidence of severe or persistent underperformance. The key function of end of year review will be to determine whether a candidate may proceed into the next stage of the </w:t>
      </w:r>
      <w:r w:rsidR="00F838D4">
        <w:t>course</w:t>
      </w:r>
      <w:r w:rsidRPr="00F838D4">
        <w:t xml:space="preserve">. Accordingly, the supervisory board is required to make its recommendation to the Academic Board as to whether </w:t>
      </w:r>
      <w:r w:rsidRPr="00F838D4">
        <w:lastRenderedPageBreak/>
        <w:t xml:space="preserve">the candidate in question should either (i) be permitted to </w:t>
      </w:r>
      <w:proofErr w:type="gramStart"/>
      <w:r w:rsidRPr="00F838D4">
        <w:t>continue on</w:t>
      </w:r>
      <w:proofErr w:type="gramEnd"/>
      <w:r w:rsidRPr="00F838D4">
        <w:t xml:space="preserve"> the </w:t>
      </w:r>
      <w:r w:rsidR="00F838D4">
        <w:t>course</w:t>
      </w:r>
      <w:r w:rsidRPr="00F838D4">
        <w:t>; or (ii) when in semester 6, be permitted to submit a thesis for examination; or (iii) be required to withdraw.</w:t>
      </w:r>
    </w:p>
    <w:p w:rsidRPr="00F838D4" w:rsidR="003A51EE" w:rsidP="00F838D4" w:rsidRDefault="003A51EE" w14:paraId="625B307E" w14:textId="77777777">
      <w:pPr>
        <w:snapToGrid w:val="0"/>
        <w:ind w:left="567" w:right="95" w:hanging="567"/>
      </w:pPr>
    </w:p>
    <w:p w:rsidR="00715E05" w:rsidP="00715E05" w:rsidRDefault="003A51EE" w14:paraId="04FF0E86" w14:textId="00B92565">
      <w:pPr>
        <w:pStyle w:val="Heading1"/>
      </w:pPr>
      <w:bookmarkStart w:name="_Toc86747433" w:id="5"/>
      <w:r w:rsidRPr="00F838D4">
        <w:t>Progression Requirements</w:t>
      </w:r>
      <w:bookmarkEnd w:id="5"/>
    </w:p>
    <w:p w:rsidR="003A51EE" w:rsidP="00715E05" w:rsidRDefault="003A51EE" w14:paraId="5F602EFC" w14:textId="1FB52ECA">
      <w:pPr>
        <w:snapToGrid w:val="0"/>
        <w:ind w:left="567" w:right="95" w:firstLine="0"/>
      </w:pPr>
      <w:r w:rsidRPr="00F838D4">
        <w:t>To be considered for progression, candidates must achieve 30 ECTS in each semester, to a total of 60 ECTS in each academic year. Candidates who have achieved a minimum of 20 ECTS by the end of the first semester of the academic year may, at the discretion of the relevant supervisory board, be permitted to make up the shortfall in the second semester of that year. Candidates who have achieved a minimum of 50 ECTS by the end of the academic year (</w:t>
      </w:r>
      <w:proofErr w:type="gramStart"/>
      <w:r w:rsidRPr="00F838D4">
        <w:t>i.e.</w:t>
      </w:r>
      <w:proofErr w:type="gramEnd"/>
      <w:r w:rsidRPr="00F838D4">
        <w:t xml:space="preserve"> 31 August) may, at the discretion of the relevant supervisory board, be granted an extension to make up the shortfall by a final deadline of 30 September in that year. </w:t>
      </w:r>
    </w:p>
    <w:p w:rsidRPr="00F838D4" w:rsidR="00715E05" w:rsidP="00715E05" w:rsidRDefault="00715E05" w14:paraId="04D0C63D" w14:textId="42AB1923">
      <w:pPr>
        <w:pStyle w:val="Heading2"/>
        <w:numPr>
          <w:ilvl w:val="1"/>
          <w:numId w:val="9"/>
        </w:numPr>
        <w:ind w:left="567" w:hanging="567"/>
      </w:pPr>
      <w:bookmarkStart w:name="_Toc86747434" w:id="6"/>
      <w:r>
        <w:t>Other Areas for Consideration</w:t>
      </w:r>
      <w:bookmarkEnd w:id="6"/>
    </w:p>
    <w:p w:rsidRPr="00F838D4" w:rsidR="003A51EE" w:rsidP="00715E05" w:rsidRDefault="003A51EE" w14:paraId="07F751E4" w14:textId="736D7AB4">
      <w:pPr>
        <w:snapToGrid w:val="0"/>
        <w:ind w:left="567" w:right="95" w:firstLine="0"/>
      </w:pPr>
      <w:r w:rsidRPr="00F838D4">
        <w:t xml:space="preserve">While the satisfaction of the credit requirements for each semester and for each academic year is a necessary condition for progression, it is not in itself a sufficient condition. The supervisory board will also take into account the quality of the candidates’ </w:t>
      </w:r>
      <w:proofErr w:type="gramStart"/>
      <w:r w:rsidRPr="00F838D4">
        <w:t>work</w:t>
      </w:r>
      <w:proofErr w:type="gramEnd"/>
      <w:r w:rsidRPr="00F838D4">
        <w:t xml:space="preserve"> as produced for each of the formal progress reviews. For example, for each progress review in Year 3, candidates are expected to present newly written chapters or sections of the thesis of about 20,000 words in length. Further guidance on the requirements for the progress reviews can be found in the detailed </w:t>
      </w:r>
      <w:r w:rsidR="00F838D4">
        <w:t>course</w:t>
      </w:r>
      <w:r w:rsidRPr="00F838D4">
        <w:t xml:space="preserve"> description. </w:t>
      </w:r>
    </w:p>
    <w:p w:rsidRPr="00F838D4" w:rsidR="003A51EE" w:rsidP="00F838D4" w:rsidRDefault="003A51EE" w14:paraId="360D5139" w14:textId="77777777">
      <w:pPr>
        <w:snapToGrid w:val="0"/>
        <w:ind w:left="567" w:right="95" w:hanging="567"/>
      </w:pPr>
    </w:p>
    <w:p w:rsidR="00715E05" w:rsidP="00715E05" w:rsidRDefault="003A51EE" w14:paraId="619778AF" w14:textId="20814B1E">
      <w:pPr>
        <w:pStyle w:val="Heading1"/>
      </w:pPr>
      <w:bookmarkStart w:name="_Toc86747435" w:id="7"/>
      <w:r w:rsidRPr="00F838D4">
        <w:t>Final Examination</w:t>
      </w:r>
      <w:bookmarkEnd w:id="7"/>
    </w:p>
    <w:p w:rsidRPr="00F838D4" w:rsidR="003A51EE" w:rsidP="00715E05" w:rsidRDefault="003A51EE" w14:paraId="37F1D6CB" w14:textId="10729E97">
      <w:pPr>
        <w:snapToGrid w:val="0"/>
        <w:ind w:left="567" w:right="95" w:firstLine="0"/>
      </w:pPr>
      <w:r w:rsidRPr="00F838D4">
        <w:t xml:space="preserve">Candidates permitted to submit a thesis for final examination will be examined in accordance with the requirements </w:t>
      </w:r>
      <w:r w:rsidR="00715E05">
        <w:t xml:space="preserve">as </w:t>
      </w:r>
      <w:r w:rsidRPr="00F838D4">
        <w:t xml:space="preserve">set out in the </w:t>
      </w:r>
      <w:r w:rsidR="00F838D4">
        <w:t>course</w:t>
      </w:r>
      <w:r w:rsidRPr="00F838D4">
        <w:t xml:space="preserve"> specification. It should be noted that, while the thesis is not credit-bearing, it remains the crucial piece of work for determining whether a candidate has met the requirements for the award of the PhD. </w:t>
      </w:r>
    </w:p>
    <w:p w:rsidRPr="00F838D4" w:rsidR="003A51EE" w:rsidP="00F838D4" w:rsidRDefault="003A51EE" w14:paraId="53C9F07A" w14:textId="77777777">
      <w:pPr>
        <w:snapToGrid w:val="0"/>
        <w:ind w:left="567" w:right="95" w:hanging="567"/>
      </w:pPr>
    </w:p>
    <w:p w:rsidR="006F3B5E" w:rsidP="006F3B5E" w:rsidRDefault="003A51EE" w14:paraId="72198D2D" w14:textId="77777777">
      <w:pPr>
        <w:pStyle w:val="Heading1"/>
      </w:pPr>
      <w:bookmarkStart w:name="_Toc86747436" w:id="8"/>
      <w:r w:rsidRPr="00F838D4">
        <w:t>Recommendations</w:t>
      </w:r>
      <w:bookmarkEnd w:id="8"/>
      <w:r w:rsidRPr="00F838D4">
        <w:t xml:space="preserve"> </w:t>
      </w:r>
    </w:p>
    <w:p w:rsidRPr="00F838D4" w:rsidR="003A51EE" w:rsidP="006F3B5E" w:rsidRDefault="006F3B5E" w14:paraId="051B6425" w14:textId="1BC7CE9E">
      <w:pPr>
        <w:snapToGrid w:val="0"/>
        <w:ind w:left="567" w:right="95" w:firstLine="0"/>
      </w:pPr>
      <w:r>
        <w:t xml:space="preserve">Recommendations </w:t>
      </w:r>
      <w:r w:rsidRPr="00F838D4" w:rsidR="003A51EE">
        <w:t xml:space="preserve">for the award of credit, on progression and on the conferment of academic awards are subject to ratification by the Academic Board, with the latter also subject to the approval of the relevant academic committees of the Universities that conducted the examination of the thesis. </w:t>
      </w:r>
    </w:p>
    <w:p w:rsidRPr="00F838D4" w:rsidR="003A51EE" w:rsidP="00F838D4" w:rsidRDefault="003A51EE" w14:paraId="06DDA188" w14:textId="77777777">
      <w:pPr>
        <w:snapToGrid w:val="0"/>
        <w:ind w:left="567" w:right="95" w:hanging="567"/>
      </w:pPr>
    </w:p>
    <w:p w:rsidR="006F3B5E" w:rsidP="006F3B5E" w:rsidRDefault="003A51EE" w14:paraId="64314ECF" w14:textId="453B7A91">
      <w:pPr>
        <w:pStyle w:val="Heading1"/>
      </w:pPr>
      <w:bookmarkStart w:name="_Toc86747437" w:id="9"/>
      <w:r w:rsidRPr="00F838D4">
        <w:lastRenderedPageBreak/>
        <w:t>Academic Appeals</w:t>
      </w:r>
      <w:bookmarkEnd w:id="9"/>
    </w:p>
    <w:p w:rsidRPr="00F838D4" w:rsidR="003A51EE" w:rsidP="5C816E5B" w:rsidRDefault="003A51EE" w14:paraId="7F8A99D2" w14:textId="4091D8EE">
      <w:pPr>
        <w:pStyle w:val="Normal"/>
        <w:snapToGrid w:val="0"/>
        <w:spacing w:after="160" w:afterAutospacing="off" w:line="257" w:lineRule="auto"/>
        <w:ind/>
        <w:rPr>
          <w:rFonts w:ascii="Arial" w:hAnsi="Arial" w:eastAsia="Arial" w:cs="Arial"/>
          <w:noProof w:val="0"/>
          <w:color w:val="000000" w:themeColor="text1" w:themeTint="FF" w:themeShade="FF"/>
          <w:sz w:val="22"/>
          <w:szCs w:val="22"/>
          <w:lang w:val="en-GB"/>
        </w:rPr>
      </w:pPr>
      <w:r w:rsidR="003A51EE">
        <w:rPr/>
        <w:t>Students may appeal against decisions of the Academic Board as per the agreed appeals structure</w:t>
      </w:r>
      <w:r w:rsidR="006F3B5E">
        <w:rPr/>
        <w:t xml:space="preserve"> (see </w:t>
      </w:r>
      <w:r w:rsidR="0A67D0A8">
        <w:rPr/>
        <w:t xml:space="preserve">the </w:t>
      </w:r>
      <w:hyperlink r:id="Re685bdd76f2a4f90">
        <w:r w:rsidRPr="5C816E5B" w:rsidR="0A67D0A8">
          <w:rPr>
            <w:rStyle w:val="Hyperlink"/>
            <w:rFonts w:ascii="Arial" w:hAnsi="Arial" w:eastAsia="Arial" w:cs="Arial"/>
            <w:noProof w:val="0"/>
            <w:color w:val="0563C1"/>
            <w:sz w:val="22"/>
            <w:szCs w:val="22"/>
            <w:lang w:val="en-GB"/>
          </w:rPr>
          <w:t>Academic Appeals Policy</w:t>
        </w:r>
      </w:hyperlink>
      <w:r w:rsidR="006F3B5E">
        <w:rPr/>
        <w:t>)</w:t>
      </w:r>
      <w:r w:rsidR="003A51EE">
        <w:rPr/>
        <w:t xml:space="preserve">. </w:t>
      </w:r>
    </w:p>
    <w:p w:rsidRPr="00F838D4" w:rsidR="003A51EE" w:rsidP="00F838D4" w:rsidRDefault="003A51EE" w14:paraId="4D881C6B" w14:textId="77777777">
      <w:pPr>
        <w:snapToGrid w:val="0"/>
        <w:ind w:left="567" w:right="95" w:hanging="567"/>
      </w:pPr>
    </w:p>
    <w:sectPr w:rsidRPr="00F838D4" w:rsidR="003A51EE" w:rsidSect="002750C2">
      <w:headerReference w:type="default" r:id="rId11"/>
      <w:footerReference w:type="default" r:id="rId12"/>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04CA" w:rsidP="002750C2" w:rsidRDefault="006C04CA" w14:paraId="2DE2A1A9" w14:textId="77777777">
      <w:pPr>
        <w:spacing w:after="0"/>
      </w:pPr>
      <w:r>
        <w:separator/>
      </w:r>
    </w:p>
  </w:endnote>
  <w:endnote w:type="continuationSeparator" w:id="0">
    <w:p w:rsidR="006C04CA" w:rsidP="002750C2" w:rsidRDefault="006C04CA" w14:paraId="166D3422" w14:textId="77777777">
      <w:pPr>
        <w:spacing w:after="0"/>
      </w:pPr>
      <w:r>
        <w:continuationSeparator/>
      </w:r>
    </w:p>
  </w:endnote>
  <w:endnote w:type="continuationNotice" w:id="1">
    <w:p w:rsidR="006C04CA" w:rsidRDefault="006C04CA" w14:paraId="1A9F786F"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407B0524" w14:textId="5EBBE655">
    <w:pPr>
      <w:pStyle w:val="Header"/>
      <w:rPr>
        <w:noProof/>
        <w:sz w:val="20"/>
      </w:rPr>
    </w:pPr>
  </w:p>
  <w:p w:rsidR="002750C2" w:rsidP="002F7E36" w:rsidRDefault="002750C2" w14:paraId="4A810940" w14:textId="77777777">
    <w:pPr>
      <w:pStyle w:val="Header"/>
      <w:rPr>
        <w:rStyle w:val="eop"/>
        <w:sz w:val="20"/>
        <w:szCs w:val="20"/>
      </w:rPr>
    </w:pPr>
    <w:r>
      <w:rPr>
        <w:rStyle w:val="normaltextrun"/>
        <w:sz w:val="20"/>
        <w:szCs w:val="20"/>
      </w:rPr>
      <w:t>Author: QACO</w:t>
    </w:r>
    <w:r>
      <w:rPr>
        <w:rStyle w:val="eop"/>
        <w:sz w:val="20"/>
        <w:szCs w:val="20"/>
      </w:rPr>
      <w:t> </w:t>
    </w:r>
  </w:p>
  <w:p w:rsidR="003D6C18" w:rsidP="002F7E36" w:rsidRDefault="003D6C18" w14:paraId="0C7F8187" w14:textId="25B45154">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773927">
      <w:rPr>
        <w:rStyle w:val="eop"/>
        <w:sz w:val="20"/>
        <w:szCs w:val="20"/>
      </w:rPr>
      <w:t>2</w:t>
    </w:r>
    <w:r>
      <w:rPr>
        <w:rStyle w:val="eop"/>
        <w:sz w:val="20"/>
        <w:szCs w:val="20"/>
      </w:rPr>
      <w:t>/2</w:t>
    </w:r>
    <w:r w:rsidR="00773927">
      <w:rPr>
        <w:rStyle w:val="eop"/>
        <w:sz w:val="20"/>
        <w:szCs w:val="20"/>
      </w:rPr>
      <w:t>3</w:t>
    </w:r>
  </w:p>
  <w:p w:rsidR="002F7E36" w:rsidP="002F7E36" w:rsidRDefault="002750C2" w14:paraId="534CA78D"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5C816E5B" w:rsidRDefault="002750C2" w14:paraId="3EC4BB1E" w14:textId="18E37D8D">
    <w:pPr>
      <w:pStyle w:val="paragraph"/>
      <w:spacing w:before="0" w:beforeAutospacing="off" w:after="0" w:afterAutospacing="off"/>
      <w:textAlignment w:val="baseline"/>
      <w:rPr>
        <w:rStyle w:val="normaltextrun"/>
        <w:rFonts w:ascii="Arial" w:hAnsi="Arial" w:cs="Arial"/>
        <w:sz w:val="20"/>
        <w:szCs w:val="20"/>
      </w:rPr>
    </w:pPr>
    <w:r w:rsidRPr="5C816E5B" w:rsidR="5C816E5B">
      <w:rPr>
        <w:rStyle w:val="normaltextrun"/>
        <w:rFonts w:ascii="Arial" w:hAnsi="Arial" w:cs="Arial"/>
        <w:sz w:val="20"/>
        <w:szCs w:val="20"/>
      </w:rPr>
      <w:t xml:space="preserve">Last Revised: </w:t>
    </w:r>
    <w:r w:rsidRPr="5C816E5B" w:rsidR="5C816E5B">
      <w:rPr>
        <w:rStyle w:val="normaltextrun"/>
        <w:rFonts w:ascii="Arial" w:hAnsi="Arial" w:cs="Arial"/>
        <w:sz w:val="20"/>
        <w:szCs w:val="20"/>
      </w:rPr>
      <w:t>November 2023</w:t>
    </w:r>
  </w:p>
  <w:p w:rsidR="002750C2" w:rsidP="5C816E5B" w:rsidRDefault="002750C2" w14:paraId="1C4B4125" w14:textId="645513FE">
    <w:pPr>
      <w:pStyle w:val="paragraph"/>
      <w:spacing w:before="0" w:beforeAutospacing="off" w:after="0" w:afterAutospacing="off"/>
      <w:textAlignment w:val="baseline"/>
      <w:rPr>
        <w:rStyle w:val="normaltextrun"/>
        <w:rFonts w:ascii="Arial" w:hAnsi="Arial" w:cs="Arial"/>
        <w:sz w:val="20"/>
        <w:szCs w:val="20"/>
        <w:lang w:val="en-US"/>
      </w:rPr>
    </w:pPr>
    <w:r w:rsidRPr="5C816E5B" w:rsidR="5C816E5B">
      <w:rPr>
        <w:rStyle w:val="normaltextrun"/>
        <w:rFonts w:ascii="Arial" w:hAnsi="Arial" w:cs="Arial"/>
        <w:sz w:val="20"/>
        <w:szCs w:val="20"/>
      </w:rPr>
      <w:t>Next review: September 202</w:t>
    </w:r>
    <w:r w:rsidRPr="5C816E5B" w:rsidR="5C816E5B">
      <w:rPr>
        <w:rStyle w:val="normaltextrun"/>
        <w:rFonts w:ascii="Arial" w:hAnsi="Arial" w:cs="Arial"/>
        <w:sz w:val="20"/>
        <w:szCs w:val="20"/>
      </w:rPr>
      <w:t>4</w:t>
    </w:r>
  </w:p>
  <w:p w:rsidR="005F4147" w:rsidP="003A0781" w:rsidRDefault="002750C2" w14:paraId="0E0EFAB7"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DC7EB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DC7EB2">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04CA" w:rsidP="002750C2" w:rsidRDefault="006C04CA" w14:paraId="65D8D863" w14:textId="77777777">
      <w:pPr>
        <w:spacing w:after="0"/>
      </w:pPr>
      <w:r>
        <w:separator/>
      </w:r>
    </w:p>
  </w:footnote>
  <w:footnote w:type="continuationSeparator" w:id="0">
    <w:p w:rsidR="006C04CA" w:rsidP="002750C2" w:rsidRDefault="006C04CA" w14:paraId="49521FF6" w14:textId="77777777">
      <w:pPr>
        <w:spacing w:after="0"/>
      </w:pPr>
      <w:r>
        <w:continuationSeparator/>
      </w:r>
    </w:p>
  </w:footnote>
  <w:footnote w:type="continuationNotice" w:id="1">
    <w:p w:rsidR="006C04CA" w:rsidRDefault="006C04CA" w14:paraId="3149ADD0"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773927" w14:paraId="09E2B212" w14:textId="504060F7">
    <w:pPr>
      <w:pStyle w:val="Header"/>
      <w:jc w:val="right"/>
    </w:pPr>
    <w:r>
      <w:rPr>
        <w:noProof/>
      </w:rPr>
      <w:drawing>
        <wp:anchor distT="0" distB="0" distL="114300" distR="114300" simplePos="0" relativeHeight="251658240" behindDoc="0" locked="0" layoutInCell="1" allowOverlap="1" wp14:anchorId="50D4C6C9" wp14:editId="52BABBD4">
          <wp:simplePos x="0" y="0"/>
          <wp:positionH relativeFrom="column">
            <wp:posOffset>-912495</wp:posOffset>
          </wp:positionH>
          <wp:positionV relativeFrom="paragraph">
            <wp:posOffset>-448945</wp:posOffset>
          </wp:positionV>
          <wp:extent cx="7560000" cy="1118217"/>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217"/>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746ED1" w14:paraId="58D60633" w14:textId="34DECB1C">
    <w:pPr>
      <w:pStyle w:val="Header"/>
      <w:ind w:right="284"/>
      <w:jc w:val="center"/>
      <w:rPr>
        <w:b/>
      </w:rPr>
    </w:pPr>
    <w:r>
      <w:rPr>
        <w:b/>
      </w:rPr>
      <w:t>Academic Regulations</w:t>
    </w:r>
    <w:r w:rsidR="004A334B">
      <w:rPr>
        <w:b/>
      </w:rPr>
      <w:t xml:space="preserve">: </w:t>
    </w:r>
    <w:r w:rsidR="00312E95">
      <w:rPr>
        <w:b/>
      </w:rPr>
      <w:t>Research</w:t>
    </w:r>
    <w:r w:rsidR="002741F0">
      <w:rPr>
        <w:b/>
      </w:rPr>
      <w:t xml:space="preserve"> Courses of Study</w:t>
    </w:r>
  </w:p>
  <w:p w:rsidR="005F4147" w:rsidP="00746ED1" w:rsidRDefault="005F4147" w14:paraId="3C2000A0" w14:textId="77777777">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3ACE"/>
    <w:multiLevelType w:val="multilevel"/>
    <w:tmpl w:val="7F06759C"/>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1E10E7"/>
    <w:multiLevelType w:val="hybridMultilevel"/>
    <w:tmpl w:val="4E18801A"/>
    <w:lvl w:ilvl="0" w:tplc="A0D0C1D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72AD0"/>
    <w:multiLevelType w:val="multilevel"/>
    <w:tmpl w:val="63CA9608"/>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38EF7074"/>
    <w:multiLevelType w:val="multilevel"/>
    <w:tmpl w:val="B84230CA"/>
    <w:lvl w:ilvl="0">
      <w:start w:val="5"/>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40831578"/>
    <w:multiLevelType w:val="hybridMultilevel"/>
    <w:tmpl w:val="15C8EE2C"/>
    <w:lvl w:ilvl="0" w:tplc="ABEE541A">
      <w:start w:val="7"/>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3728EE"/>
    <w:multiLevelType w:val="hybridMultilevel"/>
    <w:tmpl w:val="193691C4"/>
    <w:lvl w:ilvl="0" w:tplc="49CC9A12">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22A19"/>
    <w:multiLevelType w:val="hybridMultilevel"/>
    <w:tmpl w:val="B2BE91A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num w:numId="1" w16cid:durableId="737627587">
    <w:abstractNumId w:val="7"/>
  </w:num>
  <w:num w:numId="2" w16cid:durableId="534078994">
    <w:abstractNumId w:val="5"/>
  </w:num>
  <w:num w:numId="3" w16cid:durableId="1846243913">
    <w:abstractNumId w:val="1"/>
  </w:num>
  <w:num w:numId="4" w16cid:durableId="941574595">
    <w:abstractNumId w:val="6"/>
  </w:num>
  <w:num w:numId="5" w16cid:durableId="96099292">
    <w:abstractNumId w:val="4"/>
  </w:num>
  <w:num w:numId="6" w16cid:durableId="2060977484">
    <w:abstractNumId w:val="0"/>
  </w:num>
  <w:num w:numId="7" w16cid:durableId="1114901676">
    <w:abstractNumId w:val="5"/>
    <w:lvlOverride w:ilvl="0">
      <w:startOverride w:val="1"/>
    </w:lvlOverride>
  </w:num>
  <w:num w:numId="8" w16cid:durableId="962346050">
    <w:abstractNumId w:val="2"/>
  </w:num>
  <w:num w:numId="9" w16cid:durableId="202528062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D07C6"/>
    <w:rsid w:val="000D64FC"/>
    <w:rsid w:val="00122F23"/>
    <w:rsid w:val="00146B68"/>
    <w:rsid w:val="001B1BD0"/>
    <w:rsid w:val="002741F0"/>
    <w:rsid w:val="002750C2"/>
    <w:rsid w:val="002E2660"/>
    <w:rsid w:val="002F7E36"/>
    <w:rsid w:val="00312E95"/>
    <w:rsid w:val="003A0781"/>
    <w:rsid w:val="003A51EE"/>
    <w:rsid w:val="003A70DC"/>
    <w:rsid w:val="003D6C18"/>
    <w:rsid w:val="00430242"/>
    <w:rsid w:val="004A334B"/>
    <w:rsid w:val="0050295D"/>
    <w:rsid w:val="00516BB0"/>
    <w:rsid w:val="00577A60"/>
    <w:rsid w:val="005F4147"/>
    <w:rsid w:val="00602A8B"/>
    <w:rsid w:val="006A53F8"/>
    <w:rsid w:val="006C04CA"/>
    <w:rsid w:val="006F3B5E"/>
    <w:rsid w:val="006F60A4"/>
    <w:rsid w:val="00715E05"/>
    <w:rsid w:val="00746ED1"/>
    <w:rsid w:val="00773927"/>
    <w:rsid w:val="00922C93"/>
    <w:rsid w:val="00A33598"/>
    <w:rsid w:val="00B1150F"/>
    <w:rsid w:val="00CE4E2F"/>
    <w:rsid w:val="00DC7EB2"/>
    <w:rsid w:val="00ED0751"/>
    <w:rsid w:val="00EE7692"/>
    <w:rsid w:val="00F838D4"/>
    <w:rsid w:val="0A67D0A8"/>
    <w:rsid w:val="23291A33"/>
    <w:rsid w:val="5C816E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F1A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7EB2"/>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577A60"/>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3"/>
      </w:numPr>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7A60"/>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577A60"/>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577A60"/>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0D64FC"/>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DC7EB2"/>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DC7EB2"/>
    <w:rPr>
      <w:rFonts w:ascii="Arial" w:hAnsi="Arial" w:eastAsiaTheme="minorEastAsia"/>
      <w:b/>
      <w:spacing w:val="15"/>
      <w:sz w:val="24"/>
      <w:lang w:eastAsia="en-GB"/>
    </w:rPr>
  </w:style>
  <w:style w:type="paragraph" w:styleId="TOC1">
    <w:name w:val="toc 1"/>
    <w:basedOn w:val="Normal"/>
    <w:next w:val="Normal"/>
    <w:autoRedefine/>
    <w:uiPriority w:val="39"/>
    <w:unhideWhenUsed/>
    <w:rsid w:val="00DC7EB2"/>
    <w:pPr>
      <w:spacing w:after="100"/>
      <w:ind w:left="0"/>
    </w:pPr>
  </w:style>
  <w:style w:type="paragraph" w:styleId="TOC2">
    <w:name w:val="toc 2"/>
    <w:basedOn w:val="Normal"/>
    <w:next w:val="Normal"/>
    <w:autoRedefine/>
    <w:uiPriority w:val="39"/>
    <w:unhideWhenUsed/>
    <w:rsid w:val="00DC7EB2"/>
    <w:pPr>
      <w:spacing w:after="100"/>
      <w:ind w:left="240"/>
    </w:pPr>
  </w:style>
  <w:style w:type="paragraph" w:styleId="TOC3">
    <w:name w:val="toc 3"/>
    <w:basedOn w:val="Normal"/>
    <w:next w:val="Normal"/>
    <w:autoRedefine/>
    <w:uiPriority w:val="39"/>
    <w:unhideWhenUsed/>
    <w:rsid w:val="00DC7EB2"/>
    <w:pPr>
      <w:tabs>
        <w:tab w:val="left" w:pos="1320"/>
        <w:tab w:val="right" w:leader="dot" w:pos="9016"/>
      </w:tabs>
      <w:spacing w:after="100"/>
      <w:ind w:left="851" w:hanging="851"/>
    </w:pPr>
  </w:style>
  <w:style w:type="character" w:styleId="UnresolvedMention">
    <w:name w:val="Unresolved Mention"/>
    <w:basedOn w:val="DefaultParagraphFont"/>
    <w:uiPriority w:val="99"/>
    <w:semiHidden/>
    <w:unhideWhenUsed/>
    <w:rsid w:val="006F3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www.kent.ac.uk/education/regulatory-framework/policies-and-procedures-examinations-guidance/policies" TargetMode="External" Id="Re685bdd76f2a4f9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CE49C-68E2-4F55-83A7-08D35DF94C50}"/>
</file>

<file path=customXml/itemProps2.xml><?xml version="1.0" encoding="utf-8"?>
<ds:datastoreItem xmlns:ds="http://schemas.openxmlformats.org/officeDocument/2006/customXml" ds:itemID="{EB9B1521-5D71-4015-AEDA-C3ECCBCF013C}">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3.xml><?xml version="1.0" encoding="utf-8"?>
<ds:datastoreItem xmlns:ds="http://schemas.openxmlformats.org/officeDocument/2006/customXml" ds:itemID="{E5B74B8D-AD06-4190-AA30-7F85B268163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12</cp:revision>
  <dcterms:created xsi:type="dcterms:W3CDTF">2021-11-02T11:59:00Z</dcterms:created>
  <dcterms:modified xsi:type="dcterms:W3CDTF">2023-11-09T11:22:22Z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