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8518" w14:textId="6C01F7C3" w:rsidR="001A1A44" w:rsidRDefault="001A1A44" w:rsidP="00EC32AF">
      <w:pPr>
        <w:rPr>
          <w:rFonts w:ascii="Arial" w:hAnsi="Arial" w:cs="Arial"/>
          <w:b/>
        </w:rPr>
      </w:pPr>
    </w:p>
    <w:p w14:paraId="4E9E3E72" w14:textId="1324A0C3" w:rsidR="00E60C81" w:rsidRDefault="009C79C9" w:rsidP="00EC32AF">
      <w:pPr>
        <w:rPr>
          <w:rFonts w:ascii="Arial" w:hAnsi="Arial" w:cs="Arial"/>
          <w:b/>
        </w:rPr>
      </w:pPr>
      <w:r>
        <w:rPr>
          <w:rFonts w:ascii="Arial" w:hAnsi="Arial" w:cs="Arial"/>
          <w:b/>
        </w:rPr>
        <w:t xml:space="preserve">Degree Outcomes Statement </w:t>
      </w:r>
      <w:r w:rsidR="002C4C98">
        <w:rPr>
          <w:rFonts w:ascii="Arial" w:hAnsi="Arial" w:cs="Arial"/>
          <w:b/>
        </w:rPr>
        <w:t>202</w:t>
      </w:r>
      <w:r w:rsidR="000D45AB">
        <w:rPr>
          <w:rFonts w:ascii="Arial" w:hAnsi="Arial" w:cs="Arial"/>
          <w:b/>
        </w:rPr>
        <w:t>2</w:t>
      </w:r>
    </w:p>
    <w:p w14:paraId="3794F75C" w14:textId="144CA16E" w:rsidR="005C616D" w:rsidRDefault="009C79C9" w:rsidP="00EC32AF">
      <w:pPr>
        <w:rPr>
          <w:rFonts w:ascii="Arial" w:hAnsi="Arial" w:cs="Arial"/>
        </w:rPr>
      </w:pPr>
      <w:r w:rsidRPr="009C79C9">
        <w:rPr>
          <w:rFonts w:ascii="Arial" w:hAnsi="Arial" w:cs="Arial"/>
        </w:rPr>
        <w:t xml:space="preserve">The University of Kent is committed to maintaining robust academic standards and ensuring that student attainment is assessed fairly and consistently in line with relevant sector external reference points, so that our awards </w:t>
      </w:r>
      <w:r>
        <w:rPr>
          <w:rFonts w:ascii="Arial" w:hAnsi="Arial" w:cs="Arial"/>
        </w:rPr>
        <w:t xml:space="preserve">hold their value at the point of qualification and </w:t>
      </w:r>
      <w:r w:rsidRPr="009C79C9">
        <w:rPr>
          <w:rFonts w:ascii="Arial" w:hAnsi="Arial" w:cs="Arial"/>
        </w:rPr>
        <w:t>over time.</w:t>
      </w:r>
      <w:r w:rsidR="00C32AAD">
        <w:rPr>
          <w:rFonts w:ascii="Arial" w:hAnsi="Arial" w:cs="Arial"/>
        </w:rPr>
        <w:t xml:space="preserve"> </w:t>
      </w:r>
    </w:p>
    <w:p w14:paraId="4214906B" w14:textId="179DC64A" w:rsidR="00A24341" w:rsidRDefault="00A24341" w:rsidP="00A24341">
      <w:pPr>
        <w:rPr>
          <w:rFonts w:ascii="Arial" w:hAnsi="Arial" w:cs="Arial"/>
        </w:rPr>
      </w:pPr>
      <w:r>
        <w:rPr>
          <w:rFonts w:ascii="Arial" w:hAnsi="Arial" w:cs="Arial"/>
        </w:rPr>
        <w:t>Against the backdrop</w:t>
      </w:r>
      <w:r w:rsidR="002A3CD1">
        <w:rPr>
          <w:rFonts w:ascii="Arial" w:hAnsi="Arial" w:cs="Arial"/>
        </w:rPr>
        <w:t xml:space="preserve"> of</w:t>
      </w:r>
      <w:r>
        <w:rPr>
          <w:rFonts w:ascii="Arial" w:hAnsi="Arial" w:cs="Arial"/>
        </w:rPr>
        <w:t xml:space="preserve"> </w:t>
      </w:r>
      <w:r w:rsidRPr="00A24341">
        <w:rPr>
          <w:rFonts w:ascii="Arial" w:hAnsi="Arial" w:cs="Arial"/>
        </w:rPr>
        <w:t>rapidly changing public health advice over the summer of 2020</w:t>
      </w:r>
      <w:r>
        <w:rPr>
          <w:rFonts w:ascii="Arial" w:hAnsi="Arial" w:cs="Arial"/>
        </w:rPr>
        <w:t xml:space="preserve"> </w:t>
      </w:r>
      <w:r w:rsidRPr="00A24341">
        <w:rPr>
          <w:rFonts w:ascii="Arial" w:hAnsi="Arial" w:cs="Arial"/>
        </w:rPr>
        <w:t>and into the 2020/21 academic session, the University’s approach to learning,</w:t>
      </w:r>
      <w:r>
        <w:rPr>
          <w:rFonts w:ascii="Arial" w:hAnsi="Arial" w:cs="Arial"/>
        </w:rPr>
        <w:t xml:space="preserve"> </w:t>
      </w:r>
      <w:r w:rsidRPr="00A24341">
        <w:rPr>
          <w:rFonts w:ascii="Arial" w:hAnsi="Arial" w:cs="Arial"/>
        </w:rPr>
        <w:t>teaching and assessment during the course of the pandemic has necessarily been</w:t>
      </w:r>
      <w:r>
        <w:rPr>
          <w:rFonts w:ascii="Arial" w:hAnsi="Arial" w:cs="Arial"/>
        </w:rPr>
        <w:t xml:space="preserve"> </w:t>
      </w:r>
      <w:r w:rsidRPr="00A24341">
        <w:rPr>
          <w:rFonts w:ascii="Arial" w:hAnsi="Arial" w:cs="Arial"/>
        </w:rPr>
        <w:t>one of strict compliance with public health advice in order to protect the health and</w:t>
      </w:r>
      <w:r>
        <w:rPr>
          <w:rFonts w:ascii="Arial" w:hAnsi="Arial" w:cs="Arial"/>
        </w:rPr>
        <w:t xml:space="preserve"> </w:t>
      </w:r>
      <w:r w:rsidRPr="00A24341">
        <w:rPr>
          <w:rFonts w:ascii="Arial" w:hAnsi="Arial" w:cs="Arial"/>
        </w:rPr>
        <w:t>safety of students, staff and the public.</w:t>
      </w:r>
      <w:r>
        <w:rPr>
          <w:rFonts w:ascii="Arial" w:hAnsi="Arial" w:cs="Arial"/>
        </w:rPr>
        <w:t xml:space="preserve"> </w:t>
      </w:r>
      <w:r w:rsidRPr="00A24341">
        <w:rPr>
          <w:rFonts w:ascii="Arial" w:hAnsi="Arial" w:cs="Arial"/>
        </w:rPr>
        <w:t xml:space="preserve">At the same time, Kent </w:t>
      </w:r>
      <w:r w:rsidR="00E23C59">
        <w:rPr>
          <w:rFonts w:ascii="Arial" w:hAnsi="Arial" w:cs="Arial"/>
        </w:rPr>
        <w:t xml:space="preserve">was aware of its obligation to </w:t>
      </w:r>
      <w:r w:rsidRPr="00914F63">
        <w:rPr>
          <w:rFonts w:ascii="Arial" w:hAnsi="Arial" w:cs="Arial"/>
        </w:rPr>
        <w:t>adhere to revised regulatory guidance (OfS, QAA, CMA and PSRB)</w:t>
      </w:r>
      <w:r>
        <w:rPr>
          <w:rFonts w:ascii="Arial" w:hAnsi="Arial" w:cs="Arial"/>
        </w:rPr>
        <w:t xml:space="preserve"> </w:t>
      </w:r>
      <w:r w:rsidR="00E23C59">
        <w:rPr>
          <w:rFonts w:ascii="Arial" w:hAnsi="Arial" w:cs="Arial"/>
        </w:rPr>
        <w:t xml:space="preserve">to ensure that all its students receive an educational experience equivalent </w:t>
      </w:r>
      <w:r w:rsidR="007F6AC8">
        <w:rPr>
          <w:rFonts w:ascii="Arial" w:hAnsi="Arial" w:cs="Arial"/>
        </w:rPr>
        <w:t xml:space="preserve">to </w:t>
      </w:r>
      <w:r w:rsidRPr="00A24341">
        <w:rPr>
          <w:rFonts w:ascii="Arial" w:hAnsi="Arial" w:cs="Arial"/>
        </w:rPr>
        <w:t>that of the pre-Covid era in which the quality and academic standards of the provision</w:t>
      </w:r>
      <w:r w:rsidR="00E23C59">
        <w:rPr>
          <w:rFonts w:ascii="Arial" w:hAnsi="Arial" w:cs="Arial"/>
        </w:rPr>
        <w:t xml:space="preserve"> </w:t>
      </w:r>
      <w:r w:rsidRPr="00A24341">
        <w:rPr>
          <w:rFonts w:ascii="Arial" w:hAnsi="Arial" w:cs="Arial"/>
        </w:rPr>
        <w:t>are maintained.</w:t>
      </w:r>
    </w:p>
    <w:p w14:paraId="27CE78DA" w14:textId="070F02A8" w:rsidR="00F46B6F" w:rsidRDefault="00EC32AF" w:rsidP="00EC32AF">
      <w:pPr>
        <w:rPr>
          <w:rFonts w:ascii="Arial" w:hAnsi="Arial" w:cs="Arial"/>
          <w:b/>
        </w:rPr>
      </w:pPr>
      <w:r w:rsidRPr="00EC32AF">
        <w:rPr>
          <w:rFonts w:ascii="Arial" w:hAnsi="Arial" w:cs="Arial"/>
          <w:b/>
        </w:rPr>
        <w:t>Degree Classification Profile</w:t>
      </w:r>
      <w:r w:rsidR="009C79C9">
        <w:rPr>
          <w:rFonts w:ascii="Arial" w:hAnsi="Arial" w:cs="Arial"/>
          <w:b/>
        </w:rPr>
        <w:t xml:space="preserve">  </w:t>
      </w:r>
    </w:p>
    <w:p w14:paraId="6A3DD994" w14:textId="456DF08D" w:rsidR="008360C8" w:rsidRDefault="00BF41A0" w:rsidP="00020150">
      <w:pPr>
        <w:rPr>
          <w:rFonts w:ascii="Arial" w:hAnsi="Arial" w:cs="Arial"/>
          <w:bCs/>
        </w:rPr>
      </w:pPr>
      <w:r>
        <w:rPr>
          <w:rFonts w:ascii="Arial" w:hAnsi="Arial" w:cs="Arial"/>
          <w:bCs/>
        </w:rPr>
        <w:t xml:space="preserve">Undergraduate degree outcomes </w:t>
      </w:r>
      <w:r w:rsidR="00536544">
        <w:rPr>
          <w:rFonts w:ascii="Arial" w:hAnsi="Arial" w:cs="Arial"/>
          <w:bCs/>
        </w:rPr>
        <w:t xml:space="preserve">have </w:t>
      </w:r>
      <w:r w:rsidR="00131CD0">
        <w:rPr>
          <w:rFonts w:ascii="Arial" w:hAnsi="Arial" w:cs="Arial"/>
          <w:bCs/>
        </w:rPr>
        <w:t xml:space="preserve">largely </w:t>
      </w:r>
      <w:r w:rsidR="00536544">
        <w:rPr>
          <w:rFonts w:ascii="Arial" w:hAnsi="Arial" w:cs="Arial"/>
          <w:bCs/>
        </w:rPr>
        <w:t xml:space="preserve">remained stable at the University of Kent </w:t>
      </w:r>
      <w:r w:rsidR="00020150">
        <w:rPr>
          <w:rFonts w:ascii="Arial" w:hAnsi="Arial" w:cs="Arial"/>
          <w:bCs/>
        </w:rPr>
        <w:t xml:space="preserve">since 2015/16. </w:t>
      </w:r>
      <w:r w:rsidR="00536544">
        <w:rPr>
          <w:rFonts w:ascii="Arial" w:hAnsi="Arial" w:cs="Arial"/>
          <w:bCs/>
        </w:rPr>
        <w:t xml:space="preserve"> </w:t>
      </w:r>
      <w:r w:rsidR="008360C8">
        <w:rPr>
          <w:rFonts w:ascii="Arial" w:hAnsi="Arial" w:cs="Arial"/>
          <w:bCs/>
        </w:rPr>
        <w:t>An i</w:t>
      </w:r>
      <w:r w:rsidR="0029547C">
        <w:rPr>
          <w:rFonts w:ascii="Arial" w:hAnsi="Arial" w:cs="Arial"/>
          <w:bCs/>
        </w:rPr>
        <w:t xml:space="preserve">ncrease in the percentage of </w:t>
      </w:r>
      <w:r w:rsidR="00030748">
        <w:rPr>
          <w:rFonts w:ascii="Arial" w:hAnsi="Arial" w:cs="Arial"/>
          <w:bCs/>
        </w:rPr>
        <w:t xml:space="preserve">First </w:t>
      </w:r>
      <w:r w:rsidR="0029547C">
        <w:rPr>
          <w:rFonts w:ascii="Arial" w:hAnsi="Arial" w:cs="Arial"/>
          <w:bCs/>
        </w:rPr>
        <w:t>class degrees awarded be</w:t>
      </w:r>
      <w:r w:rsidR="00131CD0">
        <w:rPr>
          <w:rFonts w:ascii="Arial" w:hAnsi="Arial" w:cs="Arial"/>
          <w:bCs/>
        </w:rPr>
        <w:t xml:space="preserve">coming </w:t>
      </w:r>
      <w:r w:rsidR="0029547C">
        <w:rPr>
          <w:rFonts w:ascii="Arial" w:hAnsi="Arial" w:cs="Arial"/>
          <w:bCs/>
        </w:rPr>
        <w:t xml:space="preserve">evident in </w:t>
      </w:r>
      <w:r w:rsidR="00020150">
        <w:rPr>
          <w:rFonts w:ascii="Arial" w:hAnsi="Arial" w:cs="Arial"/>
          <w:bCs/>
        </w:rPr>
        <w:t>20</w:t>
      </w:r>
      <w:r w:rsidR="0029547C">
        <w:rPr>
          <w:rFonts w:ascii="Arial" w:hAnsi="Arial" w:cs="Arial"/>
          <w:bCs/>
        </w:rPr>
        <w:t>19/20</w:t>
      </w:r>
      <w:r w:rsidR="00020150">
        <w:rPr>
          <w:rFonts w:ascii="Arial" w:hAnsi="Arial" w:cs="Arial"/>
          <w:bCs/>
        </w:rPr>
        <w:t xml:space="preserve"> and subsequently in 2020/21</w:t>
      </w:r>
      <w:r w:rsidR="0029547C">
        <w:rPr>
          <w:rFonts w:ascii="Arial" w:hAnsi="Arial" w:cs="Arial"/>
          <w:bCs/>
        </w:rPr>
        <w:t>.</w:t>
      </w:r>
      <w:r w:rsidR="00536544">
        <w:rPr>
          <w:rFonts w:ascii="Arial" w:hAnsi="Arial" w:cs="Arial"/>
          <w:bCs/>
        </w:rPr>
        <w:t xml:space="preserve"> </w:t>
      </w:r>
      <w:r w:rsidR="00020150">
        <w:rPr>
          <w:rFonts w:ascii="Arial" w:hAnsi="Arial" w:cs="Arial"/>
          <w:bCs/>
        </w:rPr>
        <w:t>In 2019/20 the University of Kent introduced several ‘no detriment’ measures intended to offset the disruption to student learning experience caused by the Covid-19 pandemic</w:t>
      </w:r>
      <w:r w:rsidR="008360C8">
        <w:rPr>
          <w:rFonts w:ascii="Arial" w:hAnsi="Arial" w:cs="Arial"/>
          <w:bCs/>
        </w:rPr>
        <w:t xml:space="preserve">, in particular the implementation </w:t>
      </w:r>
      <w:r w:rsidR="007F6AC8">
        <w:rPr>
          <w:rFonts w:ascii="Arial" w:hAnsi="Arial" w:cs="Arial"/>
          <w:bCs/>
        </w:rPr>
        <w:t xml:space="preserve">of the </w:t>
      </w:r>
      <w:r w:rsidR="008360C8">
        <w:rPr>
          <w:rFonts w:ascii="Arial" w:hAnsi="Arial" w:cs="Arial"/>
          <w:bCs/>
        </w:rPr>
        <w:t xml:space="preserve">alternative </w:t>
      </w:r>
      <w:r w:rsidR="007F6AC8">
        <w:rPr>
          <w:rFonts w:ascii="Arial" w:hAnsi="Arial" w:cs="Arial"/>
          <w:bCs/>
        </w:rPr>
        <w:t>S</w:t>
      </w:r>
      <w:r w:rsidR="008360C8">
        <w:rPr>
          <w:rFonts w:ascii="Arial" w:hAnsi="Arial" w:cs="Arial"/>
          <w:bCs/>
        </w:rPr>
        <w:t xml:space="preserve">afety </w:t>
      </w:r>
      <w:r w:rsidR="007F6AC8">
        <w:rPr>
          <w:rFonts w:ascii="Arial" w:hAnsi="Arial" w:cs="Arial"/>
          <w:bCs/>
        </w:rPr>
        <w:t>N</w:t>
      </w:r>
      <w:r w:rsidR="008360C8">
        <w:rPr>
          <w:rFonts w:ascii="Arial" w:hAnsi="Arial" w:cs="Arial"/>
          <w:bCs/>
        </w:rPr>
        <w:t xml:space="preserve">et calculation, </w:t>
      </w:r>
      <w:r w:rsidR="00020150">
        <w:rPr>
          <w:rFonts w:ascii="Arial" w:hAnsi="Arial" w:cs="Arial"/>
          <w:bCs/>
        </w:rPr>
        <w:t xml:space="preserve"> </w:t>
      </w:r>
    </w:p>
    <w:p w14:paraId="7013CDA0" w14:textId="08F89072" w:rsidR="008360C8" w:rsidRDefault="00020150" w:rsidP="00020150">
      <w:pPr>
        <w:rPr>
          <w:rFonts w:ascii="Arial" w:hAnsi="Arial" w:cs="Arial"/>
          <w:bCs/>
        </w:rPr>
      </w:pPr>
      <w:r>
        <w:rPr>
          <w:rFonts w:ascii="Arial" w:hAnsi="Arial" w:cs="Arial"/>
          <w:bCs/>
        </w:rPr>
        <w:t>This may indicate the source of the increase</w:t>
      </w:r>
      <w:r w:rsidR="002A3CD1">
        <w:rPr>
          <w:rFonts w:ascii="Arial" w:hAnsi="Arial" w:cs="Arial"/>
          <w:bCs/>
        </w:rPr>
        <w:t>,</w:t>
      </w:r>
      <w:r>
        <w:rPr>
          <w:rFonts w:ascii="Arial" w:hAnsi="Arial" w:cs="Arial"/>
          <w:bCs/>
        </w:rPr>
        <w:t xml:space="preserve"> and further analysis </w:t>
      </w:r>
      <w:r w:rsidR="00C6246E">
        <w:rPr>
          <w:rFonts w:ascii="Arial" w:hAnsi="Arial" w:cs="Arial"/>
          <w:bCs/>
        </w:rPr>
        <w:t xml:space="preserve">has been </w:t>
      </w:r>
      <w:r w:rsidRPr="00030748">
        <w:rPr>
          <w:rFonts w:ascii="Arial" w:hAnsi="Arial" w:cs="Arial"/>
          <w:bCs/>
        </w:rPr>
        <w:t xml:space="preserve">undertaken to see if this </w:t>
      </w:r>
      <w:r w:rsidR="008360C8">
        <w:rPr>
          <w:rFonts w:ascii="Arial" w:hAnsi="Arial" w:cs="Arial"/>
          <w:bCs/>
        </w:rPr>
        <w:t xml:space="preserve">particular measure had an </w:t>
      </w:r>
      <w:r w:rsidR="007F6AC8">
        <w:rPr>
          <w:rFonts w:ascii="Arial" w:hAnsi="Arial" w:cs="Arial"/>
          <w:bCs/>
        </w:rPr>
        <w:t>effect,</w:t>
      </w:r>
      <w:r w:rsidR="008360C8">
        <w:rPr>
          <w:rFonts w:ascii="Arial" w:hAnsi="Arial" w:cs="Arial"/>
          <w:bCs/>
        </w:rPr>
        <w:t xml:space="preserve"> but the evidence concluded that this was not the case</w:t>
      </w:r>
      <w:r>
        <w:rPr>
          <w:rFonts w:ascii="Arial" w:hAnsi="Arial" w:cs="Arial"/>
          <w:bCs/>
        </w:rPr>
        <w:t>.</w:t>
      </w:r>
      <w:r w:rsidR="008360C8">
        <w:rPr>
          <w:rFonts w:ascii="Arial" w:hAnsi="Arial" w:cs="Arial"/>
          <w:bCs/>
        </w:rPr>
        <w:t xml:space="preserve"> Further analysis on other measurer</w:t>
      </w:r>
      <w:r w:rsidR="007F6AC8">
        <w:rPr>
          <w:rFonts w:ascii="Arial" w:hAnsi="Arial" w:cs="Arial"/>
          <w:bCs/>
        </w:rPr>
        <w:t>s</w:t>
      </w:r>
      <w:r w:rsidR="008360C8">
        <w:rPr>
          <w:rFonts w:ascii="Arial" w:hAnsi="Arial" w:cs="Arial"/>
          <w:bCs/>
        </w:rPr>
        <w:t xml:space="preserve"> s</w:t>
      </w:r>
      <w:r w:rsidR="007F6AC8">
        <w:rPr>
          <w:rFonts w:ascii="Arial" w:hAnsi="Arial" w:cs="Arial"/>
          <w:bCs/>
        </w:rPr>
        <w:t>t</w:t>
      </w:r>
      <w:r w:rsidR="008360C8">
        <w:rPr>
          <w:rFonts w:ascii="Arial" w:hAnsi="Arial" w:cs="Arial"/>
          <w:bCs/>
        </w:rPr>
        <w:t>ill to be undertaken in 20</w:t>
      </w:r>
      <w:r w:rsidR="007F6AC8">
        <w:rPr>
          <w:rFonts w:ascii="Arial" w:hAnsi="Arial" w:cs="Arial"/>
          <w:bCs/>
        </w:rPr>
        <w:t>20</w:t>
      </w:r>
      <w:r w:rsidR="008360C8">
        <w:rPr>
          <w:rFonts w:ascii="Arial" w:hAnsi="Arial" w:cs="Arial"/>
          <w:bCs/>
        </w:rPr>
        <w:t>/21.</w:t>
      </w:r>
    </w:p>
    <w:p w14:paraId="4C9AAFA4" w14:textId="42CA0A6E" w:rsidR="00020150" w:rsidRDefault="00020150" w:rsidP="00020150">
      <w:pPr>
        <w:rPr>
          <w:rFonts w:ascii="Arial" w:hAnsi="Arial" w:cs="Arial"/>
          <w:bCs/>
        </w:rPr>
      </w:pPr>
      <w:r w:rsidRPr="00030748">
        <w:rPr>
          <w:rFonts w:ascii="Arial" w:hAnsi="Arial" w:cs="Arial"/>
          <w:bCs/>
        </w:rPr>
        <w:t>T</w:t>
      </w:r>
      <w:r>
        <w:rPr>
          <w:rFonts w:ascii="Arial" w:hAnsi="Arial" w:cs="Arial"/>
          <w:bCs/>
        </w:rPr>
        <w:t xml:space="preserve">he detail of the ‘no detriment’ measures is set out at relevant points in this document.  </w:t>
      </w:r>
    </w:p>
    <w:p w14:paraId="4E4B7C01" w14:textId="5B665007" w:rsidR="00BF41A0" w:rsidRDefault="004B6612" w:rsidP="00EC32AF">
      <w:pPr>
        <w:rPr>
          <w:rFonts w:ascii="Arial" w:hAnsi="Arial" w:cs="Arial"/>
          <w:bCs/>
        </w:rPr>
      </w:pPr>
      <w:r w:rsidRPr="00993B1F">
        <w:rPr>
          <w:rFonts w:ascii="Arial" w:hAnsi="Arial" w:cs="Arial"/>
        </w:rPr>
        <w:t>This increase has occurred at the same time as great reductions have been achieved in many of the targets set by the OfS</w:t>
      </w:r>
      <w:r w:rsidR="009154A2" w:rsidRPr="00993B1F">
        <w:rPr>
          <w:rFonts w:ascii="Arial" w:hAnsi="Arial" w:cs="Arial"/>
        </w:rPr>
        <w:t xml:space="preserve"> for reducing the BAME awarding gap</w:t>
      </w:r>
      <w:r w:rsidRPr="00993B1F">
        <w:rPr>
          <w:rFonts w:ascii="Arial" w:hAnsi="Arial" w:cs="Arial"/>
        </w:rPr>
        <w:t xml:space="preserve">. It is important that if we reduce the higher provision of </w:t>
      </w:r>
      <w:r w:rsidR="00871D59">
        <w:rPr>
          <w:rFonts w:ascii="Arial" w:hAnsi="Arial" w:cs="Arial"/>
        </w:rPr>
        <w:t xml:space="preserve">1st </w:t>
      </w:r>
      <w:r w:rsidRPr="00993B1F">
        <w:rPr>
          <w:rFonts w:ascii="Arial" w:hAnsi="Arial" w:cs="Arial"/>
        </w:rPr>
        <w:t>and 2(</w:t>
      </w:r>
      <w:r w:rsidR="00871D59">
        <w:rPr>
          <w:rFonts w:ascii="Arial" w:hAnsi="Arial" w:cs="Arial"/>
        </w:rPr>
        <w:t>1</w:t>
      </w:r>
      <w:r w:rsidRPr="00993B1F">
        <w:rPr>
          <w:rFonts w:ascii="Arial" w:hAnsi="Arial" w:cs="Arial"/>
        </w:rPr>
        <w:t>)’s, we do so while not losing this beneficial equality work.</w:t>
      </w:r>
      <w:r w:rsidR="00583A5D">
        <w:rPr>
          <w:rFonts w:ascii="Arial" w:hAnsi="Arial" w:cs="Arial"/>
        </w:rPr>
        <w:t xml:space="preserve"> </w:t>
      </w:r>
    </w:p>
    <w:p w14:paraId="6E1E1796" w14:textId="4CB410EC" w:rsidR="00C95C7A" w:rsidRDefault="00C95C7A" w:rsidP="00EC32AF">
      <w:pPr>
        <w:rPr>
          <w:rFonts w:ascii="Arial" w:hAnsi="Arial" w:cs="Arial"/>
        </w:rPr>
      </w:pPr>
      <w:r w:rsidRPr="00C95C7A">
        <w:rPr>
          <w:rFonts w:ascii="Arial" w:hAnsi="Arial" w:cs="Arial"/>
        </w:rPr>
        <w:t xml:space="preserve">Table 1 presents the distribution of degree classifications across the </w:t>
      </w:r>
      <w:r w:rsidR="00BA7F44">
        <w:rPr>
          <w:rFonts w:ascii="Arial" w:hAnsi="Arial" w:cs="Arial"/>
        </w:rPr>
        <w:t>six</w:t>
      </w:r>
      <w:r w:rsidRPr="00C95C7A">
        <w:rPr>
          <w:rFonts w:ascii="Arial" w:hAnsi="Arial" w:cs="Arial"/>
        </w:rPr>
        <w:t>-year period, showing evidence of some grade inflation, with the percentage of 1st / 2(1) awards increasing to 8</w:t>
      </w:r>
      <w:r w:rsidR="00BA7F44">
        <w:rPr>
          <w:rFonts w:ascii="Arial" w:hAnsi="Arial" w:cs="Arial"/>
        </w:rPr>
        <w:t>7</w:t>
      </w:r>
      <w:r w:rsidRPr="00C95C7A">
        <w:rPr>
          <w:rFonts w:ascii="Arial" w:hAnsi="Arial" w:cs="Arial"/>
        </w:rPr>
        <w:t>% from 79-80% in the previous years</w:t>
      </w:r>
      <w:r w:rsidR="00BA7F44">
        <w:rPr>
          <w:rFonts w:ascii="Arial" w:hAnsi="Arial" w:cs="Arial"/>
        </w:rPr>
        <w:t xml:space="preserve"> </w:t>
      </w:r>
      <w:r w:rsidR="002A3CD1">
        <w:rPr>
          <w:rFonts w:ascii="Arial" w:hAnsi="Arial" w:cs="Arial"/>
        </w:rPr>
        <w:t>(</w:t>
      </w:r>
      <w:r w:rsidR="00BA7F44">
        <w:rPr>
          <w:rFonts w:ascii="Arial" w:hAnsi="Arial" w:cs="Arial"/>
        </w:rPr>
        <w:t>up until 2019/20</w:t>
      </w:r>
      <w:r w:rsidR="002A3CD1">
        <w:rPr>
          <w:rFonts w:ascii="Arial" w:hAnsi="Arial" w:cs="Arial"/>
        </w:rPr>
        <w:t>)</w:t>
      </w:r>
      <w:r w:rsidRPr="00C95C7A">
        <w:rPr>
          <w:rFonts w:ascii="Arial" w:hAnsi="Arial" w:cs="Arial"/>
        </w:rPr>
        <w:t>, and the percentage of 1st class awards increasing to 3</w:t>
      </w:r>
      <w:r w:rsidR="00BA7F44">
        <w:rPr>
          <w:rFonts w:ascii="Arial" w:hAnsi="Arial" w:cs="Arial"/>
        </w:rPr>
        <w:t>6</w:t>
      </w:r>
      <w:r w:rsidRPr="00C95C7A">
        <w:rPr>
          <w:rFonts w:ascii="Arial" w:hAnsi="Arial" w:cs="Arial"/>
        </w:rPr>
        <w:t>% from 26-27% in earlier years</w:t>
      </w:r>
      <w:r w:rsidR="00BA7F44">
        <w:rPr>
          <w:rFonts w:ascii="Arial" w:hAnsi="Arial" w:cs="Arial"/>
        </w:rPr>
        <w:t xml:space="preserve"> (up until 2019/20)</w:t>
      </w:r>
      <w:r w:rsidRPr="00C95C7A">
        <w:rPr>
          <w:rFonts w:ascii="Arial" w:hAnsi="Arial" w:cs="Arial"/>
        </w:rPr>
        <w:t>.</w:t>
      </w:r>
    </w:p>
    <w:p w14:paraId="34789428" w14:textId="67432B3B" w:rsidR="00C95C7A" w:rsidRDefault="00C95C7A" w:rsidP="00EC32AF">
      <w:pPr>
        <w:rPr>
          <w:rFonts w:ascii="Arial" w:hAnsi="Arial" w:cs="Arial"/>
        </w:rPr>
      </w:pPr>
      <w:r w:rsidRPr="00C95C7A">
        <w:rPr>
          <w:rFonts w:ascii="Arial" w:hAnsi="Arial" w:cs="Arial"/>
        </w:rPr>
        <w:t>In 20</w:t>
      </w:r>
      <w:r w:rsidR="00BA7F44">
        <w:rPr>
          <w:rFonts w:ascii="Arial" w:hAnsi="Arial" w:cs="Arial"/>
        </w:rPr>
        <w:t>20/</w:t>
      </w:r>
      <w:r w:rsidRPr="00C95C7A">
        <w:rPr>
          <w:rFonts w:ascii="Arial" w:hAnsi="Arial" w:cs="Arial"/>
        </w:rPr>
        <w:t>2</w:t>
      </w:r>
      <w:r w:rsidR="00BA7F44">
        <w:rPr>
          <w:rFonts w:ascii="Arial" w:hAnsi="Arial" w:cs="Arial"/>
        </w:rPr>
        <w:t>1</w:t>
      </w:r>
      <w:r w:rsidRPr="00C95C7A">
        <w:rPr>
          <w:rFonts w:ascii="Arial" w:hAnsi="Arial" w:cs="Arial"/>
        </w:rPr>
        <w:t>, Kent had a slightly higher rate of awarding 1st/2(1) degrees than the national sector average (8</w:t>
      </w:r>
      <w:r w:rsidR="00BA7F44">
        <w:rPr>
          <w:rFonts w:ascii="Arial" w:hAnsi="Arial" w:cs="Arial"/>
        </w:rPr>
        <w:t>7</w:t>
      </w:r>
      <w:r w:rsidRPr="00C95C7A">
        <w:rPr>
          <w:rFonts w:ascii="Arial" w:hAnsi="Arial" w:cs="Arial"/>
        </w:rPr>
        <w:t>% vs 8</w:t>
      </w:r>
      <w:r w:rsidR="00BA7F44">
        <w:rPr>
          <w:rFonts w:ascii="Arial" w:hAnsi="Arial" w:cs="Arial"/>
        </w:rPr>
        <w:t>3</w:t>
      </w:r>
      <w:r w:rsidRPr="00C95C7A">
        <w:rPr>
          <w:rFonts w:ascii="Arial" w:hAnsi="Arial" w:cs="Arial"/>
        </w:rPr>
        <w:t>%).</w:t>
      </w:r>
    </w:p>
    <w:p w14:paraId="4FD7917A" w14:textId="2E6D7F2C" w:rsidR="009F77B2" w:rsidRDefault="0001323A" w:rsidP="00EC32AF">
      <w:pPr>
        <w:rPr>
          <w:rFonts w:ascii="Arial" w:hAnsi="Arial" w:cs="Arial"/>
        </w:rPr>
      </w:pPr>
      <w:r w:rsidRPr="0001323A">
        <w:rPr>
          <w:rFonts w:ascii="Arial" w:hAnsi="Arial" w:cs="Arial"/>
          <w:noProof/>
          <w:lang w:eastAsia="en-GB"/>
        </w:rPr>
        <w:drawing>
          <wp:inline distT="0" distB="0" distL="0" distR="0" wp14:anchorId="39B47893" wp14:editId="6DA589D9">
            <wp:extent cx="6645910" cy="101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1016000"/>
                    </a:xfrm>
                    <a:prstGeom prst="rect">
                      <a:avLst/>
                    </a:prstGeom>
                  </pic:spPr>
                </pic:pic>
              </a:graphicData>
            </a:graphic>
          </wp:inline>
        </w:drawing>
      </w:r>
    </w:p>
    <w:p w14:paraId="1BF4C9B1" w14:textId="4ED4C1ED" w:rsidR="009F77B2" w:rsidRDefault="009F77B2" w:rsidP="009F77B2">
      <w:pPr>
        <w:rPr>
          <w:rFonts w:ascii="Arial" w:hAnsi="Arial" w:cs="Arial"/>
        </w:rPr>
      </w:pPr>
      <w:r>
        <w:rPr>
          <w:rFonts w:ascii="Arial" w:hAnsi="Arial" w:cs="Arial"/>
        </w:rPr>
        <w:t xml:space="preserve">Degree outcomes at the University of Kent and our </w:t>
      </w:r>
      <w:r w:rsidR="00BF41A0">
        <w:rPr>
          <w:rFonts w:ascii="Arial" w:hAnsi="Arial" w:cs="Arial"/>
        </w:rPr>
        <w:t>p</w:t>
      </w:r>
      <w:r>
        <w:rPr>
          <w:rFonts w:ascii="Arial" w:hAnsi="Arial" w:cs="Arial"/>
        </w:rPr>
        <w:t xml:space="preserve">artner </w:t>
      </w:r>
      <w:r w:rsidR="00BF41A0">
        <w:rPr>
          <w:rFonts w:ascii="Arial" w:hAnsi="Arial" w:cs="Arial"/>
        </w:rPr>
        <w:t>i</w:t>
      </w:r>
      <w:r>
        <w:rPr>
          <w:rFonts w:ascii="Arial" w:hAnsi="Arial" w:cs="Arial"/>
        </w:rPr>
        <w:t xml:space="preserve">nstitutions over the last </w:t>
      </w:r>
      <w:r w:rsidR="00BA7F44">
        <w:rPr>
          <w:rFonts w:ascii="Arial" w:hAnsi="Arial" w:cs="Arial"/>
        </w:rPr>
        <w:t>six</w:t>
      </w:r>
      <w:r>
        <w:rPr>
          <w:rFonts w:ascii="Arial" w:hAnsi="Arial" w:cs="Arial"/>
        </w:rPr>
        <w:t xml:space="preserve"> years are summarised in Appendix A.</w:t>
      </w:r>
    </w:p>
    <w:p w14:paraId="6EC6CE80" w14:textId="0E6380D7" w:rsidR="00C32AAD" w:rsidRPr="00C32AAD" w:rsidRDefault="00C32AAD" w:rsidP="009F77B2">
      <w:pPr>
        <w:rPr>
          <w:rFonts w:ascii="Arial" w:hAnsi="Arial" w:cs="Arial"/>
          <w:b/>
        </w:rPr>
      </w:pPr>
      <w:r w:rsidRPr="00C32AAD">
        <w:rPr>
          <w:rFonts w:ascii="Arial" w:hAnsi="Arial" w:cs="Arial"/>
          <w:b/>
        </w:rPr>
        <w:t>Covid – 19</w:t>
      </w:r>
    </w:p>
    <w:p w14:paraId="21132F9C" w14:textId="3DFBC1C0" w:rsidR="00BA7F44" w:rsidRDefault="00BA7F44" w:rsidP="009D4FC0">
      <w:pPr>
        <w:rPr>
          <w:rFonts w:ascii="Arial" w:hAnsi="Arial" w:cs="Arial"/>
        </w:rPr>
      </w:pPr>
      <w:r>
        <w:rPr>
          <w:rFonts w:ascii="Arial" w:hAnsi="Arial" w:cs="Arial"/>
        </w:rPr>
        <w:t xml:space="preserve">In 2020/21, the University transitioned to </w:t>
      </w:r>
      <w:r w:rsidR="002129FC">
        <w:rPr>
          <w:rFonts w:ascii="Arial" w:hAnsi="Arial" w:cs="Arial"/>
        </w:rPr>
        <w:t xml:space="preserve">asynchronous teaching with lectures continued to be delivered online and a limited number of learning activities, such as </w:t>
      </w:r>
      <w:r w:rsidR="00751528">
        <w:rPr>
          <w:rFonts w:ascii="Arial" w:hAnsi="Arial" w:cs="Arial"/>
        </w:rPr>
        <w:t xml:space="preserve">those </w:t>
      </w:r>
      <w:r w:rsidR="002129FC">
        <w:rPr>
          <w:rFonts w:ascii="Arial" w:hAnsi="Arial" w:cs="Arial"/>
        </w:rPr>
        <w:t xml:space="preserve">requiring special equipment or teaching space, were delivered </w:t>
      </w:r>
      <w:r w:rsidR="00A149FC">
        <w:rPr>
          <w:rFonts w:ascii="Arial" w:hAnsi="Arial" w:cs="Arial"/>
        </w:rPr>
        <w:t>face-to-face</w:t>
      </w:r>
      <w:r w:rsidR="002129FC">
        <w:rPr>
          <w:rFonts w:ascii="Arial" w:hAnsi="Arial" w:cs="Arial"/>
        </w:rPr>
        <w:t xml:space="preserve">. The University also expanded its provision </w:t>
      </w:r>
      <w:r w:rsidR="004D5C3A">
        <w:rPr>
          <w:rFonts w:ascii="Arial" w:hAnsi="Arial" w:cs="Arial"/>
        </w:rPr>
        <w:t>accommodating</w:t>
      </w:r>
      <w:r w:rsidR="006575FD">
        <w:rPr>
          <w:rFonts w:ascii="Arial" w:hAnsi="Arial" w:cs="Arial"/>
        </w:rPr>
        <w:t xml:space="preserve"> remote study </w:t>
      </w:r>
      <w:r w:rsidR="006575FD" w:rsidRPr="006575FD">
        <w:rPr>
          <w:rFonts w:ascii="Arial" w:hAnsi="Arial" w:cs="Arial"/>
        </w:rPr>
        <w:t xml:space="preserve">for students who </w:t>
      </w:r>
      <w:r w:rsidR="006575FD">
        <w:rPr>
          <w:rFonts w:ascii="Arial" w:hAnsi="Arial" w:cs="Arial"/>
        </w:rPr>
        <w:t>were</w:t>
      </w:r>
      <w:r w:rsidR="006575FD" w:rsidRPr="006575FD">
        <w:rPr>
          <w:rFonts w:ascii="Arial" w:hAnsi="Arial" w:cs="Arial"/>
        </w:rPr>
        <w:t xml:space="preserve"> significantly impacted by the pandemic</w:t>
      </w:r>
      <w:r w:rsidR="00A149FC">
        <w:rPr>
          <w:rFonts w:ascii="Arial" w:hAnsi="Arial" w:cs="Arial"/>
        </w:rPr>
        <w:t xml:space="preserve"> </w:t>
      </w:r>
      <w:r w:rsidR="002A3CD1">
        <w:rPr>
          <w:rFonts w:ascii="Arial" w:hAnsi="Arial" w:cs="Arial"/>
        </w:rPr>
        <w:t>and could not return to campus.</w:t>
      </w:r>
    </w:p>
    <w:p w14:paraId="09213020" w14:textId="54DA8AA4" w:rsidR="00031630" w:rsidRPr="00001688" w:rsidRDefault="00871D59" w:rsidP="009F77B2">
      <w:pPr>
        <w:rPr>
          <w:rFonts w:ascii="Arial" w:hAnsi="Arial" w:cs="Arial"/>
        </w:rPr>
      </w:pPr>
      <w:r w:rsidRPr="00871D59">
        <w:rPr>
          <w:rFonts w:ascii="Arial" w:hAnsi="Arial" w:cs="Arial"/>
          <w:bCs/>
        </w:rPr>
        <w:lastRenderedPageBreak/>
        <w:t>Kent’s</w:t>
      </w:r>
      <w:r>
        <w:rPr>
          <w:rFonts w:ascii="Arial" w:hAnsi="Arial" w:cs="Arial"/>
          <w:b/>
        </w:rPr>
        <w:t xml:space="preserve"> </w:t>
      </w:r>
      <w:r w:rsidR="0051021D" w:rsidRPr="00914F63">
        <w:rPr>
          <w:rFonts w:ascii="Arial" w:hAnsi="Arial" w:cs="Arial"/>
          <w:b/>
        </w:rPr>
        <w:t>‘No-detriment’ policy</w:t>
      </w:r>
      <w:r w:rsidR="006575FD" w:rsidRPr="006575FD">
        <w:rPr>
          <w:rFonts w:ascii="Arial" w:hAnsi="Arial" w:cs="Arial"/>
          <w:bCs/>
        </w:rPr>
        <w:t>,</w:t>
      </w:r>
      <w:r w:rsidR="0051021D" w:rsidRPr="00914F63">
        <w:rPr>
          <w:rFonts w:ascii="Arial" w:hAnsi="Arial" w:cs="Arial"/>
          <w:b/>
        </w:rPr>
        <w:t xml:space="preserve"> </w:t>
      </w:r>
      <w:r w:rsidR="006575FD" w:rsidRPr="006575FD">
        <w:rPr>
          <w:rFonts w:ascii="Arial" w:hAnsi="Arial" w:cs="Arial"/>
          <w:bCs/>
        </w:rPr>
        <w:t>which</w:t>
      </w:r>
      <w:r w:rsidR="006575FD">
        <w:rPr>
          <w:rFonts w:ascii="Arial" w:hAnsi="Arial" w:cs="Arial"/>
          <w:bCs/>
        </w:rPr>
        <w:t xml:space="preserve"> was authorised by Senate and</w:t>
      </w:r>
      <w:r w:rsidR="006575FD">
        <w:rPr>
          <w:rFonts w:ascii="Arial" w:hAnsi="Arial" w:cs="Arial"/>
          <w:b/>
        </w:rPr>
        <w:t xml:space="preserve"> </w:t>
      </w:r>
      <w:r w:rsidR="0051021D" w:rsidRPr="00914F63">
        <w:rPr>
          <w:rFonts w:ascii="Arial" w:hAnsi="Arial" w:cs="Arial"/>
        </w:rPr>
        <w:t>became effective as</w:t>
      </w:r>
      <w:r w:rsidR="0051021D" w:rsidRPr="00914F63">
        <w:rPr>
          <w:rFonts w:ascii="Arial" w:hAnsi="Arial" w:cs="Arial"/>
          <w:b/>
        </w:rPr>
        <w:t xml:space="preserve"> </w:t>
      </w:r>
      <w:r w:rsidR="0051021D" w:rsidRPr="00914F63">
        <w:rPr>
          <w:rFonts w:ascii="Arial" w:hAnsi="Arial" w:cs="Arial"/>
        </w:rPr>
        <w:t>of 14/03/20</w:t>
      </w:r>
      <w:r w:rsidR="006575FD">
        <w:rPr>
          <w:rFonts w:ascii="Arial" w:hAnsi="Arial" w:cs="Arial"/>
        </w:rPr>
        <w:t xml:space="preserve">20, continued to apply in 2020/21. However, </w:t>
      </w:r>
      <w:r w:rsidR="002A3CD1">
        <w:rPr>
          <w:rFonts w:ascii="Arial" w:hAnsi="Arial" w:cs="Arial"/>
        </w:rPr>
        <w:t xml:space="preserve">a few changes were introduced </w:t>
      </w:r>
      <w:r w:rsidR="008360C8">
        <w:rPr>
          <w:rFonts w:ascii="Arial" w:hAnsi="Arial" w:cs="Arial"/>
        </w:rPr>
        <w:t xml:space="preserve">in terms of </w:t>
      </w:r>
      <w:r w:rsidR="007F6AC8">
        <w:rPr>
          <w:rFonts w:ascii="Arial" w:hAnsi="Arial" w:cs="Arial"/>
        </w:rPr>
        <w:t>intervention</w:t>
      </w:r>
      <w:r w:rsidR="008360C8">
        <w:rPr>
          <w:rFonts w:ascii="Arial" w:hAnsi="Arial" w:cs="Arial"/>
        </w:rPr>
        <w:t xml:space="preserve"> to mitigate the impact of</w:t>
      </w:r>
      <w:r w:rsidR="0096548B">
        <w:rPr>
          <w:rFonts w:ascii="Arial" w:hAnsi="Arial" w:cs="Arial"/>
        </w:rPr>
        <w:t xml:space="preserve"> </w:t>
      </w:r>
      <w:r w:rsidR="00331A7A" w:rsidRPr="00331A7A">
        <w:rPr>
          <w:rFonts w:ascii="Arial" w:hAnsi="Arial" w:cs="Arial"/>
        </w:rPr>
        <w:t xml:space="preserve">the </w:t>
      </w:r>
      <w:r w:rsidR="0096548B">
        <w:rPr>
          <w:rFonts w:ascii="Arial" w:hAnsi="Arial" w:cs="Arial"/>
        </w:rPr>
        <w:t xml:space="preserve">on-going pandemic to ensure </w:t>
      </w:r>
      <w:r w:rsidR="00331A7A" w:rsidRPr="00331A7A">
        <w:rPr>
          <w:rFonts w:ascii="Arial" w:hAnsi="Arial" w:cs="Arial"/>
        </w:rPr>
        <w:t>qual</w:t>
      </w:r>
      <w:r w:rsidR="00331A7A">
        <w:rPr>
          <w:rFonts w:ascii="Arial" w:hAnsi="Arial" w:cs="Arial"/>
        </w:rPr>
        <w:t>ity and stand</w:t>
      </w:r>
      <w:r w:rsidR="005B51FB">
        <w:rPr>
          <w:rFonts w:ascii="Arial" w:hAnsi="Arial" w:cs="Arial"/>
        </w:rPr>
        <w:t xml:space="preserve">ards </w:t>
      </w:r>
      <w:r w:rsidR="00331A7A">
        <w:rPr>
          <w:rFonts w:ascii="Arial" w:hAnsi="Arial" w:cs="Arial"/>
        </w:rPr>
        <w:t>of Kent degrees.</w:t>
      </w:r>
    </w:p>
    <w:p w14:paraId="18EA5303" w14:textId="3DD0AA47" w:rsidR="00EC32AF" w:rsidRPr="009F77B2" w:rsidRDefault="009F77B2" w:rsidP="009F77B2">
      <w:pPr>
        <w:rPr>
          <w:rFonts w:ascii="Arial" w:hAnsi="Arial" w:cs="Arial"/>
          <w:b/>
        </w:rPr>
      </w:pPr>
      <w:r w:rsidRPr="009F77B2">
        <w:rPr>
          <w:rFonts w:ascii="Arial" w:hAnsi="Arial" w:cs="Arial"/>
          <w:b/>
        </w:rPr>
        <w:t>Assessment and Marking Practices</w:t>
      </w:r>
    </w:p>
    <w:p w14:paraId="707F470B" w14:textId="754AD295" w:rsidR="009F77B2" w:rsidRPr="009F77B2" w:rsidRDefault="009F77B2" w:rsidP="009F77B2">
      <w:pPr>
        <w:rPr>
          <w:rFonts w:ascii="Arial" w:hAnsi="Arial" w:cs="Arial"/>
        </w:rPr>
      </w:pPr>
      <w:r w:rsidRPr="009F77B2">
        <w:rPr>
          <w:rFonts w:ascii="Arial" w:hAnsi="Arial" w:cs="Arial"/>
        </w:rPr>
        <w:t xml:space="preserve">The University’s academic provision aligns with the </w:t>
      </w:r>
      <w:hyperlink r:id="rId12" w:history="1">
        <w:r w:rsidRPr="00746CED">
          <w:rPr>
            <w:rStyle w:val="Hyperlink"/>
            <w:rFonts w:ascii="Arial" w:hAnsi="Arial" w:cs="Arial"/>
          </w:rPr>
          <w:t>UK Quality Code for Higher Education</w:t>
        </w:r>
      </w:hyperlink>
      <w:r w:rsidRPr="009F77B2">
        <w:rPr>
          <w:rFonts w:ascii="Arial" w:hAnsi="Arial" w:cs="Arial"/>
        </w:rPr>
        <w:t>, with  processes in place to ensure that assessment and marking practices operate in accordance with the expectations</w:t>
      </w:r>
      <w:r w:rsidR="00713392">
        <w:rPr>
          <w:rFonts w:ascii="Arial" w:hAnsi="Arial" w:cs="Arial"/>
        </w:rPr>
        <w:t>,</w:t>
      </w:r>
      <w:r w:rsidRPr="009F77B2">
        <w:rPr>
          <w:rFonts w:ascii="Arial" w:hAnsi="Arial" w:cs="Arial"/>
        </w:rPr>
        <w:t xml:space="preserve"> core practices and other reference points (e.g. </w:t>
      </w:r>
      <w:hyperlink r:id="rId13" w:history="1">
        <w:r w:rsidRPr="00746CED">
          <w:rPr>
            <w:rStyle w:val="Hyperlink"/>
            <w:rFonts w:ascii="Arial" w:hAnsi="Arial" w:cs="Arial"/>
          </w:rPr>
          <w:t>Subject Benchmark Statements</w:t>
        </w:r>
      </w:hyperlink>
      <w:r w:rsidR="00536544">
        <w:rPr>
          <w:rFonts w:ascii="Arial" w:hAnsi="Arial" w:cs="Arial"/>
        </w:rPr>
        <w:t xml:space="preserve"> and </w:t>
      </w:r>
      <w:hyperlink r:id="rId14" w:history="1">
        <w:r w:rsidR="00536544" w:rsidRPr="00746CED">
          <w:rPr>
            <w:rStyle w:val="Hyperlink"/>
            <w:rFonts w:ascii="Arial" w:hAnsi="Arial" w:cs="Arial"/>
          </w:rPr>
          <w:t>Degree Classification Descriptors</w:t>
        </w:r>
      </w:hyperlink>
      <w:r w:rsidRPr="009F77B2">
        <w:rPr>
          <w:rFonts w:ascii="Arial" w:hAnsi="Arial" w:cs="Arial"/>
        </w:rPr>
        <w:t xml:space="preserve">) set out in the Code (See: Credit Framework </w:t>
      </w:r>
      <w:hyperlink r:id="rId15" w:history="1">
        <w:r w:rsidRPr="00746CED">
          <w:rPr>
            <w:rStyle w:val="Hyperlink"/>
            <w:rFonts w:ascii="Arial" w:hAnsi="Arial" w:cs="Arial"/>
          </w:rPr>
          <w:t>Annex 6: Marking</w:t>
        </w:r>
      </w:hyperlink>
      <w:r w:rsidRPr="009F77B2">
        <w:rPr>
          <w:rFonts w:ascii="Arial" w:hAnsi="Arial" w:cs="Arial"/>
        </w:rPr>
        <w:t xml:space="preserve">).  In addition, where relevant to the provision we take into account the requirements of Professional, Statutory and Regulatory Bodies (PSRBs) and Apprenticeship Standards. </w:t>
      </w:r>
    </w:p>
    <w:p w14:paraId="5DD57099" w14:textId="5AAC847F" w:rsidR="009F77B2" w:rsidRPr="009F77B2" w:rsidRDefault="009F77B2" w:rsidP="009F77B2">
      <w:pPr>
        <w:rPr>
          <w:rFonts w:ascii="Arial" w:hAnsi="Arial" w:cs="Arial"/>
        </w:rPr>
      </w:pPr>
      <w:r w:rsidRPr="009F77B2">
        <w:rPr>
          <w:rFonts w:ascii="Arial" w:hAnsi="Arial" w:cs="Arial"/>
        </w:rPr>
        <w:t xml:space="preserve">In 2012/13 Kent adopted a University-wide </w:t>
      </w:r>
      <w:hyperlink r:id="rId16" w:history="1">
        <w:r w:rsidRPr="00746CED">
          <w:rPr>
            <w:rStyle w:val="Hyperlink"/>
            <w:rFonts w:ascii="Arial" w:hAnsi="Arial" w:cs="Arial"/>
          </w:rPr>
          <w:t>categorical marking scale</w:t>
        </w:r>
      </w:hyperlink>
      <w:r w:rsidRPr="009F77B2">
        <w:rPr>
          <w:rFonts w:ascii="Arial" w:hAnsi="Arial" w:cs="Arial"/>
        </w:rPr>
        <w:t xml:space="preserve"> for use with respect to single pieces of work that require a qualitative judgement to be made, such as essays, dissertations, reports, individual examination questions, with a view to providing benchmarked </w:t>
      </w:r>
      <w:r w:rsidR="00713392">
        <w:rPr>
          <w:rFonts w:ascii="Arial" w:hAnsi="Arial" w:cs="Arial"/>
        </w:rPr>
        <w:t>grad</w:t>
      </w:r>
      <w:r w:rsidRPr="009F77B2">
        <w:rPr>
          <w:rFonts w:ascii="Arial" w:hAnsi="Arial" w:cs="Arial"/>
        </w:rPr>
        <w:t xml:space="preserve">ing points within each class band and thereby encouraging markers to make definitive judgements on the standards achieved.  Marking consistency is ensured through standardised moderation or double marking processes, which are managed by the </w:t>
      </w:r>
      <w:hyperlink r:id="rId17" w:history="1">
        <w:r w:rsidRPr="00155384">
          <w:rPr>
            <w:rStyle w:val="Hyperlink"/>
            <w:rFonts w:ascii="Arial" w:hAnsi="Arial" w:cs="Arial"/>
          </w:rPr>
          <w:t>Chief Examiner</w:t>
        </w:r>
      </w:hyperlink>
      <w:r w:rsidRPr="009F77B2">
        <w:rPr>
          <w:rFonts w:ascii="Arial" w:hAnsi="Arial" w:cs="Arial"/>
        </w:rPr>
        <w:t xml:space="preserve"> in each </w:t>
      </w:r>
      <w:r w:rsidR="00F62690">
        <w:rPr>
          <w:rFonts w:ascii="Arial" w:hAnsi="Arial" w:cs="Arial"/>
        </w:rPr>
        <w:t>Division</w:t>
      </w:r>
      <w:r w:rsidRPr="009F77B2">
        <w:rPr>
          <w:rFonts w:ascii="Arial" w:hAnsi="Arial" w:cs="Arial"/>
        </w:rPr>
        <w:t xml:space="preserve">. Assessments are designed to demonstrate that the intended learning outcomes are attained at the appropriate level for the module. Methods of assessment are published in a module specification and held on </w:t>
      </w:r>
      <w:r w:rsidR="00BC246C">
        <w:rPr>
          <w:rFonts w:ascii="Arial" w:hAnsi="Arial" w:cs="Arial"/>
        </w:rPr>
        <w:t>central university</w:t>
      </w:r>
      <w:r w:rsidRPr="009F77B2">
        <w:rPr>
          <w:rFonts w:ascii="Arial" w:hAnsi="Arial" w:cs="Arial"/>
        </w:rPr>
        <w:t xml:space="preserve"> websites. Overall assessment strategies for </w:t>
      </w:r>
      <w:r w:rsidR="00596349">
        <w:rPr>
          <w:rFonts w:ascii="Arial" w:hAnsi="Arial" w:cs="Arial"/>
        </w:rPr>
        <w:t>course</w:t>
      </w:r>
      <w:r w:rsidRPr="009F77B2">
        <w:rPr>
          <w:rFonts w:ascii="Arial" w:hAnsi="Arial" w:cs="Arial"/>
        </w:rPr>
        <w:t xml:space="preserve">s are set out in the approved </w:t>
      </w:r>
      <w:r w:rsidR="00596349">
        <w:rPr>
          <w:rFonts w:ascii="Arial" w:hAnsi="Arial" w:cs="Arial"/>
        </w:rPr>
        <w:t>course</w:t>
      </w:r>
      <w:r w:rsidRPr="009F77B2">
        <w:rPr>
          <w:rFonts w:ascii="Arial" w:hAnsi="Arial" w:cs="Arial"/>
        </w:rPr>
        <w:t xml:space="preserve"> specifications.  </w:t>
      </w:r>
    </w:p>
    <w:p w14:paraId="604D844F" w14:textId="5B85F026" w:rsidR="009F77B2" w:rsidRPr="009F77B2" w:rsidRDefault="009F77B2" w:rsidP="009F77B2">
      <w:pPr>
        <w:rPr>
          <w:rFonts w:ascii="Arial" w:hAnsi="Arial" w:cs="Arial"/>
        </w:rPr>
      </w:pPr>
      <w:r w:rsidRPr="009F77B2">
        <w:rPr>
          <w:rFonts w:ascii="Arial" w:hAnsi="Arial" w:cs="Arial"/>
        </w:rPr>
        <w:t xml:space="preserve">Assessment and marking practices are reviewed by the </w:t>
      </w:r>
      <w:hyperlink r:id="rId18" w:history="1">
        <w:r w:rsidRPr="00155384">
          <w:rPr>
            <w:rStyle w:val="Hyperlink"/>
            <w:rFonts w:ascii="Arial" w:hAnsi="Arial" w:cs="Arial"/>
          </w:rPr>
          <w:t>Board of Examiners</w:t>
        </w:r>
      </w:hyperlink>
      <w:r w:rsidRPr="009F77B2">
        <w:rPr>
          <w:rFonts w:ascii="Arial" w:hAnsi="Arial" w:cs="Arial"/>
        </w:rPr>
        <w:t xml:space="preserve"> for each </w:t>
      </w:r>
      <w:r w:rsidR="00596349">
        <w:rPr>
          <w:rFonts w:ascii="Arial" w:hAnsi="Arial" w:cs="Arial"/>
        </w:rPr>
        <w:t>cours</w:t>
      </w:r>
      <w:r w:rsidRPr="009F77B2">
        <w:rPr>
          <w:rFonts w:ascii="Arial" w:hAnsi="Arial" w:cs="Arial"/>
        </w:rPr>
        <w:t>e in consultation with one or more external examiners, who provide informed and impartial assurance of the academic standards achieved</w:t>
      </w:r>
      <w:r w:rsidR="00596349">
        <w:rPr>
          <w:rFonts w:ascii="Arial" w:hAnsi="Arial" w:cs="Arial"/>
        </w:rPr>
        <w:t>,</w:t>
      </w:r>
      <w:r w:rsidRPr="009F77B2">
        <w:rPr>
          <w:rFonts w:ascii="Arial" w:hAnsi="Arial" w:cs="Arial"/>
        </w:rPr>
        <w:t xml:space="preserve"> both in comparison to the </w:t>
      </w:r>
      <w:hyperlink r:id="rId19" w:history="1">
        <w:r w:rsidRPr="00155384">
          <w:rPr>
            <w:rStyle w:val="Hyperlink"/>
            <w:rFonts w:ascii="Arial" w:hAnsi="Arial" w:cs="Arial"/>
          </w:rPr>
          <w:t>FHEQ</w:t>
        </w:r>
      </w:hyperlink>
      <w:r w:rsidRPr="009F77B2">
        <w:rPr>
          <w:rFonts w:ascii="Arial" w:hAnsi="Arial" w:cs="Arial"/>
        </w:rPr>
        <w:t xml:space="preserve"> and those at other universities in the UK.  </w:t>
      </w:r>
      <w:hyperlink r:id="rId20" w:history="1">
        <w:r w:rsidRPr="00155384">
          <w:rPr>
            <w:rStyle w:val="Hyperlink"/>
            <w:rFonts w:ascii="Arial" w:hAnsi="Arial" w:cs="Arial"/>
          </w:rPr>
          <w:t>External examiners</w:t>
        </w:r>
      </w:hyperlink>
      <w:r w:rsidRPr="009F77B2">
        <w:rPr>
          <w:rFonts w:ascii="Arial" w:hAnsi="Arial" w:cs="Arial"/>
        </w:rPr>
        <w:t xml:space="preserve"> are required to comment explicitly on the soundness of assessment and marking practices and on the standards achieved by students in their annual reports.  These reports are reviewed by the relevant </w:t>
      </w:r>
      <w:r w:rsidR="00596349">
        <w:rPr>
          <w:rFonts w:ascii="Arial" w:hAnsi="Arial" w:cs="Arial"/>
        </w:rPr>
        <w:t>Divisional</w:t>
      </w:r>
      <w:r w:rsidRPr="009F77B2">
        <w:rPr>
          <w:rFonts w:ascii="Arial" w:hAnsi="Arial" w:cs="Arial"/>
        </w:rPr>
        <w:t xml:space="preserve"> Committees, and by the University’s Education and Student Experience Board, which ensures that good practice is highlighted and any areas for improvement are addressed.  </w:t>
      </w:r>
    </w:p>
    <w:p w14:paraId="18D9A5AA" w14:textId="4A91E3FF" w:rsidR="009F77B2" w:rsidRPr="009F77B2" w:rsidRDefault="009F77B2" w:rsidP="009F77B2">
      <w:pPr>
        <w:rPr>
          <w:rFonts w:ascii="Arial" w:hAnsi="Arial" w:cs="Arial"/>
        </w:rPr>
      </w:pPr>
      <w:r w:rsidRPr="009F77B2">
        <w:rPr>
          <w:rFonts w:ascii="Arial" w:hAnsi="Arial" w:cs="Arial"/>
        </w:rPr>
        <w:t xml:space="preserve">To ensure all students can demonstrate their true level of academic performance, Kent operates a policy to </w:t>
      </w:r>
      <w:hyperlink r:id="rId21" w:history="1">
        <w:r w:rsidRPr="00746CED">
          <w:rPr>
            <w:rStyle w:val="Hyperlink"/>
            <w:rFonts w:ascii="Arial" w:hAnsi="Arial" w:cs="Arial"/>
          </w:rPr>
          <w:t>mitigate extenuating circumstances</w:t>
        </w:r>
      </w:hyperlink>
      <w:r w:rsidRPr="009F77B2">
        <w:rPr>
          <w:rFonts w:ascii="Arial" w:hAnsi="Arial" w:cs="Arial"/>
        </w:rPr>
        <w:t xml:space="preserve"> that may have negatively affected the student’s achievement on particular assessments. In addition, students may </w:t>
      </w:r>
      <w:hyperlink r:id="rId22" w:history="1">
        <w:r w:rsidRPr="009A44FE">
          <w:rPr>
            <w:rStyle w:val="Hyperlink"/>
            <w:rFonts w:ascii="Arial" w:hAnsi="Arial" w:cs="Arial"/>
          </w:rPr>
          <w:t>appeal</w:t>
        </w:r>
      </w:hyperlink>
      <w:r w:rsidRPr="009F77B2">
        <w:rPr>
          <w:rFonts w:ascii="Arial" w:hAnsi="Arial" w:cs="Arial"/>
        </w:rPr>
        <w:t xml:space="preserve"> against the recommendations of the Board of Examiners on the grounds of administrative, clerical or procedural error, or with regard to extenuating circumstances there were not made known previously or evidence of prejudice or bias. </w:t>
      </w:r>
    </w:p>
    <w:p w14:paraId="70B531DD" w14:textId="02D6DEB9" w:rsidR="009F77B2" w:rsidRDefault="009F77B2" w:rsidP="009F77B2">
      <w:pPr>
        <w:rPr>
          <w:rFonts w:ascii="Arial" w:hAnsi="Arial" w:cs="Arial"/>
        </w:rPr>
      </w:pPr>
      <w:r w:rsidRPr="009F77B2">
        <w:rPr>
          <w:rFonts w:ascii="Arial" w:hAnsi="Arial" w:cs="Arial"/>
        </w:rPr>
        <w:t xml:space="preserve">All collaborative courses leading to awards of the University are subject to the University’s standard </w:t>
      </w:r>
      <w:hyperlink r:id="rId23" w:history="1">
        <w:r w:rsidRPr="00746CED">
          <w:rPr>
            <w:rStyle w:val="Hyperlink"/>
            <w:rFonts w:ascii="Arial" w:hAnsi="Arial" w:cs="Arial"/>
          </w:rPr>
          <w:t>academic regulations</w:t>
        </w:r>
      </w:hyperlink>
      <w:r w:rsidRPr="009F77B2">
        <w:rPr>
          <w:rFonts w:ascii="Arial" w:hAnsi="Arial" w:cs="Arial"/>
        </w:rPr>
        <w:t xml:space="preserve">, </w:t>
      </w:r>
      <w:hyperlink r:id="rId24" w:history="1">
        <w:r w:rsidRPr="00746CED">
          <w:rPr>
            <w:rStyle w:val="Hyperlink"/>
            <w:rFonts w:ascii="Arial" w:hAnsi="Arial" w:cs="Arial"/>
          </w:rPr>
          <w:t>Codes of Practice for Quality Assurance</w:t>
        </w:r>
      </w:hyperlink>
      <w:r w:rsidRPr="009F77B2">
        <w:rPr>
          <w:rFonts w:ascii="Arial" w:hAnsi="Arial" w:cs="Arial"/>
        </w:rPr>
        <w:t xml:space="preserve"> and </w:t>
      </w:r>
      <w:hyperlink r:id="rId25" w:history="1">
        <w:r w:rsidRPr="00746CED">
          <w:rPr>
            <w:rStyle w:val="Hyperlink"/>
            <w:rFonts w:ascii="Arial" w:hAnsi="Arial" w:cs="Arial"/>
          </w:rPr>
          <w:t>Credit Framework</w:t>
        </w:r>
      </w:hyperlink>
      <w:r w:rsidRPr="009F77B2">
        <w:rPr>
          <w:rFonts w:ascii="Arial" w:hAnsi="Arial" w:cs="Arial"/>
        </w:rPr>
        <w:t xml:space="preserve"> conventions, including those for marking and assessment. Boards of Examiners for </w:t>
      </w:r>
      <w:r w:rsidR="00596349">
        <w:rPr>
          <w:rFonts w:ascii="Arial" w:hAnsi="Arial" w:cs="Arial"/>
        </w:rPr>
        <w:t>course</w:t>
      </w:r>
      <w:r w:rsidRPr="009F77B2">
        <w:rPr>
          <w:rFonts w:ascii="Arial" w:hAnsi="Arial" w:cs="Arial"/>
        </w:rPr>
        <w:t xml:space="preserve">s offered by partner providers operate with a Kent academic member of staff as Chair and with one or more University appointed external examiner as a member of the Board.  In the way, the University ensures comparability of standards for all </w:t>
      </w:r>
      <w:r w:rsidR="00BC246C">
        <w:rPr>
          <w:rFonts w:ascii="Arial" w:hAnsi="Arial" w:cs="Arial"/>
        </w:rPr>
        <w:t>course</w:t>
      </w:r>
      <w:r w:rsidRPr="009F77B2">
        <w:rPr>
          <w:rFonts w:ascii="Arial" w:hAnsi="Arial" w:cs="Arial"/>
        </w:rPr>
        <w:t>s leading to its awards, regardless of the point of delivery.</w:t>
      </w:r>
    </w:p>
    <w:p w14:paraId="673F91E3" w14:textId="39102A8A" w:rsidR="00CB1B1F" w:rsidRDefault="00514905" w:rsidP="00640BE1">
      <w:pPr>
        <w:rPr>
          <w:rFonts w:ascii="Arial" w:hAnsi="Arial" w:cs="Arial"/>
        </w:rPr>
      </w:pPr>
      <w:r w:rsidRPr="00514905">
        <w:rPr>
          <w:rFonts w:ascii="Arial" w:hAnsi="Arial" w:cs="Arial"/>
          <w:b/>
        </w:rPr>
        <w:t>Covid-19 note</w:t>
      </w:r>
      <w:r w:rsidR="009432EE">
        <w:rPr>
          <w:rFonts w:ascii="Arial" w:hAnsi="Arial" w:cs="Arial"/>
          <w:b/>
        </w:rPr>
        <w:t>s</w:t>
      </w:r>
      <w:r w:rsidRPr="00514905">
        <w:rPr>
          <w:rFonts w:ascii="Arial" w:hAnsi="Arial" w:cs="Arial"/>
          <w:b/>
        </w:rPr>
        <w:t xml:space="preserve">: </w:t>
      </w:r>
      <w:r w:rsidR="00C46AE8" w:rsidRPr="00054F95">
        <w:rPr>
          <w:rFonts w:ascii="Arial" w:hAnsi="Arial" w:cs="Arial"/>
        </w:rPr>
        <w:t>All students were assumed to have a case for mitigation due to the impact of Covid-19 on their studies and supporting evidence was not required in such cases.</w:t>
      </w:r>
      <w:r w:rsidR="00C46AE8">
        <w:rPr>
          <w:rFonts w:ascii="Arial" w:hAnsi="Arial" w:cs="Arial"/>
        </w:rPr>
        <w:t xml:space="preserve"> In addition, the University remained sensitive to the fact that some evidence might have been more difficult to obtain even for non-Covid-19 circumstances</w:t>
      </w:r>
      <w:r w:rsidR="00672812">
        <w:rPr>
          <w:rFonts w:ascii="Arial" w:hAnsi="Arial" w:cs="Arial"/>
        </w:rPr>
        <w:t xml:space="preserve"> and so</w:t>
      </w:r>
      <w:r w:rsidR="007F6AC8">
        <w:rPr>
          <w:rFonts w:ascii="Arial" w:hAnsi="Arial" w:cs="Arial"/>
        </w:rPr>
        <w:t xml:space="preserve"> f</w:t>
      </w:r>
      <w:r w:rsidR="005B51FB">
        <w:rPr>
          <w:rFonts w:ascii="Arial" w:hAnsi="Arial" w:cs="Arial"/>
        </w:rPr>
        <w:t>lexibility was retained in regard to prov</w:t>
      </w:r>
      <w:r w:rsidR="007F6AC8">
        <w:rPr>
          <w:rFonts w:ascii="Arial" w:hAnsi="Arial" w:cs="Arial"/>
        </w:rPr>
        <w:t>i</w:t>
      </w:r>
      <w:r w:rsidR="005B51FB">
        <w:rPr>
          <w:rFonts w:ascii="Arial" w:hAnsi="Arial" w:cs="Arial"/>
        </w:rPr>
        <w:t xml:space="preserve">ding evidence </w:t>
      </w:r>
      <w:r w:rsidR="007F6AC8">
        <w:rPr>
          <w:rFonts w:ascii="Arial" w:hAnsi="Arial" w:cs="Arial"/>
        </w:rPr>
        <w:t>to</w:t>
      </w:r>
      <w:r w:rsidR="005B51FB">
        <w:rPr>
          <w:rFonts w:ascii="Arial" w:hAnsi="Arial" w:cs="Arial"/>
        </w:rPr>
        <w:t xml:space="preserve"> </w:t>
      </w:r>
      <w:r w:rsidR="007F6AC8">
        <w:rPr>
          <w:rFonts w:ascii="Arial" w:hAnsi="Arial" w:cs="Arial"/>
        </w:rPr>
        <w:t>support any mitigation claims.</w:t>
      </w:r>
    </w:p>
    <w:p w14:paraId="3ED63866" w14:textId="3C3CC1F4" w:rsidR="00CB1B1F" w:rsidRDefault="00CB1B1F" w:rsidP="00640BE1">
      <w:pPr>
        <w:rPr>
          <w:rFonts w:ascii="Arial" w:hAnsi="Arial" w:cs="Arial"/>
        </w:rPr>
      </w:pPr>
      <w:r>
        <w:rPr>
          <w:rFonts w:ascii="Arial" w:hAnsi="Arial" w:cs="Arial"/>
        </w:rPr>
        <w:t>In addition, t</w:t>
      </w:r>
      <w:r w:rsidR="008515C4" w:rsidRPr="008515C4">
        <w:rPr>
          <w:rFonts w:ascii="Arial" w:hAnsi="Arial" w:cs="Arial"/>
        </w:rPr>
        <w:t>he ‘no detriment’ principles allow</w:t>
      </w:r>
      <w:r w:rsidR="008515C4">
        <w:rPr>
          <w:rFonts w:ascii="Arial" w:hAnsi="Arial" w:cs="Arial"/>
        </w:rPr>
        <w:t>ed</w:t>
      </w:r>
      <w:r w:rsidR="008515C4" w:rsidRPr="008515C4">
        <w:rPr>
          <w:rFonts w:ascii="Arial" w:hAnsi="Arial" w:cs="Arial"/>
        </w:rPr>
        <w:t xml:space="preserve"> for failure or other</w:t>
      </w:r>
      <w:r w:rsidR="008515C4">
        <w:rPr>
          <w:rFonts w:ascii="Arial" w:hAnsi="Arial" w:cs="Arial"/>
        </w:rPr>
        <w:t xml:space="preserve"> </w:t>
      </w:r>
      <w:r w:rsidR="008515C4" w:rsidRPr="008515C4">
        <w:rPr>
          <w:rFonts w:ascii="Arial" w:hAnsi="Arial" w:cs="Arial"/>
        </w:rPr>
        <w:t>underperformance in assessment to be recoverable through the provision of non</w:t>
      </w:r>
      <w:r w:rsidR="00570ADA">
        <w:rPr>
          <w:rFonts w:ascii="Arial" w:hAnsi="Arial" w:cs="Arial"/>
        </w:rPr>
        <w:t>-</w:t>
      </w:r>
      <w:r w:rsidR="008515C4" w:rsidRPr="008515C4">
        <w:rPr>
          <w:rFonts w:ascii="Arial" w:hAnsi="Arial" w:cs="Arial"/>
        </w:rPr>
        <w:t>penalised reattempts at the assessments</w:t>
      </w:r>
      <w:r w:rsidR="0096548B">
        <w:rPr>
          <w:rFonts w:ascii="Arial" w:hAnsi="Arial" w:cs="Arial"/>
        </w:rPr>
        <w:t>.</w:t>
      </w:r>
      <w:r>
        <w:rPr>
          <w:rFonts w:ascii="Arial" w:hAnsi="Arial" w:cs="Arial"/>
        </w:rPr>
        <w:t xml:space="preserve"> The Board</w:t>
      </w:r>
      <w:r w:rsidR="0096548B">
        <w:rPr>
          <w:rFonts w:ascii="Arial" w:hAnsi="Arial" w:cs="Arial"/>
        </w:rPr>
        <w:t>s</w:t>
      </w:r>
      <w:r>
        <w:rPr>
          <w:rFonts w:ascii="Arial" w:hAnsi="Arial" w:cs="Arial"/>
        </w:rPr>
        <w:t xml:space="preserve"> of Examiners, </w:t>
      </w:r>
      <w:r w:rsidRPr="00CB1B1F">
        <w:rPr>
          <w:rFonts w:ascii="Arial" w:hAnsi="Arial" w:cs="Arial"/>
        </w:rPr>
        <w:t>when considering a failed element of assessment in a module for</w:t>
      </w:r>
      <w:r>
        <w:rPr>
          <w:rFonts w:ascii="Arial" w:hAnsi="Arial" w:cs="Arial"/>
        </w:rPr>
        <w:t xml:space="preserve"> </w:t>
      </w:r>
      <w:r w:rsidRPr="00CB1B1F">
        <w:rPr>
          <w:rFonts w:ascii="Arial" w:hAnsi="Arial" w:cs="Arial"/>
        </w:rPr>
        <w:t>which the student ha</w:t>
      </w:r>
      <w:r>
        <w:rPr>
          <w:rFonts w:ascii="Arial" w:hAnsi="Arial" w:cs="Arial"/>
        </w:rPr>
        <w:t>d</w:t>
      </w:r>
      <w:r w:rsidRPr="00CB1B1F">
        <w:rPr>
          <w:rFonts w:ascii="Arial" w:hAnsi="Arial" w:cs="Arial"/>
        </w:rPr>
        <w:t xml:space="preserve"> recorded a pass overall, </w:t>
      </w:r>
      <w:r>
        <w:rPr>
          <w:rFonts w:ascii="Arial" w:hAnsi="Arial" w:cs="Arial"/>
        </w:rPr>
        <w:t>were authorised to either d</w:t>
      </w:r>
      <w:r w:rsidRPr="00CB1B1F">
        <w:rPr>
          <w:rFonts w:ascii="Arial" w:hAnsi="Arial" w:cs="Arial"/>
        </w:rPr>
        <w:t>isregard the failed assessment</w:t>
      </w:r>
      <w:r>
        <w:rPr>
          <w:rFonts w:ascii="Arial" w:hAnsi="Arial" w:cs="Arial"/>
        </w:rPr>
        <w:t xml:space="preserve"> or o</w:t>
      </w:r>
      <w:r w:rsidRPr="00CB1B1F">
        <w:rPr>
          <w:rFonts w:ascii="Arial" w:hAnsi="Arial" w:cs="Arial"/>
        </w:rPr>
        <w:t>ffer the student the opportunity to retake the assessment at the next</w:t>
      </w:r>
      <w:r>
        <w:rPr>
          <w:rFonts w:ascii="Arial" w:hAnsi="Arial" w:cs="Arial"/>
        </w:rPr>
        <w:t xml:space="preserve"> </w:t>
      </w:r>
      <w:r w:rsidRPr="00CB1B1F">
        <w:rPr>
          <w:rFonts w:ascii="Arial" w:hAnsi="Arial" w:cs="Arial"/>
        </w:rPr>
        <w:t>available opportunity.</w:t>
      </w:r>
      <w:r>
        <w:rPr>
          <w:rFonts w:ascii="Arial" w:hAnsi="Arial" w:cs="Arial"/>
        </w:rPr>
        <w:t xml:space="preserve"> Where there was no </w:t>
      </w:r>
      <w:r w:rsidRPr="00CB1B1F">
        <w:rPr>
          <w:rFonts w:ascii="Arial" w:hAnsi="Arial" w:cs="Arial"/>
        </w:rPr>
        <w:t>material difference</w:t>
      </w:r>
      <w:r>
        <w:rPr>
          <w:rFonts w:ascii="Arial" w:hAnsi="Arial" w:cs="Arial"/>
        </w:rPr>
        <w:t xml:space="preserve"> </w:t>
      </w:r>
      <w:r w:rsidRPr="00CB1B1F">
        <w:rPr>
          <w:rFonts w:ascii="Arial" w:hAnsi="Arial" w:cs="Arial"/>
        </w:rPr>
        <w:t xml:space="preserve">resulting </w:t>
      </w:r>
      <w:r w:rsidR="0096548B">
        <w:rPr>
          <w:rFonts w:ascii="Arial" w:hAnsi="Arial" w:cs="Arial"/>
        </w:rPr>
        <w:t xml:space="preserve">in </w:t>
      </w:r>
      <w:r w:rsidRPr="00CB1B1F">
        <w:rPr>
          <w:rFonts w:ascii="Arial" w:hAnsi="Arial" w:cs="Arial"/>
        </w:rPr>
        <w:t>variation of the classification outcome for the stage or final award</w:t>
      </w:r>
      <w:r>
        <w:rPr>
          <w:rFonts w:ascii="Arial" w:hAnsi="Arial" w:cs="Arial"/>
        </w:rPr>
        <w:t xml:space="preserve">, neither measures could have been applied. </w:t>
      </w:r>
    </w:p>
    <w:p w14:paraId="578E7E06" w14:textId="13E34FF2" w:rsidR="008515C4" w:rsidRDefault="008515C4" w:rsidP="00640BE1">
      <w:pPr>
        <w:rPr>
          <w:rFonts w:ascii="Arial" w:hAnsi="Arial" w:cs="Arial"/>
        </w:rPr>
      </w:pPr>
      <w:r>
        <w:rPr>
          <w:rFonts w:ascii="Arial" w:hAnsi="Arial" w:cs="Arial"/>
        </w:rPr>
        <w:lastRenderedPageBreak/>
        <w:t xml:space="preserve">The University continued to deliver </w:t>
      </w:r>
      <w:r w:rsidR="0096548B">
        <w:rPr>
          <w:rFonts w:ascii="Arial" w:hAnsi="Arial" w:cs="Arial"/>
        </w:rPr>
        <w:t xml:space="preserve">online </w:t>
      </w:r>
      <w:r>
        <w:rPr>
          <w:rFonts w:ascii="Arial" w:hAnsi="Arial" w:cs="Arial"/>
        </w:rPr>
        <w:t xml:space="preserve">examinations for </w:t>
      </w:r>
      <w:r w:rsidRPr="008515C4">
        <w:rPr>
          <w:rFonts w:ascii="Arial" w:hAnsi="Arial" w:cs="Arial"/>
        </w:rPr>
        <w:t>the academic year 2020/21</w:t>
      </w:r>
      <w:r w:rsidR="00640BE1">
        <w:rPr>
          <w:rFonts w:ascii="Arial" w:hAnsi="Arial" w:cs="Arial"/>
        </w:rPr>
        <w:t xml:space="preserve"> to ensure </w:t>
      </w:r>
      <w:r w:rsidR="00640BE1" w:rsidRPr="00640BE1">
        <w:rPr>
          <w:rFonts w:ascii="Arial" w:hAnsi="Arial" w:cs="Arial"/>
        </w:rPr>
        <w:t xml:space="preserve">that students </w:t>
      </w:r>
      <w:r w:rsidR="0096548B">
        <w:rPr>
          <w:rFonts w:ascii="Arial" w:hAnsi="Arial" w:cs="Arial"/>
        </w:rPr>
        <w:t>were</w:t>
      </w:r>
      <w:r w:rsidR="00640BE1" w:rsidRPr="00640BE1">
        <w:rPr>
          <w:rFonts w:ascii="Arial" w:hAnsi="Arial" w:cs="Arial"/>
        </w:rPr>
        <w:t xml:space="preserve"> not</w:t>
      </w:r>
      <w:r w:rsidR="00640BE1">
        <w:rPr>
          <w:rFonts w:ascii="Arial" w:hAnsi="Arial" w:cs="Arial"/>
        </w:rPr>
        <w:t xml:space="preserve"> </w:t>
      </w:r>
      <w:r w:rsidR="00640BE1" w:rsidRPr="00640BE1">
        <w:rPr>
          <w:rFonts w:ascii="Arial" w:hAnsi="Arial" w:cs="Arial"/>
        </w:rPr>
        <w:t>disadvantaged in the completion of their examinations.</w:t>
      </w:r>
      <w:r w:rsidR="00640BE1">
        <w:rPr>
          <w:rFonts w:ascii="Arial" w:hAnsi="Arial" w:cs="Arial"/>
        </w:rPr>
        <w:t xml:space="preserve"> </w:t>
      </w:r>
      <w:r w:rsidRPr="008515C4">
        <w:rPr>
          <w:rFonts w:ascii="Arial" w:hAnsi="Arial" w:cs="Arial"/>
        </w:rPr>
        <w:t>The University’s normal</w:t>
      </w:r>
      <w:r w:rsidR="00640BE1">
        <w:rPr>
          <w:rFonts w:ascii="Arial" w:hAnsi="Arial" w:cs="Arial"/>
        </w:rPr>
        <w:t xml:space="preserve"> </w:t>
      </w:r>
      <w:r w:rsidRPr="008515C4">
        <w:rPr>
          <w:rFonts w:ascii="Arial" w:hAnsi="Arial" w:cs="Arial"/>
        </w:rPr>
        <w:t>practice, policies and regulations in the conduct of examinations have, of course,</w:t>
      </w:r>
      <w:r w:rsidR="00640BE1">
        <w:rPr>
          <w:rFonts w:ascii="Arial" w:hAnsi="Arial" w:cs="Arial"/>
        </w:rPr>
        <w:t xml:space="preserve"> </w:t>
      </w:r>
      <w:r w:rsidRPr="008515C4">
        <w:rPr>
          <w:rFonts w:ascii="Arial" w:hAnsi="Arial" w:cs="Arial"/>
        </w:rPr>
        <w:t>continued to apply, although in these exceptional circumstances the University</w:t>
      </w:r>
      <w:r w:rsidR="00640BE1">
        <w:rPr>
          <w:rFonts w:ascii="Arial" w:hAnsi="Arial" w:cs="Arial"/>
        </w:rPr>
        <w:t xml:space="preserve">’s </w:t>
      </w:r>
      <w:r w:rsidRPr="008515C4">
        <w:rPr>
          <w:rFonts w:ascii="Arial" w:hAnsi="Arial" w:cs="Arial"/>
        </w:rPr>
        <w:t xml:space="preserve">approach </w:t>
      </w:r>
      <w:r w:rsidR="00640BE1">
        <w:rPr>
          <w:rFonts w:ascii="Arial" w:hAnsi="Arial" w:cs="Arial"/>
        </w:rPr>
        <w:t>was</w:t>
      </w:r>
      <w:r w:rsidRPr="008515C4">
        <w:rPr>
          <w:rFonts w:ascii="Arial" w:hAnsi="Arial" w:cs="Arial"/>
        </w:rPr>
        <w:t xml:space="preserve"> flexible and responsive to the ongoing and changing</w:t>
      </w:r>
      <w:r w:rsidR="00640BE1">
        <w:rPr>
          <w:rFonts w:ascii="Arial" w:hAnsi="Arial" w:cs="Arial"/>
        </w:rPr>
        <w:t xml:space="preserve"> </w:t>
      </w:r>
      <w:r w:rsidRPr="008515C4">
        <w:rPr>
          <w:rFonts w:ascii="Arial" w:hAnsi="Arial" w:cs="Arial"/>
        </w:rPr>
        <w:t xml:space="preserve">conditions. </w:t>
      </w:r>
      <w:r w:rsidR="00354C53">
        <w:rPr>
          <w:rFonts w:ascii="Arial" w:hAnsi="Arial" w:cs="Arial"/>
        </w:rPr>
        <w:t>The improved accessibility and change in assessment formats (e</w:t>
      </w:r>
      <w:r w:rsidR="005B51FB">
        <w:rPr>
          <w:rFonts w:ascii="Arial" w:hAnsi="Arial" w:cs="Arial"/>
        </w:rPr>
        <w:t>.</w:t>
      </w:r>
      <w:r w:rsidR="00354C53">
        <w:rPr>
          <w:rFonts w:ascii="Arial" w:hAnsi="Arial" w:cs="Arial"/>
        </w:rPr>
        <w:t>g</w:t>
      </w:r>
      <w:r w:rsidR="005B51FB">
        <w:rPr>
          <w:rFonts w:ascii="Arial" w:hAnsi="Arial" w:cs="Arial"/>
        </w:rPr>
        <w:t>.</w:t>
      </w:r>
      <w:r w:rsidR="00354C53">
        <w:rPr>
          <w:rFonts w:ascii="Arial" w:hAnsi="Arial" w:cs="Arial"/>
        </w:rPr>
        <w:t xml:space="preserve"> open book). increased student engagement and supported better outcomes, including those with protected characteristics (e</w:t>
      </w:r>
      <w:r w:rsidR="00DB7813">
        <w:rPr>
          <w:rFonts w:ascii="Arial" w:hAnsi="Arial" w:cs="Arial"/>
        </w:rPr>
        <w:t>.</w:t>
      </w:r>
      <w:r w:rsidR="00354C53">
        <w:rPr>
          <w:rFonts w:ascii="Arial" w:hAnsi="Arial" w:cs="Arial"/>
        </w:rPr>
        <w:t>g</w:t>
      </w:r>
      <w:r w:rsidR="00DB7813">
        <w:rPr>
          <w:rFonts w:ascii="Arial" w:hAnsi="Arial" w:cs="Arial"/>
        </w:rPr>
        <w:t>.</w:t>
      </w:r>
      <w:r w:rsidR="00354C53">
        <w:rPr>
          <w:rFonts w:ascii="Arial" w:hAnsi="Arial" w:cs="Arial"/>
        </w:rPr>
        <w:t xml:space="preserve"> BME and disabled).</w:t>
      </w:r>
      <w:r w:rsidR="00AD7E06">
        <w:rPr>
          <w:rFonts w:ascii="Arial" w:hAnsi="Arial" w:cs="Arial"/>
        </w:rPr>
        <w:t xml:space="preserve"> A</w:t>
      </w:r>
      <w:r w:rsidR="00BD7566">
        <w:rPr>
          <w:rFonts w:ascii="Arial" w:hAnsi="Arial" w:cs="Arial"/>
        </w:rPr>
        <w:t>lso, as</w:t>
      </w:r>
      <w:r w:rsidR="00AD7E06">
        <w:rPr>
          <w:rFonts w:ascii="Arial" w:hAnsi="Arial" w:cs="Arial"/>
        </w:rPr>
        <w:t xml:space="preserve"> </w:t>
      </w:r>
      <w:r w:rsidR="00291062">
        <w:rPr>
          <w:rFonts w:ascii="Arial" w:hAnsi="Arial" w:cs="Arial"/>
        </w:rPr>
        <w:t>2020/21 constituted</w:t>
      </w:r>
      <w:r w:rsidR="00AD7E06">
        <w:rPr>
          <w:rFonts w:ascii="Arial" w:hAnsi="Arial" w:cs="Arial"/>
        </w:rPr>
        <w:t xml:space="preserve"> the second year</w:t>
      </w:r>
      <w:r w:rsidR="00291062">
        <w:rPr>
          <w:rFonts w:ascii="Arial" w:hAnsi="Arial" w:cs="Arial"/>
        </w:rPr>
        <w:t xml:space="preserve"> of online examinations</w:t>
      </w:r>
      <w:r w:rsidR="00F34C28">
        <w:rPr>
          <w:rFonts w:ascii="Arial" w:hAnsi="Arial" w:cs="Arial"/>
        </w:rPr>
        <w:t xml:space="preserve">, </w:t>
      </w:r>
      <w:r w:rsidR="00F10401">
        <w:rPr>
          <w:rFonts w:ascii="Arial" w:hAnsi="Arial" w:cs="Arial"/>
        </w:rPr>
        <w:t xml:space="preserve">University staff setting examinations had the opportunity to design out opportunities </w:t>
      </w:r>
      <w:r w:rsidR="00690FCC">
        <w:rPr>
          <w:rFonts w:ascii="Arial" w:hAnsi="Arial" w:cs="Arial"/>
        </w:rPr>
        <w:t xml:space="preserve">for any student </w:t>
      </w:r>
      <w:r w:rsidR="00543397">
        <w:rPr>
          <w:rFonts w:ascii="Arial" w:hAnsi="Arial" w:cs="Arial"/>
        </w:rPr>
        <w:t>to gain</w:t>
      </w:r>
      <w:r w:rsidR="00690FCC">
        <w:rPr>
          <w:rFonts w:ascii="Arial" w:hAnsi="Arial" w:cs="Arial"/>
        </w:rPr>
        <w:t xml:space="preserve"> an unfair advantage </w:t>
      </w:r>
      <w:r w:rsidR="007C59E6">
        <w:rPr>
          <w:rFonts w:ascii="Arial" w:hAnsi="Arial" w:cs="Arial"/>
        </w:rPr>
        <w:t xml:space="preserve">from the </w:t>
      </w:r>
      <w:r w:rsidR="00713C40">
        <w:rPr>
          <w:rFonts w:ascii="Arial" w:hAnsi="Arial" w:cs="Arial"/>
        </w:rPr>
        <w:t>absence of invigilation</w:t>
      </w:r>
      <w:r w:rsidR="00D07DDB">
        <w:rPr>
          <w:rFonts w:ascii="Arial" w:hAnsi="Arial" w:cs="Arial"/>
        </w:rPr>
        <w:t xml:space="preserve">, with some subjects moving away from </w:t>
      </w:r>
      <w:r w:rsidR="00710230">
        <w:rPr>
          <w:rFonts w:ascii="Arial" w:hAnsi="Arial" w:cs="Arial"/>
        </w:rPr>
        <w:t>examination format assessments</w:t>
      </w:r>
      <w:r w:rsidR="00FF16F7">
        <w:rPr>
          <w:rFonts w:ascii="Arial" w:hAnsi="Arial" w:cs="Arial"/>
        </w:rPr>
        <w:t xml:space="preserve"> altogether</w:t>
      </w:r>
      <w:r w:rsidR="00713C40">
        <w:rPr>
          <w:rFonts w:ascii="Arial" w:hAnsi="Arial" w:cs="Arial"/>
        </w:rPr>
        <w:t xml:space="preserve">. </w:t>
      </w:r>
      <w:r w:rsidR="00FF16F7">
        <w:rPr>
          <w:rFonts w:ascii="Arial" w:hAnsi="Arial" w:cs="Arial"/>
        </w:rPr>
        <w:t xml:space="preserve"> </w:t>
      </w:r>
      <w:r w:rsidR="00525C9F">
        <w:rPr>
          <w:rFonts w:ascii="Arial" w:hAnsi="Arial" w:cs="Arial"/>
        </w:rPr>
        <w:t>There are,</w:t>
      </w:r>
      <w:r w:rsidR="00491F69">
        <w:rPr>
          <w:rFonts w:ascii="Arial" w:hAnsi="Arial" w:cs="Arial"/>
        </w:rPr>
        <w:t xml:space="preserve"> therefore</w:t>
      </w:r>
      <w:r w:rsidR="00525C9F">
        <w:rPr>
          <w:rFonts w:ascii="Arial" w:hAnsi="Arial" w:cs="Arial"/>
        </w:rPr>
        <w:t xml:space="preserve">, </w:t>
      </w:r>
      <w:r w:rsidR="003415D3">
        <w:rPr>
          <w:rFonts w:ascii="Arial" w:hAnsi="Arial" w:cs="Arial"/>
        </w:rPr>
        <w:t xml:space="preserve">several complex factors to be taken into account when considering the </w:t>
      </w:r>
      <w:r w:rsidR="001016DF">
        <w:rPr>
          <w:rFonts w:ascii="Arial" w:hAnsi="Arial" w:cs="Arial"/>
        </w:rPr>
        <w:t xml:space="preserve">4% </w:t>
      </w:r>
      <w:r w:rsidR="00DC774D">
        <w:rPr>
          <w:rFonts w:ascii="Arial" w:hAnsi="Arial" w:cs="Arial"/>
        </w:rPr>
        <w:t xml:space="preserve">rise in </w:t>
      </w:r>
      <w:r w:rsidR="001016DF">
        <w:rPr>
          <w:rFonts w:ascii="Arial" w:hAnsi="Arial" w:cs="Arial"/>
        </w:rPr>
        <w:t xml:space="preserve">good degrees awarded in </w:t>
      </w:r>
      <w:r w:rsidR="0043603E">
        <w:rPr>
          <w:rFonts w:ascii="Arial" w:hAnsi="Arial" w:cs="Arial"/>
        </w:rPr>
        <w:t xml:space="preserve">2020/21 </w:t>
      </w:r>
      <w:r w:rsidR="00D26188">
        <w:rPr>
          <w:rFonts w:ascii="Arial" w:hAnsi="Arial" w:cs="Arial"/>
        </w:rPr>
        <w:t xml:space="preserve">in comparison to 2019/20, </w:t>
      </w:r>
      <w:r w:rsidR="0043603E">
        <w:rPr>
          <w:rFonts w:ascii="Arial" w:hAnsi="Arial" w:cs="Arial"/>
        </w:rPr>
        <w:t xml:space="preserve">and it would </w:t>
      </w:r>
      <w:r w:rsidR="00491F69">
        <w:rPr>
          <w:rFonts w:ascii="Arial" w:hAnsi="Arial" w:cs="Arial"/>
        </w:rPr>
        <w:t xml:space="preserve">be simplistic </w:t>
      </w:r>
      <w:r w:rsidR="00266B7F">
        <w:rPr>
          <w:rFonts w:ascii="Arial" w:hAnsi="Arial" w:cs="Arial"/>
        </w:rPr>
        <w:t xml:space="preserve">to infer </w:t>
      </w:r>
      <w:r w:rsidR="00DD1AF3">
        <w:rPr>
          <w:rFonts w:ascii="Arial" w:hAnsi="Arial" w:cs="Arial"/>
        </w:rPr>
        <w:t xml:space="preserve">an association </w:t>
      </w:r>
      <w:r w:rsidR="00525C9F">
        <w:rPr>
          <w:rFonts w:ascii="Arial" w:hAnsi="Arial" w:cs="Arial"/>
        </w:rPr>
        <w:t>between th</w:t>
      </w:r>
      <w:r w:rsidR="0095113D">
        <w:rPr>
          <w:rFonts w:ascii="Arial" w:hAnsi="Arial" w:cs="Arial"/>
        </w:rPr>
        <w:t>is</w:t>
      </w:r>
      <w:r w:rsidR="00525C9F">
        <w:rPr>
          <w:rFonts w:ascii="Arial" w:hAnsi="Arial" w:cs="Arial"/>
        </w:rPr>
        <w:t xml:space="preserve"> </w:t>
      </w:r>
      <w:r w:rsidR="0043603E">
        <w:rPr>
          <w:rFonts w:ascii="Arial" w:hAnsi="Arial" w:cs="Arial"/>
        </w:rPr>
        <w:t xml:space="preserve">rise and </w:t>
      </w:r>
      <w:r w:rsidR="00A329A4">
        <w:rPr>
          <w:rFonts w:ascii="Arial" w:hAnsi="Arial" w:cs="Arial"/>
        </w:rPr>
        <w:t xml:space="preserve">the online format of the examinations. </w:t>
      </w:r>
      <w:r w:rsidR="00B40D1C">
        <w:rPr>
          <w:rFonts w:ascii="Arial" w:hAnsi="Arial" w:cs="Arial"/>
        </w:rPr>
        <w:t xml:space="preserve">A more nuanced investigation </w:t>
      </w:r>
      <w:r w:rsidR="0095113D">
        <w:rPr>
          <w:rFonts w:ascii="Arial" w:hAnsi="Arial" w:cs="Arial"/>
        </w:rPr>
        <w:t xml:space="preserve">is necessary. </w:t>
      </w:r>
    </w:p>
    <w:p w14:paraId="6BC13C56" w14:textId="5DDDA1F6" w:rsidR="00640BE1" w:rsidRDefault="00D61A88" w:rsidP="00640BE1">
      <w:pPr>
        <w:rPr>
          <w:rFonts w:ascii="Arial" w:hAnsi="Arial" w:cs="Arial"/>
        </w:rPr>
      </w:pPr>
      <w:r>
        <w:rPr>
          <w:rFonts w:ascii="Arial" w:hAnsi="Arial" w:cs="Arial"/>
        </w:rPr>
        <w:t>Given the contin</w:t>
      </w:r>
      <w:r w:rsidR="00C04EF8">
        <w:rPr>
          <w:rFonts w:ascii="Arial" w:hAnsi="Arial" w:cs="Arial"/>
        </w:rPr>
        <w:t>u</w:t>
      </w:r>
      <w:r>
        <w:rPr>
          <w:rFonts w:ascii="Arial" w:hAnsi="Arial" w:cs="Arial"/>
        </w:rPr>
        <w:t>ed Tier 4 level lockdown in Kent from Nov</w:t>
      </w:r>
      <w:r w:rsidR="00DB7813">
        <w:rPr>
          <w:rFonts w:ascii="Arial" w:hAnsi="Arial" w:cs="Arial"/>
        </w:rPr>
        <w:t>ember</w:t>
      </w:r>
      <w:r>
        <w:rPr>
          <w:rFonts w:ascii="Arial" w:hAnsi="Arial" w:cs="Arial"/>
        </w:rPr>
        <w:t xml:space="preserve"> 2021 – April </w:t>
      </w:r>
      <w:r w:rsidR="00DB7813">
        <w:rPr>
          <w:rFonts w:ascii="Arial" w:hAnsi="Arial" w:cs="Arial"/>
        </w:rPr>
        <w:t>20</w:t>
      </w:r>
      <w:r>
        <w:rPr>
          <w:rFonts w:ascii="Arial" w:hAnsi="Arial" w:cs="Arial"/>
        </w:rPr>
        <w:t>22,</w:t>
      </w:r>
      <w:r w:rsidR="00DB7813">
        <w:rPr>
          <w:rFonts w:ascii="Arial" w:hAnsi="Arial" w:cs="Arial"/>
        </w:rPr>
        <w:t xml:space="preserve"> </w:t>
      </w:r>
      <w:r>
        <w:rPr>
          <w:rFonts w:ascii="Arial" w:hAnsi="Arial" w:cs="Arial"/>
        </w:rPr>
        <w:t>t</w:t>
      </w:r>
      <w:r w:rsidR="00640BE1" w:rsidRPr="00640BE1">
        <w:rPr>
          <w:rFonts w:ascii="Arial" w:hAnsi="Arial" w:cs="Arial"/>
        </w:rPr>
        <w:t xml:space="preserve">he University </w:t>
      </w:r>
      <w:r w:rsidR="00640BE1">
        <w:rPr>
          <w:rFonts w:ascii="Arial" w:hAnsi="Arial" w:cs="Arial"/>
        </w:rPr>
        <w:t xml:space="preserve">also </w:t>
      </w:r>
      <w:r w:rsidR="00640BE1" w:rsidRPr="00640BE1">
        <w:rPr>
          <w:rFonts w:ascii="Arial" w:hAnsi="Arial" w:cs="Arial"/>
        </w:rPr>
        <w:t xml:space="preserve">authorised </w:t>
      </w:r>
      <w:r w:rsidR="00DB7813">
        <w:rPr>
          <w:rFonts w:ascii="Arial" w:hAnsi="Arial" w:cs="Arial"/>
        </w:rPr>
        <w:t>Divisions</w:t>
      </w:r>
      <w:r w:rsidR="00640BE1" w:rsidRPr="00640BE1">
        <w:rPr>
          <w:rFonts w:ascii="Arial" w:hAnsi="Arial" w:cs="Arial"/>
        </w:rPr>
        <w:t xml:space="preserve"> to allow a flexible</w:t>
      </w:r>
      <w:r w:rsidR="00640BE1">
        <w:rPr>
          <w:rFonts w:ascii="Arial" w:hAnsi="Arial" w:cs="Arial"/>
        </w:rPr>
        <w:t xml:space="preserve"> </w:t>
      </w:r>
      <w:r w:rsidR="00640BE1" w:rsidRPr="00640BE1">
        <w:rPr>
          <w:rFonts w:ascii="Arial" w:hAnsi="Arial" w:cs="Arial"/>
        </w:rPr>
        <w:t>submission period equating to a week’s extension for coursework throughout the</w:t>
      </w:r>
      <w:r w:rsidR="00640BE1">
        <w:rPr>
          <w:rFonts w:ascii="Arial" w:hAnsi="Arial" w:cs="Arial"/>
        </w:rPr>
        <w:t xml:space="preserve"> </w:t>
      </w:r>
      <w:r w:rsidR="00640BE1" w:rsidRPr="00640BE1">
        <w:rPr>
          <w:rFonts w:ascii="Arial" w:hAnsi="Arial" w:cs="Arial"/>
        </w:rPr>
        <w:t>Spring Term.</w:t>
      </w:r>
    </w:p>
    <w:p w14:paraId="7246D395" w14:textId="593FF64B" w:rsidR="009F77B2" w:rsidRPr="009F77B2" w:rsidRDefault="009F77B2" w:rsidP="009F77B2">
      <w:pPr>
        <w:rPr>
          <w:rFonts w:ascii="Arial" w:hAnsi="Arial" w:cs="Arial"/>
          <w:b/>
        </w:rPr>
      </w:pPr>
      <w:r w:rsidRPr="009F77B2">
        <w:rPr>
          <w:rFonts w:ascii="Arial" w:hAnsi="Arial" w:cs="Arial"/>
          <w:b/>
        </w:rPr>
        <w:t>Method of Calculating Degree Classifications</w:t>
      </w:r>
    </w:p>
    <w:p w14:paraId="222FF557" w14:textId="69D9DA7C" w:rsidR="009F77B2" w:rsidRPr="009F77B2" w:rsidRDefault="009F77B2" w:rsidP="009F77B2">
      <w:pPr>
        <w:rPr>
          <w:rFonts w:ascii="Arial" w:hAnsi="Arial" w:cs="Arial"/>
        </w:rPr>
      </w:pPr>
      <w:r w:rsidRPr="009F77B2">
        <w:rPr>
          <w:rFonts w:ascii="Arial" w:hAnsi="Arial" w:cs="Arial"/>
        </w:rPr>
        <w:t xml:space="preserve">The University uses </w:t>
      </w:r>
      <w:hyperlink r:id="rId26" w:history="1">
        <w:r w:rsidRPr="00155384">
          <w:rPr>
            <w:rStyle w:val="Hyperlink"/>
            <w:rFonts w:ascii="Arial" w:hAnsi="Arial" w:cs="Arial"/>
          </w:rPr>
          <w:t>two methods of classification</w:t>
        </w:r>
      </w:hyperlink>
      <w:r w:rsidRPr="009F77B2">
        <w:rPr>
          <w:rFonts w:ascii="Arial" w:hAnsi="Arial" w:cs="Arial"/>
        </w:rPr>
        <w:t xml:space="preserve"> for its taught degree </w:t>
      </w:r>
      <w:r w:rsidR="00596349">
        <w:rPr>
          <w:rFonts w:ascii="Arial" w:hAnsi="Arial" w:cs="Arial"/>
        </w:rPr>
        <w:t>course</w:t>
      </w:r>
      <w:r w:rsidRPr="009F77B2">
        <w:rPr>
          <w:rFonts w:ascii="Arial" w:hAnsi="Arial" w:cs="Arial"/>
        </w:rPr>
        <w:t xml:space="preserve">s—the ‘average’ method and the ‘preponderance’ method—with students awarded the better result achieved under either methodology.  Classification under the ‘average’ method is based on the calculation of a final weighted </w:t>
      </w:r>
      <w:r w:rsidR="00596349">
        <w:rPr>
          <w:rFonts w:ascii="Arial" w:hAnsi="Arial" w:cs="Arial"/>
        </w:rPr>
        <w:t>course</w:t>
      </w:r>
      <w:r w:rsidRPr="009F77B2">
        <w:rPr>
          <w:rFonts w:ascii="Arial" w:hAnsi="Arial" w:cs="Arial"/>
        </w:rPr>
        <w:t xml:space="preserve"> average mark, which is used to place student performance in the relevant honours degree classification band.  The ‘preponderance’ method of classification requires the achievement of a final weighted </w:t>
      </w:r>
      <w:r w:rsidR="00596349">
        <w:rPr>
          <w:rFonts w:ascii="Arial" w:hAnsi="Arial" w:cs="Arial"/>
        </w:rPr>
        <w:t>cours</w:t>
      </w:r>
      <w:r w:rsidRPr="009F77B2">
        <w:rPr>
          <w:rFonts w:ascii="Arial" w:hAnsi="Arial" w:cs="Arial"/>
        </w:rPr>
        <w:t xml:space="preserve">e average mark that falls within 3% of the boundary for a higher class band and </w:t>
      </w:r>
      <w:r w:rsidR="00596349">
        <w:rPr>
          <w:rFonts w:ascii="Arial" w:hAnsi="Arial" w:cs="Arial"/>
        </w:rPr>
        <w:t xml:space="preserve">for </w:t>
      </w:r>
      <w:r w:rsidRPr="009F77B2">
        <w:rPr>
          <w:rFonts w:ascii="Arial" w:hAnsi="Arial" w:cs="Arial"/>
        </w:rPr>
        <w:t xml:space="preserve">at least 50% of the contributing credits to be achieved in that higher band.  </w:t>
      </w:r>
    </w:p>
    <w:p w14:paraId="24E3C7F9" w14:textId="633D3653" w:rsidR="009F77B2" w:rsidRPr="009F77B2" w:rsidRDefault="009F77B2" w:rsidP="009F77B2">
      <w:pPr>
        <w:rPr>
          <w:rFonts w:ascii="Arial" w:hAnsi="Arial" w:cs="Arial"/>
        </w:rPr>
      </w:pPr>
      <w:r w:rsidRPr="009F77B2">
        <w:rPr>
          <w:rFonts w:ascii="Arial" w:hAnsi="Arial" w:cs="Arial"/>
        </w:rPr>
        <w:t xml:space="preserve">While the ‘average’ method favours those </w:t>
      </w:r>
      <w:r w:rsidR="00BC246C">
        <w:rPr>
          <w:rFonts w:ascii="Arial" w:hAnsi="Arial" w:cs="Arial"/>
        </w:rPr>
        <w:t>course</w:t>
      </w:r>
      <w:r w:rsidRPr="009F77B2">
        <w:rPr>
          <w:rFonts w:ascii="Arial" w:hAnsi="Arial" w:cs="Arial"/>
        </w:rPr>
        <w:t xml:space="preserve">s which allow for high numerical achievement in comparatively few modules, the ‘preponderance’ method rewards more consistent achievement at a higher level across the contributing stages.  </w:t>
      </w:r>
    </w:p>
    <w:p w14:paraId="517B6C3B" w14:textId="7586134B" w:rsidR="009F77B2" w:rsidRPr="009F77B2" w:rsidRDefault="009F77B2" w:rsidP="009F77B2">
      <w:pPr>
        <w:rPr>
          <w:rFonts w:ascii="Arial" w:hAnsi="Arial" w:cs="Arial"/>
        </w:rPr>
      </w:pPr>
      <w:r w:rsidRPr="009F77B2">
        <w:rPr>
          <w:rFonts w:ascii="Arial" w:hAnsi="Arial" w:cs="Arial"/>
        </w:rPr>
        <w:t xml:space="preserve">Condonement and compensation may be applied to </w:t>
      </w:r>
      <w:r w:rsidR="00030748">
        <w:rPr>
          <w:rFonts w:ascii="Arial" w:hAnsi="Arial" w:cs="Arial"/>
        </w:rPr>
        <w:t xml:space="preserve">relevant </w:t>
      </w:r>
      <w:r w:rsidRPr="009F77B2">
        <w:rPr>
          <w:rFonts w:ascii="Arial" w:hAnsi="Arial" w:cs="Arial"/>
        </w:rPr>
        <w:t>modules up to a maximum cumulative total of</w:t>
      </w:r>
      <w:r w:rsidR="00596349">
        <w:rPr>
          <w:rFonts w:ascii="Arial" w:hAnsi="Arial" w:cs="Arial"/>
        </w:rPr>
        <w:t xml:space="preserve"> 25% of</w:t>
      </w:r>
      <w:r w:rsidRPr="009F77B2">
        <w:rPr>
          <w:rFonts w:ascii="Arial" w:hAnsi="Arial" w:cs="Arial"/>
        </w:rPr>
        <w:t xml:space="preserve"> the credit required for </w:t>
      </w:r>
      <w:r w:rsidR="00596349">
        <w:rPr>
          <w:rFonts w:ascii="Arial" w:hAnsi="Arial" w:cs="Arial"/>
        </w:rPr>
        <w:t>the</w:t>
      </w:r>
      <w:r w:rsidRPr="009F77B2">
        <w:rPr>
          <w:rFonts w:ascii="Arial" w:hAnsi="Arial" w:cs="Arial"/>
        </w:rPr>
        <w:t xml:space="preserve"> stage, an allowance which reflects the norms of national credit systems. </w:t>
      </w:r>
    </w:p>
    <w:p w14:paraId="06F3E5EF" w14:textId="77777777" w:rsidR="009F77B2" w:rsidRPr="009F77B2" w:rsidRDefault="009F77B2" w:rsidP="009F77B2">
      <w:pPr>
        <w:rPr>
          <w:rFonts w:ascii="Arial" w:hAnsi="Arial" w:cs="Arial"/>
        </w:rPr>
      </w:pPr>
      <w:r w:rsidRPr="009F77B2">
        <w:rPr>
          <w:rFonts w:ascii="Arial" w:hAnsi="Arial" w:cs="Arial"/>
        </w:rPr>
        <w:t>Students are normally allowed a maximum of two reassessment opportunities where a module has been failed and compensation or condonement are not applied. Component(s) that are reassessed are not capped at the pass mark but the overall module mark is capped.</w:t>
      </w:r>
    </w:p>
    <w:p w14:paraId="55C8B4C6" w14:textId="77777777" w:rsidR="009F77B2" w:rsidRPr="009F77B2" w:rsidRDefault="009F77B2" w:rsidP="009F77B2">
      <w:pPr>
        <w:rPr>
          <w:rFonts w:ascii="Arial" w:hAnsi="Arial" w:cs="Arial"/>
        </w:rPr>
      </w:pPr>
      <w:r w:rsidRPr="009F77B2">
        <w:rPr>
          <w:rFonts w:ascii="Arial" w:hAnsi="Arial" w:cs="Arial"/>
        </w:rPr>
        <w:t xml:space="preserve">The University does not operate any zone of consideration for raising a ‘borderline’ performance to a higher classification band on a discretionary basis.  Classification is based on the marks achieved. </w:t>
      </w:r>
    </w:p>
    <w:p w14:paraId="0FCBFD8E" w14:textId="1D1917B8" w:rsidR="009F77B2" w:rsidRDefault="009F77B2" w:rsidP="009F77B2">
      <w:pPr>
        <w:rPr>
          <w:rFonts w:ascii="Arial" w:hAnsi="Arial" w:cs="Arial"/>
        </w:rPr>
      </w:pPr>
      <w:r w:rsidRPr="009F77B2">
        <w:rPr>
          <w:rFonts w:ascii="Arial" w:hAnsi="Arial" w:cs="Arial"/>
        </w:rPr>
        <w:t>Details of these methods are published on the University websites and are available to students. Student’s progression/award results are communicated via Kent’s Student Data System.</w:t>
      </w:r>
    </w:p>
    <w:p w14:paraId="43E947A7" w14:textId="122EE185" w:rsidR="00E23C59" w:rsidRDefault="00514905" w:rsidP="00E23C59">
      <w:pPr>
        <w:rPr>
          <w:rFonts w:ascii="Arial" w:hAnsi="Arial" w:cs="Arial"/>
        </w:rPr>
      </w:pPr>
      <w:r w:rsidRPr="00514905">
        <w:rPr>
          <w:rFonts w:ascii="Arial" w:hAnsi="Arial" w:cs="Arial"/>
          <w:b/>
        </w:rPr>
        <w:t xml:space="preserve">Covid-19 note: </w:t>
      </w:r>
      <w:r w:rsidR="00F62690" w:rsidRPr="00F62690">
        <w:rPr>
          <w:rFonts w:ascii="Arial" w:hAnsi="Arial" w:cs="Arial"/>
          <w:bCs/>
        </w:rPr>
        <w:t>in 2019/20,</w:t>
      </w:r>
      <w:r w:rsidR="00F62690">
        <w:rPr>
          <w:rFonts w:ascii="Arial" w:hAnsi="Arial" w:cs="Arial"/>
          <w:b/>
        </w:rPr>
        <w:t xml:space="preserve"> </w:t>
      </w:r>
      <w:r w:rsidR="00131CD0" w:rsidRPr="00131CD0">
        <w:rPr>
          <w:rFonts w:ascii="Arial" w:hAnsi="Arial" w:cs="Arial"/>
          <w:bCs/>
        </w:rPr>
        <w:t>Kent’s</w:t>
      </w:r>
      <w:r w:rsidR="00131CD0">
        <w:rPr>
          <w:rFonts w:ascii="Arial" w:hAnsi="Arial" w:cs="Arial"/>
          <w:b/>
        </w:rPr>
        <w:t xml:space="preserve"> </w:t>
      </w:r>
      <w:r w:rsidR="00A82151" w:rsidRPr="00A82151">
        <w:rPr>
          <w:rFonts w:ascii="Arial" w:hAnsi="Arial" w:cs="Arial"/>
        </w:rPr>
        <w:t>‘</w:t>
      </w:r>
      <w:r w:rsidR="007F1DA4">
        <w:rPr>
          <w:rFonts w:ascii="Arial" w:hAnsi="Arial" w:cs="Arial"/>
        </w:rPr>
        <w:t>n</w:t>
      </w:r>
      <w:r w:rsidR="00A82151" w:rsidRPr="00A82151">
        <w:rPr>
          <w:rFonts w:ascii="Arial" w:hAnsi="Arial" w:cs="Arial"/>
        </w:rPr>
        <w:t>o detriment’ policy allowed for the calculation of an alternative average for the Stage based on the marks achieved for assessments completed up to and including 14/03/20</w:t>
      </w:r>
      <w:r w:rsidR="00A82151">
        <w:rPr>
          <w:rFonts w:ascii="Arial" w:hAnsi="Arial" w:cs="Arial"/>
        </w:rPr>
        <w:t>20</w:t>
      </w:r>
      <w:r w:rsidR="00E23C59">
        <w:rPr>
          <w:rFonts w:ascii="Arial" w:hAnsi="Arial" w:cs="Arial"/>
        </w:rPr>
        <w:t xml:space="preserve"> (‘Safety Net Calculation’)</w:t>
      </w:r>
      <w:r w:rsidR="00A82151">
        <w:rPr>
          <w:rFonts w:ascii="Arial" w:hAnsi="Arial" w:cs="Arial"/>
        </w:rPr>
        <w:t xml:space="preserve">. </w:t>
      </w:r>
      <w:r w:rsidR="00E23C59" w:rsidRPr="00E23C59">
        <w:rPr>
          <w:rFonts w:ascii="Arial" w:hAnsi="Arial" w:cs="Arial"/>
        </w:rPr>
        <w:t xml:space="preserve">Any Safety Net Calculation undertaken </w:t>
      </w:r>
      <w:r w:rsidR="00E23C59">
        <w:rPr>
          <w:rFonts w:ascii="Arial" w:hAnsi="Arial" w:cs="Arial"/>
        </w:rPr>
        <w:t>in 2019/20</w:t>
      </w:r>
      <w:r w:rsidR="00E23C59" w:rsidRPr="00E23C59">
        <w:rPr>
          <w:rFonts w:ascii="Arial" w:hAnsi="Arial" w:cs="Arial"/>
        </w:rPr>
        <w:t xml:space="preserve"> for non-final stage students </w:t>
      </w:r>
      <w:r w:rsidR="00E23C59">
        <w:rPr>
          <w:rFonts w:ascii="Arial" w:hAnsi="Arial" w:cs="Arial"/>
        </w:rPr>
        <w:t xml:space="preserve">was </w:t>
      </w:r>
      <w:r w:rsidR="00E23C59" w:rsidRPr="00E23C59">
        <w:rPr>
          <w:rFonts w:ascii="Arial" w:hAnsi="Arial" w:cs="Arial"/>
        </w:rPr>
        <w:t>considered at the point of classification</w:t>
      </w:r>
      <w:r w:rsidR="00E23C59">
        <w:rPr>
          <w:rFonts w:ascii="Arial" w:hAnsi="Arial" w:cs="Arial"/>
        </w:rPr>
        <w:t xml:space="preserve"> in 2020/21</w:t>
      </w:r>
      <w:r w:rsidR="0096548B">
        <w:rPr>
          <w:rFonts w:ascii="Arial" w:hAnsi="Arial" w:cs="Arial"/>
        </w:rPr>
        <w:t xml:space="preserve">, </w:t>
      </w:r>
      <w:r w:rsidR="00E23C59">
        <w:rPr>
          <w:rFonts w:ascii="Arial" w:hAnsi="Arial" w:cs="Arial"/>
        </w:rPr>
        <w:t>where</w:t>
      </w:r>
      <w:r w:rsidR="00E23C59" w:rsidRPr="00E23C59">
        <w:rPr>
          <w:rFonts w:ascii="Arial" w:hAnsi="Arial" w:cs="Arial"/>
        </w:rPr>
        <w:t xml:space="preserve"> </w:t>
      </w:r>
      <w:r w:rsidR="0096548B">
        <w:rPr>
          <w:rFonts w:ascii="Arial" w:hAnsi="Arial" w:cs="Arial"/>
        </w:rPr>
        <w:t xml:space="preserve">it was </w:t>
      </w:r>
      <w:r w:rsidR="00E23C59" w:rsidRPr="00E23C59">
        <w:rPr>
          <w:rFonts w:ascii="Arial" w:hAnsi="Arial" w:cs="Arial"/>
        </w:rPr>
        <w:t>relevant to the student and course. This means that where</w:t>
      </w:r>
      <w:r w:rsidR="008515C4">
        <w:rPr>
          <w:rFonts w:ascii="Arial" w:hAnsi="Arial" w:cs="Arial"/>
        </w:rPr>
        <w:t xml:space="preserve"> 2019/20</w:t>
      </w:r>
      <w:r w:rsidR="00E23C59" w:rsidRPr="00E23C59">
        <w:rPr>
          <w:rFonts w:ascii="Arial" w:hAnsi="Arial" w:cs="Arial"/>
        </w:rPr>
        <w:t xml:space="preserve"> Safety Net Calculation average mark was higher than the actual average</w:t>
      </w:r>
      <w:r w:rsidR="008515C4">
        <w:rPr>
          <w:rFonts w:ascii="Arial" w:hAnsi="Arial" w:cs="Arial"/>
        </w:rPr>
        <w:t xml:space="preserve"> </w:t>
      </w:r>
      <w:r w:rsidR="00E23C59" w:rsidRPr="00E23C59">
        <w:rPr>
          <w:rFonts w:ascii="Arial" w:hAnsi="Arial" w:cs="Arial"/>
        </w:rPr>
        <w:t xml:space="preserve">mark achieved for the stage, the Safety Net Calculation average </w:t>
      </w:r>
      <w:r w:rsidR="008515C4">
        <w:rPr>
          <w:rFonts w:ascii="Arial" w:hAnsi="Arial" w:cs="Arial"/>
        </w:rPr>
        <w:t>was</w:t>
      </w:r>
      <w:r w:rsidR="00E23C59" w:rsidRPr="00E23C59">
        <w:rPr>
          <w:rFonts w:ascii="Arial" w:hAnsi="Arial" w:cs="Arial"/>
        </w:rPr>
        <w:t xml:space="preserve"> used instead</w:t>
      </w:r>
      <w:r w:rsidR="008515C4">
        <w:rPr>
          <w:rFonts w:ascii="Arial" w:hAnsi="Arial" w:cs="Arial"/>
        </w:rPr>
        <w:t xml:space="preserve"> </w:t>
      </w:r>
      <w:r w:rsidR="00E23C59" w:rsidRPr="00E23C59">
        <w:rPr>
          <w:rFonts w:ascii="Arial" w:hAnsi="Arial" w:cs="Arial"/>
        </w:rPr>
        <w:t>when calculating the final overall average mark for degree classifications.</w:t>
      </w:r>
      <w:r w:rsidR="008515C4">
        <w:rPr>
          <w:rFonts w:ascii="Arial" w:hAnsi="Arial" w:cs="Arial"/>
        </w:rPr>
        <w:t xml:space="preserve"> In 2020/21</w:t>
      </w:r>
      <w:r w:rsidR="00E23C59" w:rsidRPr="00E23C59">
        <w:rPr>
          <w:rFonts w:ascii="Arial" w:hAnsi="Arial" w:cs="Arial"/>
        </w:rPr>
        <w:t>, with national lockdowns taking place in November and January 2021,</w:t>
      </w:r>
      <w:r w:rsidR="008515C4">
        <w:rPr>
          <w:rFonts w:ascii="Arial" w:hAnsi="Arial" w:cs="Arial"/>
        </w:rPr>
        <w:t xml:space="preserve"> </w:t>
      </w:r>
      <w:r w:rsidR="00E23C59" w:rsidRPr="00E23C59">
        <w:rPr>
          <w:rFonts w:ascii="Arial" w:hAnsi="Arial" w:cs="Arial"/>
        </w:rPr>
        <w:t xml:space="preserve">there </w:t>
      </w:r>
      <w:r w:rsidR="008515C4">
        <w:rPr>
          <w:rFonts w:ascii="Arial" w:hAnsi="Arial" w:cs="Arial"/>
        </w:rPr>
        <w:t>were</w:t>
      </w:r>
      <w:r w:rsidR="00E23C59" w:rsidRPr="00E23C59">
        <w:rPr>
          <w:rFonts w:ascii="Arial" w:hAnsi="Arial" w:cs="Arial"/>
        </w:rPr>
        <w:t xml:space="preserve"> not enough marks already obtained with which to benchmark performance</w:t>
      </w:r>
      <w:r w:rsidR="008515C4">
        <w:rPr>
          <w:rFonts w:ascii="Arial" w:hAnsi="Arial" w:cs="Arial"/>
        </w:rPr>
        <w:t xml:space="preserve"> and </w:t>
      </w:r>
      <w:r w:rsidR="008515C4" w:rsidRPr="00E23C59">
        <w:rPr>
          <w:rFonts w:ascii="Arial" w:hAnsi="Arial" w:cs="Arial"/>
        </w:rPr>
        <w:t xml:space="preserve">the Safety Net Calculation </w:t>
      </w:r>
      <w:r w:rsidR="008515C4">
        <w:rPr>
          <w:rFonts w:ascii="Arial" w:hAnsi="Arial" w:cs="Arial"/>
        </w:rPr>
        <w:t>was not</w:t>
      </w:r>
      <w:r w:rsidR="008515C4" w:rsidRPr="00E23C59">
        <w:rPr>
          <w:rFonts w:ascii="Arial" w:hAnsi="Arial" w:cs="Arial"/>
        </w:rPr>
        <w:t xml:space="preserve"> used for 2020/21</w:t>
      </w:r>
      <w:r w:rsidR="008515C4">
        <w:rPr>
          <w:rFonts w:ascii="Arial" w:hAnsi="Arial" w:cs="Arial"/>
        </w:rPr>
        <w:t>.</w:t>
      </w:r>
    </w:p>
    <w:p w14:paraId="55595F4E" w14:textId="4E496B1D" w:rsidR="00DB7813" w:rsidRPr="00FF52AE" w:rsidRDefault="0096548B" w:rsidP="00080D51">
      <w:pPr>
        <w:rPr>
          <w:rFonts w:ascii="Arial" w:hAnsi="Arial" w:cs="Arial"/>
        </w:rPr>
      </w:pPr>
      <w:r w:rsidRPr="00FF52AE">
        <w:rPr>
          <w:rFonts w:ascii="Arial" w:hAnsi="Arial" w:cs="Arial"/>
        </w:rPr>
        <w:t>2019/20 a</w:t>
      </w:r>
      <w:r w:rsidR="00080D51" w:rsidRPr="00FF52AE">
        <w:rPr>
          <w:rFonts w:ascii="Arial" w:hAnsi="Arial" w:cs="Arial"/>
        </w:rPr>
        <w:t>nalysis show</w:t>
      </w:r>
      <w:r w:rsidRPr="00FF52AE">
        <w:rPr>
          <w:rFonts w:ascii="Arial" w:hAnsi="Arial" w:cs="Arial"/>
        </w:rPr>
        <w:t>ed</w:t>
      </w:r>
      <w:r w:rsidR="00080D51" w:rsidRPr="00FF52AE">
        <w:rPr>
          <w:rFonts w:ascii="Arial" w:hAnsi="Arial" w:cs="Arial"/>
        </w:rPr>
        <w:t xml:space="preserve"> that the overall classification uplift resulting from use of the Safety Net </w:t>
      </w:r>
      <w:r w:rsidRPr="00FF52AE">
        <w:rPr>
          <w:rFonts w:ascii="Arial" w:hAnsi="Arial" w:cs="Arial"/>
        </w:rPr>
        <w:t>C</w:t>
      </w:r>
      <w:r w:rsidR="00080D51" w:rsidRPr="00FF52AE">
        <w:rPr>
          <w:rFonts w:ascii="Arial" w:hAnsi="Arial" w:cs="Arial"/>
        </w:rPr>
        <w:t>alculation in isolation of the other ‘no detriment’ measures was lower than 1%.</w:t>
      </w:r>
      <w:r w:rsidRPr="00FF52AE">
        <w:rPr>
          <w:rFonts w:ascii="Arial" w:hAnsi="Arial" w:cs="Arial"/>
        </w:rPr>
        <w:t xml:space="preserve"> </w:t>
      </w:r>
      <w:r w:rsidR="00FF52AE">
        <w:rPr>
          <w:rFonts w:ascii="Arial" w:hAnsi="Arial" w:cs="Arial"/>
        </w:rPr>
        <w:t xml:space="preserve">Given a small proportion of impacted students, </w:t>
      </w:r>
      <w:r w:rsidRPr="00FF52AE">
        <w:rPr>
          <w:rFonts w:ascii="Arial" w:hAnsi="Arial" w:cs="Arial"/>
        </w:rPr>
        <w:t xml:space="preserve">Kent </w:t>
      </w:r>
      <w:r w:rsidR="00FF52AE">
        <w:rPr>
          <w:rFonts w:ascii="Arial" w:hAnsi="Arial" w:cs="Arial"/>
        </w:rPr>
        <w:t xml:space="preserve">has </w:t>
      </w:r>
      <w:r w:rsidR="00FF52AE" w:rsidRPr="00FF52AE">
        <w:rPr>
          <w:rFonts w:ascii="Arial" w:hAnsi="Arial" w:cs="Arial"/>
        </w:rPr>
        <w:t>decided not to perform a similar analysis for 2020/</w:t>
      </w:r>
      <w:r w:rsidR="00DB7813" w:rsidRPr="00FF52AE">
        <w:rPr>
          <w:rFonts w:ascii="Arial" w:hAnsi="Arial" w:cs="Arial"/>
        </w:rPr>
        <w:t>21</w:t>
      </w:r>
      <w:r w:rsidR="00DB7813">
        <w:rPr>
          <w:rFonts w:ascii="Arial" w:hAnsi="Arial" w:cs="Arial"/>
        </w:rPr>
        <w:t xml:space="preserve"> </w:t>
      </w:r>
      <w:r w:rsidR="00DB7813" w:rsidRPr="00FF52AE">
        <w:rPr>
          <w:rFonts w:ascii="Arial" w:hAnsi="Arial" w:cs="Arial"/>
        </w:rPr>
        <w:t>as</w:t>
      </w:r>
      <w:r w:rsidR="00FF52AE" w:rsidRPr="00FF52AE">
        <w:rPr>
          <w:rFonts w:ascii="Arial" w:hAnsi="Arial" w:cs="Arial"/>
        </w:rPr>
        <w:t xml:space="preserve"> it </w:t>
      </w:r>
      <w:r w:rsidRPr="00FF52AE">
        <w:rPr>
          <w:rFonts w:ascii="Arial" w:hAnsi="Arial" w:cs="Arial"/>
        </w:rPr>
        <w:t xml:space="preserve">is confident that the </w:t>
      </w:r>
      <w:r w:rsidRPr="00FF52AE">
        <w:rPr>
          <w:rFonts w:ascii="Arial" w:hAnsi="Arial" w:cs="Arial"/>
        </w:rPr>
        <w:lastRenderedPageBreak/>
        <w:t xml:space="preserve">Safety Net Calculation alone is not a cause for </w:t>
      </w:r>
      <w:r w:rsidR="00FF52AE" w:rsidRPr="00FF52AE">
        <w:rPr>
          <w:rFonts w:ascii="Arial" w:hAnsi="Arial" w:cs="Arial"/>
        </w:rPr>
        <w:t>the degree inflation</w:t>
      </w:r>
      <w:r w:rsidR="007F6AC8">
        <w:rPr>
          <w:rFonts w:ascii="Arial" w:hAnsi="Arial" w:cs="Arial"/>
        </w:rPr>
        <w:t>, b</w:t>
      </w:r>
      <w:r w:rsidR="00D96935">
        <w:rPr>
          <w:rFonts w:ascii="Arial" w:hAnsi="Arial" w:cs="Arial"/>
        </w:rPr>
        <w:t xml:space="preserve">ased on the analysis already undertaken (see above). </w:t>
      </w:r>
    </w:p>
    <w:p w14:paraId="1FCADA19" w14:textId="36C1D288" w:rsidR="009F77B2" w:rsidRPr="009F77B2" w:rsidRDefault="009F77B2" w:rsidP="009F77B2">
      <w:pPr>
        <w:rPr>
          <w:rFonts w:ascii="Arial" w:hAnsi="Arial" w:cs="Arial"/>
          <w:b/>
        </w:rPr>
      </w:pPr>
      <w:r w:rsidRPr="009F77B2">
        <w:rPr>
          <w:rFonts w:ascii="Arial" w:hAnsi="Arial" w:cs="Arial"/>
          <w:b/>
        </w:rPr>
        <w:t>Academic Governance</w:t>
      </w:r>
    </w:p>
    <w:p w14:paraId="5B650E6A" w14:textId="0C78D041" w:rsidR="00CC70BC" w:rsidRDefault="009F77B2" w:rsidP="009F77B2">
      <w:pPr>
        <w:rPr>
          <w:rFonts w:ascii="Arial" w:hAnsi="Arial" w:cs="Arial"/>
        </w:rPr>
      </w:pPr>
      <w:r w:rsidRPr="009F77B2">
        <w:rPr>
          <w:rFonts w:ascii="Arial" w:hAnsi="Arial" w:cs="Arial"/>
        </w:rPr>
        <w:t xml:space="preserve">The University’s academic governance arrangements operate to ensure that qualifications awarded to students hold their value at the point of qualification and over time, in line with sector recognised standards.  </w:t>
      </w:r>
    </w:p>
    <w:p w14:paraId="0A177B60" w14:textId="4DCAC0D5" w:rsidR="00CC70BC" w:rsidRDefault="009F77B2" w:rsidP="009F77B2">
      <w:pPr>
        <w:rPr>
          <w:rFonts w:ascii="Arial" w:hAnsi="Arial" w:cs="Arial"/>
        </w:rPr>
      </w:pPr>
      <w:r w:rsidRPr="009F77B2">
        <w:rPr>
          <w:rFonts w:ascii="Arial" w:hAnsi="Arial" w:cs="Arial"/>
        </w:rPr>
        <w:t xml:space="preserve">The University’s Education </w:t>
      </w:r>
      <w:r w:rsidR="00596349">
        <w:rPr>
          <w:rFonts w:ascii="Arial" w:hAnsi="Arial" w:cs="Arial"/>
        </w:rPr>
        <w:t xml:space="preserve">and Student Experience </w:t>
      </w:r>
      <w:r w:rsidRPr="009F77B2">
        <w:rPr>
          <w:rFonts w:ascii="Arial" w:hAnsi="Arial" w:cs="Arial"/>
        </w:rPr>
        <w:t>Board</w:t>
      </w:r>
      <w:r w:rsidR="00596349">
        <w:rPr>
          <w:rFonts w:ascii="Arial" w:hAnsi="Arial" w:cs="Arial"/>
        </w:rPr>
        <w:t xml:space="preserve"> (ESEB)</w:t>
      </w:r>
      <w:r w:rsidRPr="009F77B2">
        <w:rPr>
          <w:rFonts w:ascii="Arial" w:hAnsi="Arial" w:cs="Arial"/>
        </w:rPr>
        <w:t xml:space="preserve">, which includes </w:t>
      </w:r>
      <w:r w:rsidR="00596349">
        <w:rPr>
          <w:rFonts w:ascii="Arial" w:hAnsi="Arial" w:cs="Arial"/>
        </w:rPr>
        <w:t>Divisional</w:t>
      </w:r>
      <w:r w:rsidRPr="009F77B2">
        <w:rPr>
          <w:rFonts w:ascii="Arial" w:hAnsi="Arial" w:cs="Arial"/>
        </w:rPr>
        <w:t xml:space="preserve"> representation, analyses five yearly trends in the proportions of ‘good degrees’ awarded by </w:t>
      </w:r>
      <w:r w:rsidR="00596349">
        <w:rPr>
          <w:rFonts w:ascii="Arial" w:hAnsi="Arial" w:cs="Arial"/>
        </w:rPr>
        <w:t>Divisions, partner providers</w:t>
      </w:r>
      <w:r w:rsidRPr="009F77B2">
        <w:rPr>
          <w:rFonts w:ascii="Arial" w:hAnsi="Arial" w:cs="Arial"/>
        </w:rPr>
        <w:t xml:space="preserve"> and campus of delivery at its first meeting in the academic year.  </w:t>
      </w:r>
    </w:p>
    <w:p w14:paraId="60125173" w14:textId="52E55076" w:rsidR="0003121B" w:rsidRPr="0003121B" w:rsidRDefault="009F77B2" w:rsidP="009F77B2">
      <w:pPr>
        <w:rPr>
          <w:rFonts w:ascii="Arial" w:hAnsi="Arial" w:cs="Arial"/>
        </w:rPr>
      </w:pPr>
      <w:r w:rsidRPr="009F77B2">
        <w:rPr>
          <w:rFonts w:ascii="Arial" w:hAnsi="Arial" w:cs="Arial"/>
        </w:rPr>
        <w:t>Similarly, the recommendations to the University made by external examiners in their annual reports are considered in</w:t>
      </w:r>
      <w:r>
        <w:rPr>
          <w:rFonts w:ascii="Arial" w:hAnsi="Arial" w:cs="Arial"/>
        </w:rPr>
        <w:t xml:space="preserve"> detail by </w:t>
      </w:r>
      <w:r w:rsidR="00596349">
        <w:rPr>
          <w:rFonts w:ascii="Arial" w:hAnsi="Arial" w:cs="Arial"/>
        </w:rPr>
        <w:t>ESEB</w:t>
      </w:r>
      <w:r>
        <w:rPr>
          <w:rFonts w:ascii="Arial" w:hAnsi="Arial" w:cs="Arial"/>
        </w:rPr>
        <w:t xml:space="preserve"> </w:t>
      </w:r>
      <w:r w:rsidRPr="009F77B2">
        <w:rPr>
          <w:rFonts w:ascii="Arial" w:hAnsi="Arial" w:cs="Arial"/>
        </w:rPr>
        <w:t xml:space="preserve">and are again summarised for the benefit of Senate and Council.  The awards made by partner providers are subject to these same procedures for quality assurance.  In this way the University’s governance arrangements function to ensure that </w:t>
      </w:r>
      <w:r w:rsidR="00596349">
        <w:rPr>
          <w:rFonts w:ascii="Arial" w:hAnsi="Arial" w:cs="Arial"/>
        </w:rPr>
        <w:t>the level of student attainment is</w:t>
      </w:r>
      <w:r w:rsidRPr="009F77B2">
        <w:rPr>
          <w:rFonts w:ascii="Arial" w:hAnsi="Arial" w:cs="Arial"/>
        </w:rPr>
        <w:t xml:space="preserve"> reviewed appropriately </w:t>
      </w:r>
      <w:r w:rsidR="00596349">
        <w:rPr>
          <w:rFonts w:ascii="Arial" w:hAnsi="Arial" w:cs="Arial"/>
        </w:rPr>
        <w:t xml:space="preserve">year-on-year </w:t>
      </w:r>
      <w:r w:rsidRPr="009F77B2">
        <w:rPr>
          <w:rFonts w:ascii="Arial" w:hAnsi="Arial" w:cs="Arial"/>
        </w:rPr>
        <w:t>and</w:t>
      </w:r>
      <w:r w:rsidR="00596349">
        <w:rPr>
          <w:rFonts w:ascii="Arial" w:hAnsi="Arial" w:cs="Arial"/>
        </w:rPr>
        <w:t xml:space="preserve"> that </w:t>
      </w:r>
      <w:r w:rsidR="00596349" w:rsidRPr="009F77B2">
        <w:rPr>
          <w:rFonts w:ascii="Arial" w:hAnsi="Arial" w:cs="Arial"/>
        </w:rPr>
        <w:t xml:space="preserve">academic standards </w:t>
      </w:r>
      <w:r w:rsidR="00596349">
        <w:rPr>
          <w:rFonts w:ascii="Arial" w:hAnsi="Arial" w:cs="Arial"/>
        </w:rPr>
        <w:t>are</w:t>
      </w:r>
      <w:r w:rsidR="00596349" w:rsidRPr="009F77B2">
        <w:rPr>
          <w:rFonts w:ascii="Arial" w:hAnsi="Arial" w:cs="Arial"/>
        </w:rPr>
        <w:t xml:space="preserve"> </w:t>
      </w:r>
      <w:r w:rsidRPr="009F77B2">
        <w:rPr>
          <w:rFonts w:ascii="Arial" w:hAnsi="Arial" w:cs="Arial"/>
        </w:rPr>
        <w:t>maintained</w:t>
      </w:r>
      <w:r w:rsidR="00596349">
        <w:rPr>
          <w:rFonts w:ascii="Arial" w:hAnsi="Arial" w:cs="Arial"/>
        </w:rPr>
        <w:t xml:space="preserve"> over time</w:t>
      </w:r>
      <w:r w:rsidRPr="009F77B2">
        <w:rPr>
          <w:rFonts w:ascii="Arial" w:hAnsi="Arial" w:cs="Arial"/>
        </w:rPr>
        <w:t>.</w:t>
      </w:r>
    </w:p>
    <w:p w14:paraId="43DC69FA" w14:textId="6D8EFD6B" w:rsidR="009F77B2" w:rsidRPr="006F3A4B" w:rsidRDefault="009F77B2" w:rsidP="009F77B2">
      <w:pPr>
        <w:rPr>
          <w:rFonts w:ascii="Arial" w:hAnsi="Arial" w:cs="Arial"/>
          <w:b/>
        </w:rPr>
      </w:pPr>
      <w:r w:rsidRPr="006F3A4B">
        <w:rPr>
          <w:rFonts w:ascii="Arial" w:hAnsi="Arial" w:cs="Arial"/>
          <w:b/>
        </w:rPr>
        <w:t>Learning and Teaching Practices</w:t>
      </w:r>
    </w:p>
    <w:p w14:paraId="06915752" w14:textId="564E0C40" w:rsidR="006F3A4B" w:rsidRDefault="006F3A4B" w:rsidP="006F3A4B">
      <w:pPr>
        <w:jc w:val="both"/>
        <w:rPr>
          <w:rFonts w:ascii="Arial" w:hAnsi="Arial" w:cs="Arial"/>
          <w:shd w:val="clear" w:color="auto" w:fill="FFFFFF"/>
        </w:rPr>
      </w:pPr>
      <w:r w:rsidRPr="00BD1C8C">
        <w:rPr>
          <w:rFonts w:ascii="Arial" w:hAnsi="Arial" w:cs="Arial"/>
          <w:shd w:val="clear" w:color="auto" w:fill="FFFFFF"/>
        </w:rPr>
        <w:t xml:space="preserve">The University has </w:t>
      </w:r>
      <w:r w:rsidR="00184C9C">
        <w:rPr>
          <w:rFonts w:ascii="Arial" w:hAnsi="Arial" w:cs="Arial"/>
          <w:shd w:val="clear" w:color="auto" w:fill="FFFFFF"/>
        </w:rPr>
        <w:t xml:space="preserve">continued to </w:t>
      </w:r>
      <w:r w:rsidRPr="00BD1C8C">
        <w:rPr>
          <w:rFonts w:ascii="Arial" w:hAnsi="Arial" w:cs="Arial"/>
          <w:shd w:val="clear" w:color="auto" w:fill="FFFFFF"/>
        </w:rPr>
        <w:t>ma</w:t>
      </w:r>
      <w:r w:rsidR="00184C9C">
        <w:rPr>
          <w:rFonts w:ascii="Arial" w:hAnsi="Arial" w:cs="Arial"/>
          <w:shd w:val="clear" w:color="auto" w:fill="FFFFFF"/>
        </w:rPr>
        <w:t>k</w:t>
      </w:r>
      <w:r w:rsidRPr="00BD1C8C">
        <w:rPr>
          <w:rFonts w:ascii="Arial" w:hAnsi="Arial" w:cs="Arial"/>
          <w:shd w:val="clear" w:color="auto" w:fill="FFFFFF"/>
        </w:rPr>
        <w:t>e a range of enhancements to teaching practices and the student learning environment in 20</w:t>
      </w:r>
      <w:r w:rsidR="00184C9C">
        <w:rPr>
          <w:rFonts w:ascii="Arial" w:hAnsi="Arial" w:cs="Arial"/>
          <w:shd w:val="clear" w:color="auto" w:fill="FFFFFF"/>
        </w:rPr>
        <w:t>20</w:t>
      </w:r>
      <w:r w:rsidRPr="00BD1C8C">
        <w:rPr>
          <w:rFonts w:ascii="Arial" w:hAnsi="Arial" w:cs="Arial"/>
          <w:shd w:val="clear" w:color="auto" w:fill="FFFFFF"/>
        </w:rPr>
        <w:t>-2</w:t>
      </w:r>
      <w:r w:rsidR="00184C9C">
        <w:rPr>
          <w:rFonts w:ascii="Arial" w:hAnsi="Arial" w:cs="Arial"/>
          <w:shd w:val="clear" w:color="auto" w:fill="FFFFFF"/>
        </w:rPr>
        <w:t>1</w:t>
      </w:r>
      <w:r w:rsidRPr="00BD1C8C">
        <w:rPr>
          <w:rFonts w:ascii="Arial" w:hAnsi="Arial" w:cs="Arial"/>
          <w:shd w:val="clear" w:color="auto" w:fill="FFFFFF"/>
        </w:rPr>
        <w:t xml:space="preserve">, </w:t>
      </w:r>
      <w:r w:rsidR="00184C9C">
        <w:rPr>
          <w:rFonts w:ascii="Arial" w:hAnsi="Arial" w:cs="Arial"/>
          <w:shd w:val="clear" w:color="auto" w:fill="FFFFFF"/>
        </w:rPr>
        <w:t xml:space="preserve">many </w:t>
      </w:r>
      <w:r w:rsidRPr="00BD1C8C">
        <w:rPr>
          <w:rFonts w:ascii="Arial" w:hAnsi="Arial" w:cs="Arial"/>
          <w:shd w:val="clear" w:color="auto" w:fill="FFFFFF"/>
        </w:rPr>
        <w:t>specifically in response to the pandemic</w:t>
      </w:r>
      <w:r w:rsidR="004D58C8">
        <w:rPr>
          <w:rFonts w:ascii="Arial" w:hAnsi="Arial" w:cs="Arial"/>
          <w:shd w:val="clear" w:color="auto" w:fill="FFFFFF"/>
        </w:rPr>
        <w:t>.</w:t>
      </w:r>
      <w:r w:rsidR="00184C9C">
        <w:rPr>
          <w:rFonts w:ascii="Arial" w:hAnsi="Arial" w:cs="Arial"/>
          <w:shd w:val="clear" w:color="auto" w:fill="FFFFFF"/>
        </w:rPr>
        <w:t xml:space="preserve"> </w:t>
      </w:r>
    </w:p>
    <w:p w14:paraId="0A38310D" w14:textId="0B38C90C" w:rsidR="004B3C08" w:rsidRPr="00DB7813" w:rsidRDefault="004B3C08" w:rsidP="004B3C08">
      <w:pPr>
        <w:pStyle w:val="ListParagraph"/>
        <w:numPr>
          <w:ilvl w:val="0"/>
          <w:numId w:val="2"/>
        </w:numPr>
        <w:rPr>
          <w:rFonts w:ascii="Arial" w:hAnsi="Arial" w:cs="Arial"/>
        </w:rPr>
      </w:pPr>
      <w:r w:rsidRPr="00DB7813">
        <w:rPr>
          <w:rFonts w:ascii="Arial" w:hAnsi="Arial" w:cs="Arial"/>
        </w:rPr>
        <w:t>T</w:t>
      </w:r>
      <w:r w:rsidR="004A56FB" w:rsidRPr="00DB7813">
        <w:rPr>
          <w:rFonts w:ascii="Arial" w:hAnsi="Arial" w:cs="Arial"/>
        </w:rPr>
        <w:t>he University transitioned to a blend of synchronous and asynchronous teaching</w:t>
      </w:r>
      <w:r w:rsidRPr="00DB7813">
        <w:rPr>
          <w:rFonts w:ascii="Arial" w:hAnsi="Arial" w:cs="Arial"/>
        </w:rPr>
        <w:t>.</w:t>
      </w:r>
      <w:r w:rsidR="004A56FB" w:rsidRPr="00DB7813">
        <w:rPr>
          <w:rFonts w:ascii="Arial" w:hAnsi="Arial" w:cs="Arial"/>
        </w:rPr>
        <w:t xml:space="preserve">  </w:t>
      </w:r>
      <w:r w:rsidRPr="00DB7813">
        <w:rPr>
          <w:rFonts w:ascii="Arial" w:hAnsi="Arial" w:cs="Arial"/>
        </w:rPr>
        <w:t>L</w:t>
      </w:r>
      <w:r w:rsidR="004A56FB" w:rsidRPr="00DB7813">
        <w:rPr>
          <w:rFonts w:ascii="Arial" w:hAnsi="Arial" w:cs="Arial"/>
        </w:rPr>
        <w:t>ectures continued to be delivered online and a limited number of activities, such as ones requiring special</w:t>
      </w:r>
      <w:r w:rsidRPr="00DB7813">
        <w:rPr>
          <w:rFonts w:ascii="Arial" w:hAnsi="Arial" w:cs="Arial"/>
        </w:rPr>
        <w:t>ist</w:t>
      </w:r>
      <w:r w:rsidR="004A56FB" w:rsidRPr="00DB7813">
        <w:rPr>
          <w:rFonts w:ascii="Arial" w:hAnsi="Arial" w:cs="Arial"/>
        </w:rPr>
        <w:t xml:space="preserve"> equipment or</w:t>
      </w:r>
      <w:r w:rsidRPr="00DB7813">
        <w:rPr>
          <w:rFonts w:ascii="Arial" w:hAnsi="Arial" w:cs="Arial"/>
        </w:rPr>
        <w:t xml:space="preserve"> practical</w:t>
      </w:r>
      <w:r w:rsidR="004A56FB" w:rsidRPr="00DB7813">
        <w:rPr>
          <w:rFonts w:ascii="Arial" w:hAnsi="Arial" w:cs="Arial"/>
        </w:rPr>
        <w:t xml:space="preserve"> space, were delivered face-to-face</w:t>
      </w:r>
      <w:r w:rsidRPr="00DB7813">
        <w:rPr>
          <w:rFonts w:ascii="Arial" w:hAnsi="Arial" w:cs="Arial"/>
          <w:shd w:val="clear" w:color="auto" w:fill="FFFFFF"/>
        </w:rPr>
        <w:t xml:space="preserve"> </w:t>
      </w:r>
      <w:r w:rsidRPr="00DB7813">
        <w:rPr>
          <w:rFonts w:ascii="Arial" w:hAnsi="Arial" w:cs="Arial"/>
        </w:rPr>
        <w:t>to ensure PSRB requirements were met and students could achieve learning outcomes</w:t>
      </w:r>
      <w:r w:rsidR="00DB7813" w:rsidRPr="00DB7813">
        <w:rPr>
          <w:rFonts w:ascii="Arial" w:hAnsi="Arial" w:cs="Arial"/>
        </w:rPr>
        <w:t>.</w:t>
      </w:r>
    </w:p>
    <w:p w14:paraId="5E6C3B45" w14:textId="022D07D2" w:rsidR="004A56FB" w:rsidRPr="00DB7813" w:rsidRDefault="004A56FB" w:rsidP="004A56FB">
      <w:pPr>
        <w:pStyle w:val="ListParagraph"/>
        <w:numPr>
          <w:ilvl w:val="0"/>
          <w:numId w:val="2"/>
        </w:numPr>
        <w:rPr>
          <w:rFonts w:ascii="Arial" w:hAnsi="Arial" w:cs="Arial"/>
        </w:rPr>
      </w:pPr>
      <w:r w:rsidRPr="00DB7813">
        <w:rPr>
          <w:rFonts w:ascii="Arial" w:hAnsi="Arial" w:cs="Arial"/>
        </w:rPr>
        <w:t xml:space="preserve">The University has also expanded its provision </w:t>
      </w:r>
      <w:r w:rsidR="004B3C08" w:rsidRPr="00DB7813">
        <w:rPr>
          <w:rFonts w:ascii="Arial" w:hAnsi="Arial" w:cs="Arial"/>
        </w:rPr>
        <w:t>of</w:t>
      </w:r>
      <w:r w:rsidRPr="00DB7813">
        <w:rPr>
          <w:rFonts w:ascii="Arial" w:hAnsi="Arial" w:cs="Arial"/>
        </w:rPr>
        <w:t xml:space="preserve"> remote study for students who were significantly impacted by the pandemic and could not return to campus.</w:t>
      </w:r>
    </w:p>
    <w:p w14:paraId="18FD283E" w14:textId="099BA470" w:rsidR="00C22405" w:rsidRDefault="00C22405" w:rsidP="004D58C8">
      <w:pPr>
        <w:pStyle w:val="ListParagraph"/>
        <w:numPr>
          <w:ilvl w:val="0"/>
          <w:numId w:val="2"/>
        </w:numPr>
        <w:jc w:val="both"/>
        <w:rPr>
          <w:rFonts w:ascii="Arial" w:hAnsi="Arial" w:cs="Arial"/>
          <w:shd w:val="clear" w:color="auto" w:fill="FFFFFF"/>
        </w:rPr>
      </w:pPr>
      <w:r>
        <w:rPr>
          <w:rFonts w:ascii="Arial" w:hAnsi="Arial" w:cs="Arial"/>
          <w:shd w:val="clear" w:color="auto" w:fill="FFFFFF"/>
        </w:rPr>
        <w:t xml:space="preserve">Enhanced our registration, transition and Welcome Week </w:t>
      </w:r>
      <w:r w:rsidR="00C44947">
        <w:rPr>
          <w:rFonts w:ascii="Arial" w:hAnsi="Arial" w:cs="Arial"/>
          <w:shd w:val="clear" w:color="auto" w:fill="FFFFFF"/>
        </w:rPr>
        <w:t xml:space="preserve">(2020) </w:t>
      </w:r>
      <w:r>
        <w:rPr>
          <w:rFonts w:ascii="Arial" w:hAnsi="Arial" w:cs="Arial"/>
          <w:shd w:val="clear" w:color="auto" w:fill="FFFFFF"/>
        </w:rPr>
        <w:t>by offering online activities, as well as on campus sessions for academic and student services</w:t>
      </w:r>
    </w:p>
    <w:p w14:paraId="225AA9FE" w14:textId="4743FF15" w:rsidR="00290A2E" w:rsidRPr="00290A2E" w:rsidRDefault="00290A2E" w:rsidP="00290A2E">
      <w:pPr>
        <w:pStyle w:val="ListParagraph"/>
        <w:numPr>
          <w:ilvl w:val="0"/>
          <w:numId w:val="2"/>
        </w:numPr>
        <w:jc w:val="both"/>
        <w:rPr>
          <w:rFonts w:ascii="Arial" w:hAnsi="Arial" w:cs="Arial"/>
          <w:shd w:val="clear" w:color="auto" w:fill="FFFFFF"/>
        </w:rPr>
      </w:pPr>
      <w:r>
        <w:rPr>
          <w:rFonts w:ascii="Arial" w:hAnsi="Arial" w:cs="Arial"/>
          <w:shd w:val="clear" w:color="auto" w:fill="FFFFFF"/>
        </w:rPr>
        <w:t>O</w:t>
      </w:r>
      <w:r w:rsidRPr="00290A2E">
        <w:rPr>
          <w:rFonts w:ascii="Arial" w:hAnsi="Arial" w:cs="Arial"/>
          <w:shd w:val="clear" w:color="auto" w:fill="FFFFFF"/>
        </w:rPr>
        <w:t xml:space="preserve">ptimised the use of our teaching and social spaces in line with Government guidance, plus enhanced our Digital Library provision to support remote access to staff and students. All the main University study hubs remained open with reduced capacity to support the wider learning experience on campus, and spaces not being used for timetabled teaching sessions were made available as additional study spaces for students. Student Services </w:t>
      </w:r>
      <w:r>
        <w:rPr>
          <w:rFonts w:ascii="Arial" w:hAnsi="Arial" w:cs="Arial"/>
          <w:shd w:val="clear" w:color="auto" w:fill="FFFFFF"/>
        </w:rPr>
        <w:t xml:space="preserve">continued to </w:t>
      </w:r>
      <w:r w:rsidRPr="00290A2E">
        <w:rPr>
          <w:rFonts w:ascii="Arial" w:hAnsi="Arial" w:cs="Arial"/>
          <w:shd w:val="clear" w:color="auto" w:fill="FFFFFF"/>
        </w:rPr>
        <w:t>work closely with IT services to enable staff and student access to hardship funds and/or equipment required for remote access to work and study.</w:t>
      </w:r>
    </w:p>
    <w:p w14:paraId="08B4B995" w14:textId="77777777" w:rsidR="00584E02" w:rsidRDefault="00904521" w:rsidP="006F3A4B">
      <w:pPr>
        <w:pStyle w:val="ListParagraph"/>
        <w:numPr>
          <w:ilvl w:val="0"/>
          <w:numId w:val="2"/>
        </w:numPr>
        <w:jc w:val="both"/>
        <w:rPr>
          <w:rFonts w:ascii="Arial" w:hAnsi="Arial" w:cs="Arial"/>
          <w:shd w:val="clear" w:color="auto" w:fill="FFFFFF"/>
        </w:rPr>
      </w:pPr>
      <w:r>
        <w:rPr>
          <w:rFonts w:ascii="Arial" w:hAnsi="Arial" w:cs="Arial"/>
          <w:shd w:val="clear" w:color="auto" w:fill="FFFFFF"/>
        </w:rPr>
        <w:t xml:space="preserve">Kept the library open, including late night and 24/7 for exams, with remote access to IT labs with specialist software. Increased study hubs across campus and </w:t>
      </w:r>
      <w:r w:rsidR="00830571">
        <w:rPr>
          <w:rFonts w:ascii="Arial" w:hAnsi="Arial" w:cs="Arial"/>
          <w:shd w:val="clear" w:color="auto" w:fill="FFFFFF"/>
        </w:rPr>
        <w:t xml:space="preserve">provided enhanced our digital library provision. </w:t>
      </w:r>
      <w:r w:rsidR="00C22405">
        <w:rPr>
          <w:rFonts w:ascii="Arial" w:hAnsi="Arial" w:cs="Arial"/>
          <w:shd w:val="clear" w:color="auto" w:fill="FFFFFF"/>
        </w:rPr>
        <w:t xml:space="preserve"> </w:t>
      </w:r>
    </w:p>
    <w:p w14:paraId="71A64438" w14:textId="77777777" w:rsidR="00584E02" w:rsidRDefault="00E2128C" w:rsidP="006F3A4B">
      <w:pPr>
        <w:pStyle w:val="ListParagraph"/>
        <w:numPr>
          <w:ilvl w:val="0"/>
          <w:numId w:val="2"/>
        </w:numPr>
        <w:jc w:val="both"/>
        <w:rPr>
          <w:rFonts w:ascii="Arial" w:hAnsi="Arial" w:cs="Arial"/>
          <w:shd w:val="clear" w:color="auto" w:fill="FFFFFF"/>
        </w:rPr>
      </w:pPr>
      <w:r w:rsidRPr="00584E02">
        <w:rPr>
          <w:rFonts w:ascii="Arial" w:hAnsi="Arial" w:cs="Arial"/>
          <w:shd w:val="clear" w:color="auto" w:fill="FFFFFF"/>
        </w:rPr>
        <w:t xml:space="preserve">Continued to enhance our </w:t>
      </w:r>
      <w:r w:rsidR="00584E02" w:rsidRPr="00584E02">
        <w:rPr>
          <w:rFonts w:ascii="Arial" w:hAnsi="Arial" w:cs="Arial"/>
          <w:shd w:val="clear" w:color="auto" w:fill="FFFFFF"/>
        </w:rPr>
        <w:t>digital pedagogical</w:t>
      </w:r>
      <w:r w:rsidR="006F3A4B" w:rsidRPr="00584E02">
        <w:rPr>
          <w:rFonts w:ascii="Arial" w:hAnsi="Arial" w:cs="Arial"/>
          <w:shd w:val="clear" w:color="auto" w:fill="FFFFFF"/>
        </w:rPr>
        <w:t xml:space="preserve"> practices using technology enhanced learning (TEL) developments, specifically to support online teaching and assessment (including exams) from March 2020. Two new Moodle courses </w:t>
      </w:r>
      <w:r w:rsidRPr="00584E02">
        <w:rPr>
          <w:rFonts w:ascii="Arial" w:hAnsi="Arial" w:cs="Arial"/>
          <w:shd w:val="clear" w:color="auto" w:fill="FFFFFF"/>
        </w:rPr>
        <w:t>(</w:t>
      </w:r>
      <w:r w:rsidRPr="00584E02">
        <w:rPr>
          <w:rFonts w:ascii="Arial" w:hAnsi="Arial" w:cs="Arial"/>
          <w:i/>
          <w:iCs/>
          <w:shd w:val="clear" w:color="auto" w:fill="FFFFFF"/>
        </w:rPr>
        <w:t>Digitally Enhanced Education</w:t>
      </w:r>
      <w:r w:rsidRPr="00584E02">
        <w:rPr>
          <w:rFonts w:ascii="Arial" w:hAnsi="Arial" w:cs="Arial"/>
          <w:shd w:val="clear" w:color="auto" w:fill="FFFFFF"/>
        </w:rPr>
        <w:t xml:space="preserve"> for staff; </w:t>
      </w:r>
      <w:r w:rsidRPr="00584E02">
        <w:rPr>
          <w:rFonts w:ascii="Arial" w:hAnsi="Arial" w:cs="Arial"/>
          <w:i/>
          <w:iCs/>
          <w:shd w:val="clear" w:color="auto" w:fill="FFFFFF"/>
        </w:rPr>
        <w:t>Online Learning at Kent</w:t>
      </w:r>
      <w:r w:rsidRPr="00584E02">
        <w:rPr>
          <w:rFonts w:ascii="Arial" w:hAnsi="Arial" w:cs="Arial"/>
          <w:shd w:val="clear" w:color="auto" w:fill="FFFFFF"/>
        </w:rPr>
        <w:t xml:space="preserve"> for students) which were supplemented by regular staff and student webinars. </w:t>
      </w:r>
    </w:p>
    <w:p w14:paraId="206FB409" w14:textId="77777777" w:rsidR="00584E02" w:rsidRDefault="006F3A4B" w:rsidP="006F3A4B">
      <w:pPr>
        <w:pStyle w:val="ListParagraph"/>
        <w:numPr>
          <w:ilvl w:val="0"/>
          <w:numId w:val="2"/>
        </w:numPr>
        <w:jc w:val="both"/>
        <w:rPr>
          <w:rFonts w:ascii="Arial" w:hAnsi="Arial" w:cs="Arial"/>
          <w:shd w:val="clear" w:color="auto" w:fill="FFFFFF"/>
        </w:rPr>
      </w:pPr>
      <w:r w:rsidRPr="00584E02">
        <w:rPr>
          <w:rFonts w:ascii="Arial" w:hAnsi="Arial" w:cs="Arial"/>
          <w:shd w:val="clear" w:color="auto" w:fill="FFFFFF"/>
        </w:rPr>
        <w:t>Staff have continued to gain fellowships of the Higher Education Academy (Advance HE) through our accredited programmes and CPD provision (</w:t>
      </w:r>
      <w:r w:rsidR="00584E02" w:rsidRPr="00584E02">
        <w:rPr>
          <w:rFonts w:ascii="Arial" w:hAnsi="Arial" w:cs="Arial"/>
          <w:shd w:val="clear" w:color="auto" w:fill="FFFFFF"/>
        </w:rPr>
        <w:t>delivered online</w:t>
      </w:r>
      <w:r w:rsidRPr="00584E02">
        <w:rPr>
          <w:rFonts w:ascii="Arial" w:hAnsi="Arial" w:cs="Arial"/>
          <w:shd w:val="clear" w:color="auto" w:fill="FFFFFF"/>
        </w:rPr>
        <w:t xml:space="preserve">), that acknowledges their professionalism in learning and teaching. The proportion of </w:t>
      </w:r>
      <w:r w:rsidR="00584E02">
        <w:rPr>
          <w:rFonts w:ascii="Arial" w:hAnsi="Arial" w:cs="Arial"/>
          <w:shd w:val="clear" w:color="auto" w:fill="FFFFFF"/>
        </w:rPr>
        <w:t xml:space="preserve">the </w:t>
      </w:r>
      <w:r w:rsidRPr="00584E02">
        <w:rPr>
          <w:rFonts w:ascii="Arial" w:hAnsi="Arial" w:cs="Arial"/>
          <w:shd w:val="clear" w:color="auto" w:fill="FFFFFF"/>
        </w:rPr>
        <w:t xml:space="preserve">University academic staff with Advance HE (AHE) recognition has increased </w:t>
      </w:r>
      <w:r w:rsidR="00D04AA2" w:rsidRPr="00584E02">
        <w:rPr>
          <w:rFonts w:ascii="Arial" w:hAnsi="Arial" w:cs="Arial"/>
          <w:shd w:val="clear" w:color="auto" w:fill="FFFFFF"/>
        </w:rPr>
        <w:t xml:space="preserve">7% </w:t>
      </w:r>
      <w:r w:rsidR="00BD1C8C" w:rsidRPr="00584E02">
        <w:rPr>
          <w:rFonts w:ascii="Arial" w:hAnsi="Arial" w:cs="Arial"/>
          <w:shd w:val="clear" w:color="auto" w:fill="FFFFFF"/>
        </w:rPr>
        <w:t xml:space="preserve">to </w:t>
      </w:r>
      <w:r w:rsidR="00D04AA2" w:rsidRPr="00584E02">
        <w:rPr>
          <w:rFonts w:ascii="Arial" w:hAnsi="Arial" w:cs="Arial"/>
          <w:shd w:val="clear" w:color="auto" w:fill="FFFFFF"/>
        </w:rPr>
        <w:t>85.3</w:t>
      </w:r>
      <w:r w:rsidR="00BD1C8C" w:rsidRPr="00584E02">
        <w:rPr>
          <w:rFonts w:ascii="Arial" w:hAnsi="Arial" w:cs="Arial"/>
          <w:shd w:val="clear" w:color="auto" w:fill="FFFFFF"/>
        </w:rPr>
        <w:t>%</w:t>
      </w:r>
      <w:r w:rsidRPr="00584E02">
        <w:rPr>
          <w:rFonts w:ascii="Arial" w:hAnsi="Arial" w:cs="Arial"/>
          <w:shd w:val="clear" w:color="auto" w:fill="FFFFFF"/>
        </w:rPr>
        <w:t xml:space="preserve"> in</w:t>
      </w:r>
      <w:r w:rsidR="00584E02">
        <w:rPr>
          <w:rFonts w:ascii="Arial" w:hAnsi="Arial" w:cs="Arial"/>
          <w:shd w:val="clear" w:color="auto" w:fill="FFFFFF"/>
        </w:rPr>
        <w:t xml:space="preserve"> </w:t>
      </w:r>
      <w:r w:rsidR="00D04AA2" w:rsidRPr="00584E02">
        <w:rPr>
          <w:rFonts w:ascii="Arial" w:hAnsi="Arial" w:cs="Arial"/>
          <w:shd w:val="clear" w:color="auto" w:fill="FFFFFF"/>
        </w:rPr>
        <w:t>2020-21</w:t>
      </w:r>
      <w:r w:rsidRPr="00584E02">
        <w:rPr>
          <w:rFonts w:ascii="Arial" w:hAnsi="Arial" w:cs="Arial"/>
          <w:shd w:val="clear" w:color="auto" w:fill="FFFFFF"/>
        </w:rPr>
        <w:t>, with a further 1</w:t>
      </w:r>
      <w:r w:rsidR="00D04AA2" w:rsidRPr="00584E02">
        <w:rPr>
          <w:rFonts w:ascii="Arial" w:hAnsi="Arial" w:cs="Arial"/>
          <w:shd w:val="clear" w:color="auto" w:fill="FFFFFF"/>
        </w:rPr>
        <w:t>2</w:t>
      </w:r>
      <w:r w:rsidRPr="00584E02">
        <w:rPr>
          <w:rFonts w:ascii="Arial" w:hAnsi="Arial" w:cs="Arial"/>
          <w:shd w:val="clear" w:color="auto" w:fill="FFFFFF"/>
        </w:rPr>
        <w:t xml:space="preserve"> experienced academic and professional service staff gaining Senior Fellowships for their leadership and support of student learning. </w:t>
      </w:r>
      <w:r w:rsidR="00BD1C8C" w:rsidRPr="00584E02">
        <w:rPr>
          <w:rFonts w:ascii="Arial" w:hAnsi="Arial" w:cs="Arial"/>
          <w:shd w:val="clear" w:color="auto" w:fill="FFFFFF"/>
        </w:rPr>
        <w:t xml:space="preserve">This is </w:t>
      </w:r>
      <w:r w:rsidR="00DC27E3" w:rsidRPr="00584E02">
        <w:rPr>
          <w:rFonts w:ascii="Arial" w:hAnsi="Arial" w:cs="Arial"/>
          <w:shd w:val="clear" w:color="auto" w:fill="FFFFFF"/>
        </w:rPr>
        <w:t xml:space="preserve">significantly </w:t>
      </w:r>
      <w:r w:rsidR="00BD1C8C" w:rsidRPr="00584E02">
        <w:rPr>
          <w:rFonts w:ascii="Arial" w:hAnsi="Arial" w:cs="Arial"/>
          <w:shd w:val="clear" w:color="auto" w:fill="FFFFFF"/>
        </w:rPr>
        <w:t>above the sector average of 5</w:t>
      </w:r>
      <w:r w:rsidR="00D04AA2" w:rsidRPr="00584E02">
        <w:rPr>
          <w:rFonts w:ascii="Arial" w:hAnsi="Arial" w:cs="Arial"/>
          <w:shd w:val="clear" w:color="auto" w:fill="FFFFFF"/>
        </w:rPr>
        <w:t>3</w:t>
      </w:r>
      <w:r w:rsidR="00BD1C8C" w:rsidRPr="00584E02">
        <w:rPr>
          <w:rFonts w:ascii="Arial" w:hAnsi="Arial" w:cs="Arial"/>
          <w:shd w:val="clear" w:color="auto" w:fill="FFFFFF"/>
        </w:rPr>
        <w:t>.</w:t>
      </w:r>
      <w:r w:rsidR="00D04AA2" w:rsidRPr="00584E02">
        <w:rPr>
          <w:rFonts w:ascii="Arial" w:hAnsi="Arial" w:cs="Arial"/>
          <w:shd w:val="clear" w:color="auto" w:fill="FFFFFF"/>
        </w:rPr>
        <w:t>7</w:t>
      </w:r>
      <w:r w:rsidR="00BD1C8C" w:rsidRPr="00584E02">
        <w:rPr>
          <w:rFonts w:ascii="Arial" w:hAnsi="Arial" w:cs="Arial"/>
          <w:shd w:val="clear" w:color="auto" w:fill="FFFFFF"/>
        </w:rPr>
        <w:t xml:space="preserve">%. </w:t>
      </w:r>
    </w:p>
    <w:p w14:paraId="64B5944C" w14:textId="77777777" w:rsidR="00584E02" w:rsidRDefault="006F3A4B" w:rsidP="004B6612">
      <w:pPr>
        <w:pStyle w:val="ListParagraph"/>
        <w:numPr>
          <w:ilvl w:val="0"/>
          <w:numId w:val="2"/>
        </w:numPr>
        <w:jc w:val="both"/>
        <w:rPr>
          <w:rFonts w:ascii="Arial" w:hAnsi="Arial" w:cs="Arial"/>
          <w:shd w:val="clear" w:color="auto" w:fill="FFFFFF"/>
        </w:rPr>
      </w:pPr>
      <w:r w:rsidRPr="00584E02">
        <w:rPr>
          <w:rFonts w:ascii="Arial" w:hAnsi="Arial" w:cs="Arial"/>
          <w:shd w:val="clear" w:color="auto" w:fill="FFFFFF"/>
        </w:rPr>
        <w:t>The University's revised promotion guidelines came into effect in 2019-2020, which are intended to recognise a wide range of academic contributions.  Senior Fellowship of the HEA is explicitly mentioned as an example of evidence of leadership in teaching or learning support in the Academic Career Map</w:t>
      </w:r>
      <w:r w:rsidR="00136699" w:rsidRPr="00584E02">
        <w:rPr>
          <w:rFonts w:ascii="Arial" w:hAnsi="Arial" w:cs="Arial"/>
          <w:shd w:val="clear" w:color="auto" w:fill="FFFFFF"/>
        </w:rPr>
        <w:t>, with the embedding of UKPSF in our institutional practice and promotion policies being highlighted as good practice (Advance HE).</w:t>
      </w:r>
      <w:r w:rsidRPr="00584E02">
        <w:rPr>
          <w:rFonts w:ascii="Arial" w:hAnsi="Arial" w:cs="Arial"/>
          <w:shd w:val="clear" w:color="auto" w:fill="FFFFFF"/>
        </w:rPr>
        <w:t xml:space="preserve"> </w:t>
      </w:r>
      <w:r w:rsidR="00136699" w:rsidRPr="00584E02">
        <w:rPr>
          <w:rFonts w:ascii="Arial" w:hAnsi="Arial" w:cs="Arial"/>
          <w:shd w:val="clear" w:color="auto" w:fill="FFFFFF"/>
        </w:rPr>
        <w:t xml:space="preserve">Academic staff </w:t>
      </w:r>
      <w:r w:rsidR="00584E02" w:rsidRPr="00584E02">
        <w:rPr>
          <w:rFonts w:ascii="Arial" w:hAnsi="Arial" w:cs="Arial"/>
          <w:shd w:val="clear" w:color="auto" w:fill="FFFFFF"/>
        </w:rPr>
        <w:t>are successfully</w:t>
      </w:r>
      <w:r w:rsidRPr="00584E02">
        <w:rPr>
          <w:rFonts w:ascii="Arial" w:hAnsi="Arial" w:cs="Arial"/>
          <w:shd w:val="clear" w:color="auto" w:fill="FFFFFF"/>
        </w:rPr>
        <w:t xml:space="preserve"> achieving promotion to Senior Lecturer/Reader</w:t>
      </w:r>
      <w:r w:rsidR="00136699" w:rsidRPr="00584E02">
        <w:rPr>
          <w:rFonts w:ascii="Arial" w:hAnsi="Arial" w:cs="Arial"/>
          <w:shd w:val="clear" w:color="auto" w:fill="FFFFFF"/>
        </w:rPr>
        <w:t xml:space="preserve"> based on teaching excellence and the CPD route </w:t>
      </w:r>
      <w:r w:rsidR="005E18F0" w:rsidRPr="00584E02">
        <w:rPr>
          <w:rFonts w:ascii="Arial" w:hAnsi="Arial" w:cs="Arial"/>
          <w:shd w:val="clear" w:color="auto" w:fill="FFFFFF"/>
        </w:rPr>
        <w:t xml:space="preserve">has also recognised staff that </w:t>
      </w:r>
      <w:r w:rsidR="00136699" w:rsidRPr="00584E02">
        <w:rPr>
          <w:rFonts w:ascii="Arial" w:hAnsi="Arial" w:cs="Arial"/>
          <w:shd w:val="clear" w:color="auto" w:fill="FFFFFF"/>
        </w:rPr>
        <w:t>support</w:t>
      </w:r>
      <w:r w:rsidR="005E18F0" w:rsidRPr="00584E02">
        <w:rPr>
          <w:rFonts w:ascii="Arial" w:hAnsi="Arial" w:cs="Arial"/>
          <w:shd w:val="clear" w:color="auto" w:fill="FFFFFF"/>
        </w:rPr>
        <w:t xml:space="preserve"> learning and teaching (e</w:t>
      </w:r>
      <w:r w:rsidR="00584E02">
        <w:rPr>
          <w:rFonts w:ascii="Arial" w:hAnsi="Arial" w:cs="Arial"/>
          <w:shd w:val="clear" w:color="auto" w:fill="FFFFFF"/>
        </w:rPr>
        <w:t>.</w:t>
      </w:r>
      <w:r w:rsidR="005E18F0" w:rsidRPr="00584E02">
        <w:rPr>
          <w:rFonts w:ascii="Arial" w:hAnsi="Arial" w:cs="Arial"/>
          <w:shd w:val="clear" w:color="auto" w:fill="FFFFFF"/>
        </w:rPr>
        <w:t>g</w:t>
      </w:r>
      <w:r w:rsidR="00584E02">
        <w:rPr>
          <w:rFonts w:ascii="Arial" w:hAnsi="Arial" w:cs="Arial"/>
          <w:shd w:val="clear" w:color="auto" w:fill="FFFFFF"/>
        </w:rPr>
        <w:t>.</w:t>
      </w:r>
      <w:r w:rsidR="005E18F0" w:rsidRPr="00584E02">
        <w:rPr>
          <w:rFonts w:ascii="Arial" w:hAnsi="Arial" w:cs="Arial"/>
          <w:shd w:val="clear" w:color="auto" w:fill="FFFFFF"/>
        </w:rPr>
        <w:t xml:space="preserve"> e-learning technologists, librarians, tutors)</w:t>
      </w:r>
      <w:r w:rsidRPr="00584E02">
        <w:rPr>
          <w:rFonts w:ascii="Arial" w:hAnsi="Arial" w:cs="Arial"/>
          <w:shd w:val="clear" w:color="auto" w:fill="FFFFFF"/>
        </w:rPr>
        <w:t xml:space="preserve">. </w:t>
      </w:r>
    </w:p>
    <w:p w14:paraId="1F5B7D15" w14:textId="239F870B" w:rsidR="00094306" w:rsidRPr="00584E02" w:rsidRDefault="005E18F0" w:rsidP="00584E02">
      <w:pPr>
        <w:pStyle w:val="ListParagraph"/>
        <w:numPr>
          <w:ilvl w:val="0"/>
          <w:numId w:val="2"/>
        </w:numPr>
        <w:jc w:val="both"/>
        <w:rPr>
          <w:rFonts w:ascii="Arial" w:hAnsi="Arial" w:cs="Arial"/>
          <w:shd w:val="clear" w:color="auto" w:fill="FFFFFF"/>
        </w:rPr>
      </w:pPr>
      <w:r w:rsidRPr="00584E02">
        <w:rPr>
          <w:rFonts w:ascii="Arial" w:hAnsi="Arial" w:cs="Arial"/>
          <w:shd w:val="clear" w:color="auto" w:fill="FFFFFF"/>
        </w:rPr>
        <w:lastRenderedPageBreak/>
        <w:t>Academic and professional services for students have been enhanced during the pandemic, with more services and resources being delivered online, as well as on campus and demand has remained high. The Student Success team have now become part of the Education Directorate, in order to embed good inclusive practices in curriculum development (Diversity Mark) and assessment towards fu</w:t>
      </w:r>
      <w:r w:rsidR="00290A2E" w:rsidRPr="00584E02">
        <w:rPr>
          <w:rFonts w:ascii="Arial" w:hAnsi="Arial" w:cs="Arial"/>
          <w:shd w:val="clear" w:color="auto" w:fill="FFFFFF"/>
        </w:rPr>
        <w:t>r</w:t>
      </w:r>
      <w:r w:rsidRPr="00584E02">
        <w:rPr>
          <w:rFonts w:ascii="Arial" w:hAnsi="Arial" w:cs="Arial"/>
          <w:shd w:val="clear" w:color="auto" w:fill="FFFFFF"/>
        </w:rPr>
        <w:t xml:space="preserve">ther reducing attainment gaps. </w:t>
      </w:r>
    </w:p>
    <w:p w14:paraId="4FF7021B" w14:textId="18EEE1DC" w:rsidR="00CC70BC" w:rsidRPr="00B02CBC" w:rsidRDefault="00CC70BC">
      <w:pPr>
        <w:rPr>
          <w:rFonts w:ascii="Arial" w:hAnsi="Arial" w:cs="Arial"/>
          <w:b/>
          <w:bCs/>
        </w:rPr>
      </w:pPr>
      <w:r w:rsidRPr="00B02CBC">
        <w:rPr>
          <w:rFonts w:ascii="Arial" w:hAnsi="Arial" w:cs="Arial"/>
          <w:b/>
          <w:bCs/>
        </w:rPr>
        <w:t xml:space="preserve">Conclusions and Recommendations </w:t>
      </w:r>
    </w:p>
    <w:p w14:paraId="3FA8755D" w14:textId="6EB7FB83" w:rsidR="00386C86" w:rsidRDefault="00B3158E">
      <w:pPr>
        <w:rPr>
          <w:rFonts w:ascii="Arial" w:hAnsi="Arial" w:cs="Arial"/>
        </w:rPr>
      </w:pPr>
      <w:r>
        <w:rPr>
          <w:rFonts w:ascii="Arial" w:hAnsi="Arial" w:cs="Arial"/>
        </w:rPr>
        <w:t xml:space="preserve">The Education and Student Experience Board notes that UG degree outcomes have remained </w:t>
      </w:r>
      <w:r w:rsidR="007F1DA4">
        <w:rPr>
          <w:rFonts w:ascii="Arial" w:hAnsi="Arial" w:cs="Arial"/>
        </w:rPr>
        <w:t xml:space="preserve">largely </w:t>
      </w:r>
      <w:r>
        <w:rPr>
          <w:rFonts w:ascii="Arial" w:hAnsi="Arial" w:cs="Arial"/>
        </w:rPr>
        <w:t xml:space="preserve">stable </w:t>
      </w:r>
      <w:r w:rsidR="00270D82">
        <w:rPr>
          <w:rFonts w:ascii="Arial" w:hAnsi="Arial" w:cs="Arial"/>
        </w:rPr>
        <w:t>until 2019/20 and 2020/21</w:t>
      </w:r>
      <w:r>
        <w:rPr>
          <w:rFonts w:ascii="Arial" w:hAnsi="Arial" w:cs="Arial"/>
        </w:rPr>
        <w:t xml:space="preserve"> </w:t>
      </w:r>
      <w:r w:rsidR="00D64840">
        <w:rPr>
          <w:rFonts w:ascii="Arial" w:hAnsi="Arial" w:cs="Arial"/>
        </w:rPr>
        <w:t xml:space="preserve">under review </w:t>
      </w:r>
      <w:r>
        <w:rPr>
          <w:rFonts w:ascii="Arial" w:hAnsi="Arial" w:cs="Arial"/>
        </w:rPr>
        <w:t>and that the proportion of first class and upper second class honours degree</w:t>
      </w:r>
      <w:r w:rsidR="00611100">
        <w:rPr>
          <w:rFonts w:ascii="Arial" w:hAnsi="Arial" w:cs="Arial"/>
        </w:rPr>
        <w:t>s</w:t>
      </w:r>
      <w:r>
        <w:rPr>
          <w:rFonts w:ascii="Arial" w:hAnsi="Arial" w:cs="Arial"/>
        </w:rPr>
        <w:t xml:space="preserve"> awarded is broadly in line with the sector average.  </w:t>
      </w:r>
    </w:p>
    <w:p w14:paraId="622A2181" w14:textId="5C31492E" w:rsidR="00B3158E" w:rsidRDefault="00242AB0">
      <w:pPr>
        <w:rPr>
          <w:rFonts w:ascii="Arial" w:hAnsi="Arial" w:cs="Arial"/>
        </w:rPr>
      </w:pPr>
      <w:r>
        <w:rPr>
          <w:rFonts w:ascii="Arial" w:hAnsi="Arial" w:cs="Arial"/>
        </w:rPr>
        <w:t>Three</w:t>
      </w:r>
      <w:r w:rsidR="00871D59" w:rsidRPr="00B02CBC">
        <w:rPr>
          <w:rFonts w:ascii="Arial" w:hAnsi="Arial" w:cs="Arial"/>
        </w:rPr>
        <w:t xml:space="preserve"> </w:t>
      </w:r>
      <w:r w:rsidR="00B3158E" w:rsidRPr="00B02CBC">
        <w:rPr>
          <w:rFonts w:ascii="Arial" w:hAnsi="Arial" w:cs="Arial"/>
        </w:rPr>
        <w:t>l</w:t>
      </w:r>
      <w:r w:rsidR="00B3158E">
        <w:rPr>
          <w:rFonts w:ascii="Arial" w:hAnsi="Arial" w:cs="Arial"/>
        </w:rPr>
        <w:t xml:space="preserve">ines of continued investigation </w:t>
      </w:r>
      <w:r w:rsidR="00611100">
        <w:rPr>
          <w:rFonts w:ascii="Arial" w:hAnsi="Arial" w:cs="Arial"/>
        </w:rPr>
        <w:t xml:space="preserve">and action </w:t>
      </w:r>
      <w:r w:rsidR="00B3158E">
        <w:rPr>
          <w:rFonts w:ascii="Arial" w:hAnsi="Arial" w:cs="Arial"/>
        </w:rPr>
        <w:t>are recommended, however:</w:t>
      </w:r>
    </w:p>
    <w:p w14:paraId="00F10185" w14:textId="43EF6579" w:rsidR="00611100" w:rsidRDefault="00611100" w:rsidP="00611100">
      <w:pPr>
        <w:pStyle w:val="ListParagraph"/>
        <w:numPr>
          <w:ilvl w:val="0"/>
          <w:numId w:val="1"/>
        </w:numPr>
        <w:rPr>
          <w:rFonts w:ascii="Arial" w:hAnsi="Arial" w:cs="Arial"/>
        </w:rPr>
      </w:pPr>
      <w:r>
        <w:rPr>
          <w:rFonts w:ascii="Arial" w:hAnsi="Arial" w:cs="Arial"/>
        </w:rPr>
        <w:t xml:space="preserve">The </w:t>
      </w:r>
      <w:r w:rsidRPr="009F77B2">
        <w:rPr>
          <w:rFonts w:ascii="Arial" w:hAnsi="Arial" w:cs="Arial"/>
        </w:rPr>
        <w:t>sizeable attainment gap between White and BAME students</w:t>
      </w:r>
      <w:r>
        <w:rPr>
          <w:rFonts w:ascii="Arial" w:hAnsi="Arial" w:cs="Arial"/>
        </w:rPr>
        <w:t>;</w:t>
      </w:r>
      <w:r w:rsidRPr="009F77B2">
        <w:rPr>
          <w:rFonts w:ascii="Arial" w:hAnsi="Arial" w:cs="Arial"/>
        </w:rPr>
        <w:t xml:space="preserve"> </w:t>
      </w:r>
      <w:r>
        <w:rPr>
          <w:rFonts w:ascii="Arial" w:hAnsi="Arial" w:cs="Arial"/>
        </w:rPr>
        <w:t xml:space="preserve"> </w:t>
      </w:r>
    </w:p>
    <w:p w14:paraId="0F7697E9" w14:textId="13DA3F09" w:rsidR="002C121A" w:rsidRDefault="00611100" w:rsidP="00F2505E">
      <w:pPr>
        <w:pStyle w:val="ListParagraph"/>
        <w:numPr>
          <w:ilvl w:val="0"/>
          <w:numId w:val="1"/>
        </w:numPr>
        <w:rPr>
          <w:rFonts w:ascii="Arial" w:hAnsi="Arial" w:cs="Arial"/>
        </w:rPr>
      </w:pPr>
      <w:r w:rsidRPr="002C121A">
        <w:rPr>
          <w:rFonts w:ascii="Arial" w:hAnsi="Arial" w:cs="Arial"/>
        </w:rPr>
        <w:t>The sizeable difference between 1st/2(1) rates between students from the most deprived localities and those from the least deprived areas.</w:t>
      </w:r>
      <w:r w:rsidR="002C121A" w:rsidRPr="002C121A">
        <w:rPr>
          <w:rFonts w:ascii="Arial" w:hAnsi="Arial" w:cs="Arial"/>
        </w:rPr>
        <w:t xml:space="preserve"> </w:t>
      </w:r>
    </w:p>
    <w:p w14:paraId="3EDE6D8E" w14:textId="1BFF465B" w:rsidR="00094306" w:rsidRPr="00242AB0" w:rsidRDefault="00094306" w:rsidP="00F2505E">
      <w:pPr>
        <w:pStyle w:val="ListParagraph"/>
        <w:numPr>
          <w:ilvl w:val="0"/>
          <w:numId w:val="1"/>
        </w:numPr>
        <w:rPr>
          <w:rFonts w:ascii="Arial" w:hAnsi="Arial" w:cs="Arial"/>
        </w:rPr>
      </w:pPr>
      <w:r w:rsidRPr="00242AB0">
        <w:rPr>
          <w:rFonts w:ascii="Arial" w:hAnsi="Arial" w:cs="Arial"/>
        </w:rPr>
        <w:t xml:space="preserve">Comparative performance analysis will be required in the future and once the data from BAU years is available, to ascertain whether the influx of good degrees could be attributed to </w:t>
      </w:r>
      <w:r w:rsidR="00242AB0" w:rsidRPr="00242AB0">
        <w:rPr>
          <w:rFonts w:ascii="Arial" w:hAnsi="Arial" w:cs="Arial"/>
        </w:rPr>
        <w:t xml:space="preserve">measures to mitigate the </w:t>
      </w:r>
      <w:r w:rsidR="00242AB0">
        <w:rPr>
          <w:rFonts w:ascii="Arial" w:hAnsi="Arial" w:cs="Arial"/>
        </w:rPr>
        <w:t xml:space="preserve">effects of the </w:t>
      </w:r>
      <w:r w:rsidR="00242AB0" w:rsidRPr="00242AB0">
        <w:rPr>
          <w:rFonts w:ascii="Arial" w:hAnsi="Arial" w:cs="Arial"/>
        </w:rPr>
        <w:t xml:space="preserve">pandemic put in place for that time. </w:t>
      </w:r>
    </w:p>
    <w:p w14:paraId="1E3C5396" w14:textId="1872E885" w:rsidR="00611100" w:rsidRDefault="00611100" w:rsidP="002C121A">
      <w:pPr>
        <w:ind w:left="360" w:firstLine="360"/>
        <w:rPr>
          <w:rFonts w:ascii="Arial" w:hAnsi="Arial" w:cs="Arial"/>
        </w:rPr>
      </w:pPr>
      <w:r w:rsidRPr="002C121A">
        <w:rPr>
          <w:rFonts w:ascii="Arial" w:hAnsi="Arial" w:cs="Arial"/>
          <w:b/>
          <w:bCs/>
        </w:rPr>
        <w:t xml:space="preserve">Action </w:t>
      </w:r>
      <w:r w:rsidR="00242AB0">
        <w:rPr>
          <w:rFonts w:ascii="Arial" w:hAnsi="Arial" w:cs="Arial"/>
          <w:b/>
          <w:bCs/>
        </w:rPr>
        <w:t>1</w:t>
      </w:r>
      <w:r w:rsidRPr="002C121A">
        <w:rPr>
          <w:rFonts w:ascii="Arial" w:hAnsi="Arial" w:cs="Arial"/>
          <w:b/>
          <w:bCs/>
        </w:rPr>
        <w:t xml:space="preserve"> &amp; :</w:t>
      </w:r>
      <w:r w:rsidRPr="002C121A">
        <w:rPr>
          <w:rFonts w:ascii="Arial" w:hAnsi="Arial" w:cs="Arial"/>
        </w:rPr>
        <w:t xml:space="preserve"> ESEB, Student Success Project. </w:t>
      </w:r>
    </w:p>
    <w:p w14:paraId="608F7D09" w14:textId="6D7761E6" w:rsidR="001553AE" w:rsidRPr="002C121A" w:rsidRDefault="001553AE" w:rsidP="002C121A">
      <w:pPr>
        <w:ind w:left="360" w:firstLine="360"/>
        <w:rPr>
          <w:rFonts w:ascii="Arial" w:hAnsi="Arial" w:cs="Arial"/>
        </w:rPr>
      </w:pPr>
      <w:r>
        <w:rPr>
          <w:rFonts w:ascii="Arial" w:hAnsi="Arial" w:cs="Arial"/>
          <w:b/>
          <w:bCs/>
        </w:rPr>
        <w:t xml:space="preserve">Action </w:t>
      </w:r>
      <w:r w:rsidR="00242AB0">
        <w:rPr>
          <w:rFonts w:ascii="Arial" w:hAnsi="Arial" w:cs="Arial"/>
          <w:b/>
          <w:bCs/>
        </w:rPr>
        <w:t>3</w:t>
      </w:r>
      <w:r>
        <w:rPr>
          <w:rFonts w:ascii="Arial" w:hAnsi="Arial" w:cs="Arial"/>
          <w:b/>
          <w:bCs/>
        </w:rPr>
        <w:t>:</w:t>
      </w:r>
      <w:r>
        <w:rPr>
          <w:rFonts w:ascii="Arial" w:hAnsi="Arial" w:cs="Arial"/>
        </w:rPr>
        <w:t xml:space="preserve"> ESEB via EASC. </w:t>
      </w:r>
    </w:p>
    <w:p w14:paraId="72A03C65" w14:textId="3A0C7BB3" w:rsidR="00611100" w:rsidRPr="00611100" w:rsidRDefault="00611100" w:rsidP="00611100">
      <w:pPr>
        <w:rPr>
          <w:rFonts w:ascii="Arial" w:hAnsi="Arial" w:cs="Arial"/>
        </w:rPr>
      </w:pPr>
    </w:p>
    <w:p w14:paraId="22A6FAC7" w14:textId="6A1D164F" w:rsidR="009F77B2" w:rsidRDefault="00C2707E">
      <w:pPr>
        <w:rPr>
          <w:rFonts w:ascii="Arial" w:hAnsi="Arial" w:cs="Arial"/>
        </w:rPr>
      </w:pPr>
      <w:r>
        <w:rPr>
          <w:rFonts w:ascii="Arial" w:hAnsi="Arial" w:cs="Arial"/>
        </w:rPr>
        <w:t>DN</w:t>
      </w:r>
      <w:r w:rsidR="0003121B">
        <w:rPr>
          <w:rFonts w:ascii="Arial" w:hAnsi="Arial" w:cs="Arial"/>
        </w:rPr>
        <w:t>/MD</w:t>
      </w:r>
      <w:r>
        <w:rPr>
          <w:rFonts w:ascii="Arial" w:hAnsi="Arial" w:cs="Arial"/>
        </w:rPr>
        <w:t xml:space="preserve"> </w:t>
      </w:r>
      <w:r w:rsidR="009F77B2">
        <w:rPr>
          <w:rFonts w:ascii="Arial" w:hAnsi="Arial" w:cs="Arial"/>
        </w:rPr>
        <w:br w:type="page"/>
      </w:r>
    </w:p>
    <w:p w14:paraId="7AEF7966" w14:textId="77777777" w:rsidR="009F77B2" w:rsidRPr="00E60C81" w:rsidRDefault="009F77B2" w:rsidP="009F77B2">
      <w:pPr>
        <w:rPr>
          <w:rFonts w:ascii="Arial" w:hAnsi="Arial" w:cs="Arial"/>
          <w:b/>
        </w:rPr>
      </w:pPr>
      <w:r w:rsidRPr="00E60C81">
        <w:rPr>
          <w:rFonts w:ascii="Arial" w:hAnsi="Arial" w:cs="Arial"/>
          <w:b/>
        </w:rPr>
        <w:lastRenderedPageBreak/>
        <w:t>Appendix A</w:t>
      </w:r>
    </w:p>
    <w:p w14:paraId="625D86B1" w14:textId="77777777" w:rsidR="00331C98" w:rsidRDefault="00331C98" w:rsidP="00331C98">
      <w:pPr>
        <w:rPr>
          <w:rFonts w:ascii="Arial" w:hAnsi="Arial" w:cs="Arial"/>
        </w:rPr>
      </w:pPr>
      <w:r w:rsidRPr="00C95C7A">
        <w:rPr>
          <w:rFonts w:ascii="Arial" w:hAnsi="Arial" w:cs="Arial"/>
        </w:rPr>
        <w:t xml:space="preserve">Table 1 presents the distribution of degree classifications across the </w:t>
      </w:r>
      <w:r>
        <w:rPr>
          <w:rFonts w:ascii="Arial" w:hAnsi="Arial" w:cs="Arial"/>
        </w:rPr>
        <w:t>six</w:t>
      </w:r>
      <w:r w:rsidRPr="00C95C7A">
        <w:rPr>
          <w:rFonts w:ascii="Arial" w:hAnsi="Arial" w:cs="Arial"/>
        </w:rPr>
        <w:t>-year period, showing evidence of some grade inflation, with the percentage of 1st / 2(1) awards increasing to 8</w:t>
      </w:r>
      <w:r>
        <w:rPr>
          <w:rFonts w:ascii="Arial" w:hAnsi="Arial" w:cs="Arial"/>
        </w:rPr>
        <w:t>7</w:t>
      </w:r>
      <w:r w:rsidRPr="00C95C7A">
        <w:rPr>
          <w:rFonts w:ascii="Arial" w:hAnsi="Arial" w:cs="Arial"/>
        </w:rPr>
        <w:t>% from 79-80% in the previous years</w:t>
      </w:r>
      <w:r>
        <w:rPr>
          <w:rFonts w:ascii="Arial" w:hAnsi="Arial" w:cs="Arial"/>
        </w:rPr>
        <w:t xml:space="preserve"> up until 2019/20</w:t>
      </w:r>
      <w:r w:rsidRPr="00C95C7A">
        <w:rPr>
          <w:rFonts w:ascii="Arial" w:hAnsi="Arial" w:cs="Arial"/>
        </w:rPr>
        <w:t>, and the percentage of 1st class awards increasing to 3</w:t>
      </w:r>
      <w:r>
        <w:rPr>
          <w:rFonts w:ascii="Arial" w:hAnsi="Arial" w:cs="Arial"/>
        </w:rPr>
        <w:t>6</w:t>
      </w:r>
      <w:r w:rsidRPr="00C95C7A">
        <w:rPr>
          <w:rFonts w:ascii="Arial" w:hAnsi="Arial" w:cs="Arial"/>
        </w:rPr>
        <w:t>% from 26-27% in earlier years</w:t>
      </w:r>
      <w:r>
        <w:rPr>
          <w:rFonts w:ascii="Arial" w:hAnsi="Arial" w:cs="Arial"/>
        </w:rPr>
        <w:t xml:space="preserve"> (up until 2019/20)</w:t>
      </w:r>
      <w:r w:rsidRPr="00C95C7A">
        <w:rPr>
          <w:rFonts w:ascii="Arial" w:hAnsi="Arial" w:cs="Arial"/>
        </w:rPr>
        <w:t>.</w:t>
      </w:r>
    </w:p>
    <w:p w14:paraId="125568BE" w14:textId="77777777" w:rsidR="00331C98" w:rsidRDefault="00331C98" w:rsidP="00331C98">
      <w:pPr>
        <w:rPr>
          <w:rFonts w:ascii="Arial" w:hAnsi="Arial" w:cs="Arial"/>
        </w:rPr>
      </w:pPr>
      <w:r w:rsidRPr="00C95C7A">
        <w:rPr>
          <w:rFonts w:ascii="Arial" w:hAnsi="Arial" w:cs="Arial"/>
        </w:rPr>
        <w:t>In 20</w:t>
      </w:r>
      <w:r>
        <w:rPr>
          <w:rFonts w:ascii="Arial" w:hAnsi="Arial" w:cs="Arial"/>
        </w:rPr>
        <w:t>20/</w:t>
      </w:r>
      <w:r w:rsidRPr="00C95C7A">
        <w:rPr>
          <w:rFonts w:ascii="Arial" w:hAnsi="Arial" w:cs="Arial"/>
        </w:rPr>
        <w:t>2</w:t>
      </w:r>
      <w:r>
        <w:rPr>
          <w:rFonts w:ascii="Arial" w:hAnsi="Arial" w:cs="Arial"/>
        </w:rPr>
        <w:t>1</w:t>
      </w:r>
      <w:r w:rsidRPr="00C95C7A">
        <w:rPr>
          <w:rFonts w:ascii="Arial" w:hAnsi="Arial" w:cs="Arial"/>
        </w:rPr>
        <w:t>, Kent had a slightly higher rate of awarding 1st/2(1) degrees than the national sector average (8</w:t>
      </w:r>
      <w:r>
        <w:rPr>
          <w:rFonts w:ascii="Arial" w:hAnsi="Arial" w:cs="Arial"/>
        </w:rPr>
        <w:t>7</w:t>
      </w:r>
      <w:r w:rsidRPr="00C95C7A">
        <w:rPr>
          <w:rFonts w:ascii="Arial" w:hAnsi="Arial" w:cs="Arial"/>
        </w:rPr>
        <w:t>% vs 8</w:t>
      </w:r>
      <w:r>
        <w:rPr>
          <w:rFonts w:ascii="Arial" w:hAnsi="Arial" w:cs="Arial"/>
        </w:rPr>
        <w:t>3</w:t>
      </w:r>
      <w:r w:rsidRPr="00C95C7A">
        <w:rPr>
          <w:rFonts w:ascii="Arial" w:hAnsi="Arial" w:cs="Arial"/>
        </w:rPr>
        <w:t>%).</w:t>
      </w:r>
    </w:p>
    <w:p w14:paraId="530438A3" w14:textId="461BA71C" w:rsidR="009F77B2" w:rsidRDefault="00331C98" w:rsidP="00C95C7A">
      <w:pPr>
        <w:rPr>
          <w:rFonts w:ascii="Arial" w:hAnsi="Arial" w:cs="Arial"/>
        </w:rPr>
      </w:pPr>
      <w:r w:rsidRPr="00331C98">
        <w:rPr>
          <w:rFonts w:ascii="Arial" w:hAnsi="Arial" w:cs="Arial"/>
          <w:noProof/>
          <w:lang w:eastAsia="en-GB"/>
        </w:rPr>
        <w:drawing>
          <wp:inline distT="0" distB="0" distL="0" distR="0" wp14:anchorId="2DE6B570" wp14:editId="0C004267">
            <wp:extent cx="6645910" cy="101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645910" cy="1016000"/>
                    </a:xfrm>
                    <a:prstGeom prst="rect">
                      <a:avLst/>
                    </a:prstGeom>
                  </pic:spPr>
                </pic:pic>
              </a:graphicData>
            </a:graphic>
          </wp:inline>
        </w:drawing>
      </w:r>
    </w:p>
    <w:p w14:paraId="201B025D" w14:textId="77777777" w:rsidR="00C95C7A" w:rsidRDefault="00C95C7A" w:rsidP="009F77B2">
      <w:pPr>
        <w:rPr>
          <w:rFonts w:ascii="Arial" w:hAnsi="Arial" w:cs="Arial"/>
        </w:rPr>
      </w:pPr>
      <w:r w:rsidRPr="00C95C7A">
        <w:rPr>
          <w:rFonts w:ascii="Arial" w:hAnsi="Arial" w:cs="Arial"/>
        </w:rPr>
        <w:t>Overall levels of achievement are highest amongst validated institutions (see tables 2 and 3), based on smaller populations studying towards highly specialised awards.</w:t>
      </w:r>
    </w:p>
    <w:p w14:paraId="1313B60A" w14:textId="5C65E4BE" w:rsidR="009F77B2" w:rsidRPr="009F77B2" w:rsidRDefault="00331C98" w:rsidP="009F77B2">
      <w:pPr>
        <w:rPr>
          <w:rFonts w:ascii="Arial" w:hAnsi="Arial" w:cs="Arial"/>
        </w:rPr>
      </w:pPr>
      <w:r w:rsidRPr="00331C98">
        <w:rPr>
          <w:rFonts w:ascii="Arial" w:hAnsi="Arial" w:cs="Arial"/>
          <w:noProof/>
          <w:lang w:eastAsia="en-GB"/>
        </w:rPr>
        <w:drawing>
          <wp:inline distT="0" distB="0" distL="0" distR="0" wp14:anchorId="4C05333A" wp14:editId="0AFC83C1">
            <wp:extent cx="6645910" cy="1414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645910" cy="1414145"/>
                    </a:xfrm>
                    <a:prstGeom prst="rect">
                      <a:avLst/>
                    </a:prstGeom>
                  </pic:spPr>
                </pic:pic>
              </a:graphicData>
            </a:graphic>
          </wp:inline>
        </w:drawing>
      </w:r>
    </w:p>
    <w:p w14:paraId="763B4BDC" w14:textId="0576E204" w:rsidR="009F77B2" w:rsidRDefault="00331C98" w:rsidP="009F77B2">
      <w:pPr>
        <w:rPr>
          <w:rFonts w:ascii="Arial" w:hAnsi="Arial" w:cs="Arial"/>
        </w:rPr>
      </w:pPr>
      <w:r w:rsidRPr="00331C98">
        <w:rPr>
          <w:rFonts w:ascii="Arial" w:hAnsi="Arial" w:cs="Arial"/>
          <w:noProof/>
          <w:lang w:eastAsia="en-GB"/>
        </w:rPr>
        <w:drawing>
          <wp:inline distT="0" distB="0" distL="0" distR="0" wp14:anchorId="3CC97205" wp14:editId="42E79B9D">
            <wp:extent cx="6645910" cy="5181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645910" cy="518160"/>
                    </a:xfrm>
                    <a:prstGeom prst="rect">
                      <a:avLst/>
                    </a:prstGeom>
                  </pic:spPr>
                </pic:pic>
              </a:graphicData>
            </a:graphic>
          </wp:inline>
        </w:drawing>
      </w:r>
    </w:p>
    <w:p w14:paraId="5BDA39E5" w14:textId="6AA8556C" w:rsidR="009F77B2" w:rsidRDefault="00331C98" w:rsidP="009F77B2">
      <w:pPr>
        <w:rPr>
          <w:rFonts w:ascii="Arial" w:hAnsi="Arial" w:cs="Arial"/>
        </w:rPr>
      </w:pPr>
      <w:r w:rsidRPr="00331C98">
        <w:rPr>
          <w:rFonts w:ascii="Arial" w:hAnsi="Arial" w:cs="Arial"/>
          <w:noProof/>
          <w:lang w:eastAsia="en-GB"/>
        </w:rPr>
        <w:drawing>
          <wp:inline distT="0" distB="0" distL="0" distR="0" wp14:anchorId="56E1ED4B" wp14:editId="24D63A14">
            <wp:extent cx="6645910" cy="13144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645910" cy="1314450"/>
                    </a:xfrm>
                    <a:prstGeom prst="rect">
                      <a:avLst/>
                    </a:prstGeom>
                  </pic:spPr>
                </pic:pic>
              </a:graphicData>
            </a:graphic>
          </wp:inline>
        </w:drawing>
      </w:r>
    </w:p>
    <w:p w14:paraId="3FE9C2F4" w14:textId="3002F13E" w:rsidR="009F77B2" w:rsidRPr="009F77B2" w:rsidRDefault="00331C98" w:rsidP="009F77B2">
      <w:pPr>
        <w:rPr>
          <w:rFonts w:ascii="Arial" w:hAnsi="Arial" w:cs="Arial"/>
        </w:rPr>
      </w:pPr>
      <w:r w:rsidRPr="00331C98">
        <w:rPr>
          <w:rFonts w:ascii="Arial" w:hAnsi="Arial" w:cs="Arial"/>
          <w:noProof/>
          <w:lang w:eastAsia="en-GB"/>
        </w:rPr>
        <w:drawing>
          <wp:inline distT="0" distB="0" distL="0" distR="0" wp14:anchorId="7BED9A6E" wp14:editId="159D17DD">
            <wp:extent cx="6645910" cy="6172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645910" cy="617220"/>
                    </a:xfrm>
                    <a:prstGeom prst="rect">
                      <a:avLst/>
                    </a:prstGeom>
                  </pic:spPr>
                </pic:pic>
              </a:graphicData>
            </a:graphic>
          </wp:inline>
        </w:drawing>
      </w:r>
    </w:p>
    <w:p w14:paraId="54D59A6E" w14:textId="4172A78E" w:rsidR="00C95C7A" w:rsidRDefault="00C95C7A" w:rsidP="009F77B2">
      <w:pPr>
        <w:rPr>
          <w:rFonts w:ascii="Arial" w:hAnsi="Arial" w:cs="Arial"/>
        </w:rPr>
      </w:pPr>
      <w:r w:rsidRPr="00C95C7A">
        <w:rPr>
          <w:rFonts w:ascii="Arial" w:hAnsi="Arial" w:cs="Arial"/>
        </w:rPr>
        <w:t xml:space="preserve">Across demographic splits in the data, female students outperform their male counterparts (see table 5), with a </w:t>
      </w:r>
      <w:r w:rsidR="00A23E65">
        <w:rPr>
          <w:rFonts w:ascii="Arial" w:hAnsi="Arial" w:cs="Arial"/>
        </w:rPr>
        <w:t>8</w:t>
      </w:r>
      <w:r w:rsidRPr="00C95C7A">
        <w:rPr>
          <w:rFonts w:ascii="Arial" w:hAnsi="Arial" w:cs="Arial"/>
        </w:rPr>
        <w:t>% percentage difference 20</w:t>
      </w:r>
      <w:r w:rsidR="00A23E65">
        <w:rPr>
          <w:rFonts w:ascii="Arial" w:hAnsi="Arial" w:cs="Arial"/>
        </w:rPr>
        <w:t>20/21</w:t>
      </w:r>
      <w:r w:rsidRPr="00C95C7A">
        <w:rPr>
          <w:rFonts w:ascii="Arial" w:hAnsi="Arial" w:cs="Arial"/>
        </w:rPr>
        <w:t xml:space="preserve"> and </w:t>
      </w:r>
      <w:r w:rsidR="00A23E65">
        <w:rPr>
          <w:rFonts w:ascii="Arial" w:hAnsi="Arial" w:cs="Arial"/>
        </w:rPr>
        <w:t>9</w:t>
      </w:r>
      <w:r w:rsidRPr="00C95C7A">
        <w:rPr>
          <w:rFonts w:ascii="Arial" w:hAnsi="Arial" w:cs="Arial"/>
        </w:rPr>
        <w:t>% percentage difference in 2019</w:t>
      </w:r>
      <w:r w:rsidR="00A23E65">
        <w:rPr>
          <w:rFonts w:ascii="Arial" w:hAnsi="Arial" w:cs="Arial"/>
        </w:rPr>
        <w:t>/</w:t>
      </w:r>
      <w:r w:rsidRPr="00C95C7A">
        <w:rPr>
          <w:rFonts w:ascii="Arial" w:hAnsi="Arial" w:cs="Arial"/>
        </w:rPr>
        <w:t>20. There is a sizeable attainment gap between White and BAME students (see table 7), this is a major focus of activity for the Student Success Project. Students declaring a disability do not appear to be disadvantaged in terms of degree award outcomes, maintaining comparable rates of 1st/2(1) achievement with those with no known disability.</w:t>
      </w:r>
    </w:p>
    <w:p w14:paraId="6045EAC1" w14:textId="2DE6057B" w:rsidR="006F3A4B" w:rsidRPr="006979F5" w:rsidRDefault="006F3A4B" w:rsidP="009F77B2">
      <w:pPr>
        <w:rPr>
          <w:rFonts w:ascii="Arial" w:hAnsi="Arial" w:cs="Arial"/>
          <w:b/>
          <w:bCs/>
        </w:rPr>
      </w:pPr>
      <w:r w:rsidRPr="006979F5">
        <w:rPr>
          <w:rFonts w:ascii="Arial" w:hAnsi="Arial" w:cs="Arial"/>
          <w:b/>
          <w:bCs/>
        </w:rPr>
        <w:t xml:space="preserve">However, the BAME awarding gap has come down dramatically in </w:t>
      </w:r>
      <w:r w:rsidR="00A23E65">
        <w:rPr>
          <w:rFonts w:ascii="Arial" w:hAnsi="Arial" w:cs="Arial"/>
          <w:b/>
          <w:bCs/>
        </w:rPr>
        <w:t xml:space="preserve">2019/20 </w:t>
      </w:r>
      <w:r w:rsidRPr="006979F5">
        <w:rPr>
          <w:rFonts w:ascii="Arial" w:hAnsi="Arial" w:cs="Arial"/>
          <w:b/>
          <w:bCs/>
        </w:rPr>
        <w:t xml:space="preserve">to 12% from the 19% it has been at for the </w:t>
      </w:r>
      <w:r w:rsidR="00C05969">
        <w:rPr>
          <w:rFonts w:ascii="Arial" w:hAnsi="Arial" w:cs="Arial"/>
          <w:b/>
          <w:bCs/>
        </w:rPr>
        <w:t>previous</w:t>
      </w:r>
      <w:r w:rsidRPr="006979F5">
        <w:rPr>
          <w:rFonts w:ascii="Arial" w:hAnsi="Arial" w:cs="Arial"/>
          <w:b/>
          <w:bCs/>
        </w:rPr>
        <w:t xml:space="preserve"> 3 years. </w:t>
      </w:r>
      <w:r w:rsidR="00C05969">
        <w:rPr>
          <w:rFonts w:ascii="Arial" w:hAnsi="Arial" w:cs="Arial"/>
          <w:b/>
          <w:bCs/>
        </w:rPr>
        <w:t xml:space="preserve">The awarding gap has further reduced to 10% in 2020/21. </w:t>
      </w:r>
      <w:r w:rsidRPr="006979F5">
        <w:rPr>
          <w:rFonts w:ascii="Arial" w:hAnsi="Arial" w:cs="Arial"/>
          <w:b/>
          <w:bCs/>
        </w:rPr>
        <w:t xml:space="preserve">This reduction is also seen amongst the gap between First class degrees awarded. Within this, the Black/White awarding gap </w:t>
      </w:r>
      <w:r w:rsidR="00C05969">
        <w:rPr>
          <w:rFonts w:ascii="Arial" w:hAnsi="Arial" w:cs="Arial"/>
          <w:b/>
          <w:bCs/>
        </w:rPr>
        <w:t>remains similar at 15% (</w:t>
      </w:r>
      <w:r w:rsidRPr="006979F5">
        <w:rPr>
          <w:rFonts w:ascii="Arial" w:hAnsi="Arial" w:cs="Arial"/>
          <w:b/>
          <w:bCs/>
        </w:rPr>
        <w:t>16%</w:t>
      </w:r>
      <w:r w:rsidR="00C05969">
        <w:rPr>
          <w:rFonts w:ascii="Arial" w:hAnsi="Arial" w:cs="Arial"/>
          <w:b/>
          <w:bCs/>
        </w:rPr>
        <w:t xml:space="preserve"> in 2019/20). </w:t>
      </w:r>
      <w:r w:rsidRPr="006979F5">
        <w:rPr>
          <w:rFonts w:ascii="Arial" w:hAnsi="Arial" w:cs="Arial"/>
          <w:b/>
          <w:bCs/>
        </w:rPr>
        <w:t xml:space="preserve"> </w:t>
      </w:r>
      <w:r w:rsidR="00C05969">
        <w:rPr>
          <w:rFonts w:ascii="Arial" w:hAnsi="Arial" w:cs="Arial"/>
          <w:b/>
          <w:bCs/>
        </w:rPr>
        <w:t>However, it is the</w:t>
      </w:r>
      <w:r w:rsidRPr="006979F5">
        <w:rPr>
          <w:rFonts w:ascii="Arial" w:hAnsi="Arial" w:cs="Arial"/>
          <w:b/>
          <w:bCs/>
        </w:rPr>
        <w:t xml:space="preserve"> lowest </w:t>
      </w:r>
      <w:r w:rsidR="00C05969">
        <w:rPr>
          <w:rFonts w:ascii="Arial" w:hAnsi="Arial" w:cs="Arial"/>
          <w:b/>
          <w:bCs/>
        </w:rPr>
        <w:t xml:space="preserve">since </w:t>
      </w:r>
      <w:r w:rsidR="00C05969">
        <w:rPr>
          <w:rFonts w:ascii="Arial" w:hAnsi="Arial" w:cs="Arial"/>
          <w:b/>
          <w:bCs/>
        </w:rPr>
        <w:lastRenderedPageBreak/>
        <w:t xml:space="preserve">2015/16. </w:t>
      </w:r>
      <w:r w:rsidRPr="006979F5">
        <w:rPr>
          <w:rFonts w:ascii="Arial" w:hAnsi="Arial" w:cs="Arial"/>
          <w:b/>
          <w:bCs/>
        </w:rPr>
        <w:t xml:space="preserve"> </w:t>
      </w:r>
      <w:r w:rsidR="00F12565">
        <w:rPr>
          <w:rFonts w:ascii="Arial" w:hAnsi="Arial" w:cs="Arial"/>
          <w:b/>
          <w:bCs/>
        </w:rPr>
        <w:t>T</w:t>
      </w:r>
      <w:r w:rsidRPr="006979F5">
        <w:rPr>
          <w:rFonts w:ascii="Arial" w:hAnsi="Arial" w:cs="Arial"/>
          <w:b/>
          <w:bCs/>
        </w:rPr>
        <w:t xml:space="preserve">he Asian/White gap </w:t>
      </w:r>
      <w:r w:rsidR="00F12565">
        <w:rPr>
          <w:rFonts w:ascii="Arial" w:hAnsi="Arial" w:cs="Arial"/>
          <w:b/>
          <w:bCs/>
        </w:rPr>
        <w:t xml:space="preserve">also remain similar at 9% (7% in 2019/20). </w:t>
      </w:r>
      <w:r w:rsidRPr="006979F5">
        <w:rPr>
          <w:rFonts w:ascii="Arial" w:hAnsi="Arial" w:cs="Arial"/>
          <w:b/>
          <w:bCs/>
        </w:rPr>
        <w:t xml:space="preserve"> Mixed</w:t>
      </w:r>
      <w:r w:rsidR="007639A0">
        <w:rPr>
          <w:rFonts w:ascii="Arial" w:hAnsi="Arial" w:cs="Arial"/>
          <w:b/>
          <w:bCs/>
        </w:rPr>
        <w:t xml:space="preserve"> </w:t>
      </w:r>
      <w:r w:rsidRPr="006979F5">
        <w:rPr>
          <w:rFonts w:ascii="Arial" w:hAnsi="Arial" w:cs="Arial"/>
          <w:b/>
          <w:bCs/>
        </w:rPr>
        <w:t>&amp;</w:t>
      </w:r>
      <w:r w:rsidR="007639A0">
        <w:rPr>
          <w:rFonts w:ascii="Arial" w:hAnsi="Arial" w:cs="Arial"/>
          <w:b/>
          <w:bCs/>
        </w:rPr>
        <w:t xml:space="preserve"> </w:t>
      </w:r>
      <w:r w:rsidRPr="006979F5">
        <w:rPr>
          <w:rFonts w:ascii="Arial" w:hAnsi="Arial" w:cs="Arial"/>
          <w:b/>
          <w:bCs/>
        </w:rPr>
        <w:t xml:space="preserve">Other/White awarding gap has also reduced by </w:t>
      </w:r>
      <w:r w:rsidR="00F12565">
        <w:rPr>
          <w:rFonts w:ascii="Arial" w:hAnsi="Arial" w:cs="Arial"/>
          <w:b/>
          <w:bCs/>
        </w:rPr>
        <w:t>3</w:t>
      </w:r>
      <w:r w:rsidRPr="006979F5">
        <w:rPr>
          <w:rFonts w:ascii="Arial" w:hAnsi="Arial" w:cs="Arial"/>
          <w:b/>
          <w:bCs/>
        </w:rPr>
        <w:t xml:space="preserve">% point. </w:t>
      </w:r>
    </w:p>
    <w:p w14:paraId="7C976954" w14:textId="56BC2CBD" w:rsidR="006F3A4B" w:rsidRPr="006979F5" w:rsidRDefault="006F3A4B" w:rsidP="009F77B2">
      <w:pPr>
        <w:rPr>
          <w:rFonts w:ascii="Arial" w:hAnsi="Arial" w:cs="Arial"/>
          <w:b/>
          <w:bCs/>
        </w:rPr>
      </w:pPr>
      <w:r w:rsidRPr="006979F5">
        <w:rPr>
          <w:rFonts w:ascii="Arial" w:hAnsi="Arial" w:cs="Arial"/>
          <w:b/>
          <w:bCs/>
        </w:rPr>
        <w:t xml:space="preserve">In short, while there has been an overall increase in awarding of First and 2(I)’s, this has occurred at the same time as great reductions have been achieved in many of the targets set by the OfS. It is important that if we reduce the higher provision of First and 2(I)’s, we do so while not losing this beneficial equality work. </w:t>
      </w:r>
    </w:p>
    <w:p w14:paraId="0F966727" w14:textId="77777777" w:rsidR="008274AC" w:rsidRDefault="00C95C7A" w:rsidP="009F77B2">
      <w:pPr>
        <w:rPr>
          <w:rFonts w:ascii="Arial" w:hAnsi="Arial" w:cs="Arial"/>
        </w:rPr>
      </w:pPr>
      <w:r w:rsidRPr="00C95C7A">
        <w:rPr>
          <w:rFonts w:ascii="Arial" w:hAnsi="Arial" w:cs="Arial"/>
        </w:rPr>
        <w:t xml:space="preserve">1st/2(1) rates for student coming of areas of low higher education participation have seen a larger increase than the rates for students from areas of high participation (see table 9). </w:t>
      </w:r>
    </w:p>
    <w:p w14:paraId="21AFA4D7" w14:textId="3203110F" w:rsidR="00C95C7A" w:rsidRPr="00C95C7A" w:rsidRDefault="008274AC" w:rsidP="009F77B2">
      <w:pPr>
        <w:rPr>
          <w:rFonts w:ascii="Arial" w:hAnsi="Arial" w:cs="Arial"/>
        </w:rPr>
      </w:pPr>
      <w:r>
        <w:rPr>
          <w:rFonts w:ascii="Arial" w:hAnsi="Arial" w:cs="Arial"/>
        </w:rPr>
        <w:t>T</w:t>
      </w:r>
      <w:r w:rsidR="00C95C7A" w:rsidRPr="00C95C7A">
        <w:rPr>
          <w:rFonts w:ascii="Arial" w:hAnsi="Arial" w:cs="Arial"/>
        </w:rPr>
        <w:t>here remains a sizeable difference between 1st/2(1) rates between students from the most deprived localities and those from the least deprived areas (see table 10)</w:t>
      </w:r>
      <w:r>
        <w:rPr>
          <w:rFonts w:ascii="Arial" w:hAnsi="Arial" w:cs="Arial"/>
        </w:rPr>
        <w:t>. However, this</w:t>
      </w:r>
      <w:r w:rsidR="00C95C7A" w:rsidRPr="00C95C7A">
        <w:rPr>
          <w:rFonts w:ascii="Arial" w:hAnsi="Arial" w:cs="Arial"/>
        </w:rPr>
        <w:t xml:space="preserve"> difference </w:t>
      </w:r>
      <w:r>
        <w:rPr>
          <w:rFonts w:ascii="Arial" w:hAnsi="Arial" w:cs="Arial"/>
        </w:rPr>
        <w:t>reduced by 9% points in 2020/21</w:t>
      </w:r>
      <w:r w:rsidR="00C95C7A" w:rsidRPr="00C95C7A">
        <w:rPr>
          <w:rFonts w:ascii="Arial" w:hAnsi="Arial" w:cs="Arial"/>
        </w:rPr>
        <w:t>.</w:t>
      </w:r>
    </w:p>
    <w:p w14:paraId="52E8507A" w14:textId="64B103F0" w:rsidR="00E60C81" w:rsidRDefault="00A23E65" w:rsidP="009F77B2">
      <w:pPr>
        <w:rPr>
          <w:rFonts w:ascii="Arial" w:hAnsi="Arial" w:cs="Arial"/>
        </w:rPr>
      </w:pPr>
      <w:r w:rsidRPr="00A23E65">
        <w:rPr>
          <w:rFonts w:ascii="Arial" w:hAnsi="Arial" w:cs="Arial"/>
          <w:noProof/>
          <w:lang w:eastAsia="en-GB"/>
        </w:rPr>
        <w:drawing>
          <wp:inline distT="0" distB="0" distL="0" distR="0" wp14:anchorId="75F1094B" wp14:editId="5F3EE907">
            <wp:extent cx="6645910" cy="8166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645910" cy="816610"/>
                    </a:xfrm>
                    <a:prstGeom prst="rect">
                      <a:avLst/>
                    </a:prstGeom>
                  </pic:spPr>
                </pic:pic>
              </a:graphicData>
            </a:graphic>
          </wp:inline>
        </w:drawing>
      </w:r>
    </w:p>
    <w:p w14:paraId="2A6694F8" w14:textId="59C4CB50" w:rsidR="00F57BFC" w:rsidRDefault="00A23E65" w:rsidP="009F77B2">
      <w:pPr>
        <w:rPr>
          <w:rFonts w:ascii="Arial" w:hAnsi="Arial" w:cs="Arial"/>
        </w:rPr>
      </w:pPr>
      <w:r w:rsidRPr="00A23E65">
        <w:rPr>
          <w:rFonts w:ascii="Arial" w:hAnsi="Arial" w:cs="Arial"/>
          <w:noProof/>
          <w:lang w:eastAsia="en-GB"/>
        </w:rPr>
        <w:drawing>
          <wp:inline distT="0" distB="0" distL="0" distR="0" wp14:anchorId="6DB8936D" wp14:editId="64414800">
            <wp:extent cx="6645910" cy="916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645910" cy="916305"/>
                    </a:xfrm>
                    <a:prstGeom prst="rect">
                      <a:avLst/>
                    </a:prstGeom>
                  </pic:spPr>
                </pic:pic>
              </a:graphicData>
            </a:graphic>
          </wp:inline>
        </w:drawing>
      </w:r>
    </w:p>
    <w:p w14:paraId="3564292B" w14:textId="476B7C9D" w:rsidR="00E60C81" w:rsidRDefault="00A23E65" w:rsidP="00E60C81">
      <w:pPr>
        <w:rPr>
          <w:rFonts w:ascii="Arial" w:hAnsi="Arial" w:cs="Arial"/>
        </w:rPr>
      </w:pPr>
      <w:r w:rsidRPr="00A23E65">
        <w:rPr>
          <w:rFonts w:ascii="Arial" w:hAnsi="Arial" w:cs="Arial"/>
          <w:noProof/>
          <w:lang w:eastAsia="en-GB"/>
        </w:rPr>
        <w:drawing>
          <wp:inline distT="0" distB="0" distL="0" distR="0" wp14:anchorId="0198812F" wp14:editId="538F1AC8">
            <wp:extent cx="6645910" cy="8166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645910" cy="816610"/>
                    </a:xfrm>
                    <a:prstGeom prst="rect">
                      <a:avLst/>
                    </a:prstGeom>
                  </pic:spPr>
                </pic:pic>
              </a:graphicData>
            </a:graphic>
          </wp:inline>
        </w:drawing>
      </w:r>
    </w:p>
    <w:p w14:paraId="5E8C3015" w14:textId="44DC5790" w:rsidR="00E60C81" w:rsidRDefault="00A23E65" w:rsidP="00E60C81">
      <w:pPr>
        <w:rPr>
          <w:rFonts w:ascii="Arial" w:hAnsi="Arial" w:cs="Arial"/>
        </w:rPr>
      </w:pPr>
      <w:r w:rsidRPr="00A23E65">
        <w:rPr>
          <w:rFonts w:ascii="Arial" w:hAnsi="Arial" w:cs="Arial"/>
          <w:noProof/>
          <w:lang w:eastAsia="en-GB"/>
        </w:rPr>
        <w:drawing>
          <wp:inline distT="0" distB="0" distL="0" distR="0" wp14:anchorId="5417F5D2" wp14:editId="25E96B57">
            <wp:extent cx="6645910" cy="8166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645910" cy="816610"/>
                    </a:xfrm>
                    <a:prstGeom prst="rect">
                      <a:avLst/>
                    </a:prstGeom>
                  </pic:spPr>
                </pic:pic>
              </a:graphicData>
            </a:graphic>
          </wp:inline>
        </w:drawing>
      </w:r>
    </w:p>
    <w:p w14:paraId="431D9130" w14:textId="3E42033A" w:rsidR="00E60C81" w:rsidRDefault="00A23E65" w:rsidP="00E60C81">
      <w:pPr>
        <w:rPr>
          <w:rFonts w:ascii="Arial" w:hAnsi="Arial" w:cs="Arial"/>
        </w:rPr>
      </w:pPr>
      <w:r w:rsidRPr="00A23E65">
        <w:rPr>
          <w:rFonts w:ascii="Arial" w:hAnsi="Arial" w:cs="Arial"/>
          <w:noProof/>
          <w:lang w:eastAsia="en-GB"/>
        </w:rPr>
        <w:drawing>
          <wp:inline distT="0" distB="0" distL="0" distR="0" wp14:anchorId="0582A50F" wp14:editId="4F22A040">
            <wp:extent cx="6645910" cy="8166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645910" cy="816610"/>
                    </a:xfrm>
                    <a:prstGeom prst="rect">
                      <a:avLst/>
                    </a:prstGeom>
                  </pic:spPr>
                </pic:pic>
              </a:graphicData>
            </a:graphic>
          </wp:inline>
        </w:drawing>
      </w:r>
    </w:p>
    <w:p w14:paraId="1BD60AA5" w14:textId="5C4AADEE" w:rsidR="00C2707E" w:rsidRPr="00C2707E" w:rsidRDefault="00AD1F5B" w:rsidP="00E60C81">
      <w:pPr>
        <w:rPr>
          <w:rFonts w:ascii="Arial" w:hAnsi="Arial" w:cs="Arial"/>
          <w:sz w:val="20"/>
          <w:szCs w:val="20"/>
          <w:shd w:val="clear" w:color="auto" w:fill="FFFFFF"/>
        </w:rPr>
      </w:pPr>
      <w:r>
        <w:rPr>
          <w:rFonts w:ascii="Arial" w:hAnsi="Arial" w:cs="Arial"/>
        </w:rPr>
        <w:t xml:space="preserve">Nb. </w:t>
      </w:r>
      <w:r w:rsidRPr="00AD1F5B">
        <w:rPr>
          <w:rFonts w:ascii="Arial" w:hAnsi="Arial" w:cs="Arial"/>
          <w:sz w:val="20"/>
          <w:szCs w:val="20"/>
          <w:shd w:val="clear" w:color="auto" w:fill="FFFFFF"/>
        </w:rPr>
        <w:t>[s] = suppressed – HESA rounding strategy applied – percentages need at least 22.5 people in the denominator</w:t>
      </w:r>
      <w:r w:rsidR="00B3158E">
        <w:rPr>
          <w:rFonts w:ascii="Arial" w:hAnsi="Arial" w:cs="Arial"/>
          <w:sz w:val="20"/>
          <w:szCs w:val="20"/>
          <w:shd w:val="clear" w:color="auto" w:fill="FFFFFF"/>
        </w:rPr>
        <w:t xml:space="preserve">. </w:t>
      </w:r>
    </w:p>
    <w:sectPr w:rsidR="00C2707E" w:rsidRPr="00C2707E" w:rsidSect="00C1799D">
      <w:footerReference w:type="default" r:id="rId37"/>
      <w:headerReference w:type="first" r:id="rId38"/>
      <w:footerReference w:type="first" r:id="rId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D50F" w14:textId="77777777" w:rsidR="00A82762" w:rsidRDefault="00A82762" w:rsidP="00EC32AF">
      <w:pPr>
        <w:spacing w:after="0" w:line="240" w:lineRule="auto"/>
      </w:pPr>
      <w:r>
        <w:separator/>
      </w:r>
    </w:p>
  </w:endnote>
  <w:endnote w:type="continuationSeparator" w:id="0">
    <w:p w14:paraId="33F4E255" w14:textId="77777777" w:rsidR="00A82762" w:rsidRDefault="00A82762" w:rsidP="00EC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566816"/>
      <w:docPartObj>
        <w:docPartGallery w:val="Page Numbers (Bottom of Page)"/>
        <w:docPartUnique/>
      </w:docPartObj>
    </w:sdtPr>
    <w:sdtEndPr>
      <w:rPr>
        <w:noProof/>
      </w:rPr>
    </w:sdtEndPr>
    <w:sdtContent>
      <w:p w14:paraId="3C0E24A7" w14:textId="2923B9A2" w:rsidR="00B02CBC" w:rsidRDefault="00B02CBC">
        <w:pPr>
          <w:pStyle w:val="Footer"/>
          <w:jc w:val="center"/>
        </w:pPr>
        <w:r>
          <w:fldChar w:fldCharType="begin"/>
        </w:r>
        <w:r>
          <w:instrText xml:space="preserve"> PAGE   \* MERGEFORMAT </w:instrText>
        </w:r>
        <w:r>
          <w:fldChar w:fldCharType="separate"/>
        </w:r>
        <w:r w:rsidR="005444C2">
          <w:rPr>
            <w:noProof/>
          </w:rPr>
          <w:t>8</w:t>
        </w:r>
        <w:r>
          <w:rPr>
            <w:noProof/>
          </w:rPr>
          <w:fldChar w:fldCharType="end"/>
        </w:r>
      </w:p>
    </w:sdtContent>
  </w:sdt>
  <w:p w14:paraId="20E71C04" w14:textId="77777777" w:rsidR="008303C6" w:rsidRDefault="00830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269830"/>
      <w:docPartObj>
        <w:docPartGallery w:val="Page Numbers (Bottom of Page)"/>
        <w:docPartUnique/>
      </w:docPartObj>
    </w:sdtPr>
    <w:sdtEndPr>
      <w:rPr>
        <w:noProof/>
      </w:rPr>
    </w:sdtEndPr>
    <w:sdtContent>
      <w:p w14:paraId="7EDD3532" w14:textId="233DCE02" w:rsidR="00BF41A0" w:rsidRDefault="00BF41A0">
        <w:pPr>
          <w:pStyle w:val="Footer"/>
          <w:jc w:val="center"/>
        </w:pPr>
        <w:r>
          <w:fldChar w:fldCharType="begin"/>
        </w:r>
        <w:r>
          <w:instrText xml:space="preserve"> PAGE   \* MERGEFORMAT </w:instrText>
        </w:r>
        <w:r>
          <w:fldChar w:fldCharType="separate"/>
        </w:r>
        <w:r w:rsidR="00C1799D">
          <w:rPr>
            <w:noProof/>
          </w:rPr>
          <w:t>1</w:t>
        </w:r>
        <w:r>
          <w:rPr>
            <w:noProof/>
          </w:rPr>
          <w:fldChar w:fldCharType="end"/>
        </w:r>
      </w:p>
    </w:sdtContent>
  </w:sdt>
  <w:p w14:paraId="4B2FABC3" w14:textId="77777777" w:rsidR="00BF41A0" w:rsidRDefault="00BF4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6DF0" w14:textId="77777777" w:rsidR="00A82762" w:rsidRDefault="00A82762" w:rsidP="00EC32AF">
      <w:pPr>
        <w:spacing w:after="0" w:line="240" w:lineRule="auto"/>
      </w:pPr>
      <w:r>
        <w:separator/>
      </w:r>
    </w:p>
  </w:footnote>
  <w:footnote w:type="continuationSeparator" w:id="0">
    <w:p w14:paraId="25506979" w14:textId="77777777" w:rsidR="00A82762" w:rsidRDefault="00A82762" w:rsidP="00EC3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D587" w14:textId="79AEDF07" w:rsidR="00EC32AF" w:rsidRPr="009F77B2" w:rsidRDefault="00EC32AF" w:rsidP="00EC32AF">
    <w:pPr>
      <w:pStyle w:val="Header"/>
      <w:jc w:val="center"/>
      <w:rPr>
        <w:rFonts w:ascii="Arial" w:hAnsi="Arial" w:cs="Arial"/>
        <w:b/>
      </w:rPr>
    </w:pPr>
    <w:r w:rsidRPr="009F77B2">
      <w:rPr>
        <w:rFonts w:ascii="Arial" w:hAnsi="Arial" w:cs="Arial"/>
        <w:b/>
        <w:noProof/>
        <w:lang w:eastAsia="en-GB"/>
      </w:rPr>
      <w:drawing>
        <wp:anchor distT="0" distB="0" distL="114300" distR="114300" simplePos="0" relativeHeight="251658240" behindDoc="1" locked="0" layoutInCell="1" allowOverlap="1" wp14:anchorId="548F4BCC" wp14:editId="185BA841">
          <wp:simplePos x="0" y="0"/>
          <wp:positionH relativeFrom="column">
            <wp:posOffset>4871720</wp:posOffset>
          </wp:positionH>
          <wp:positionV relativeFrom="paragraph">
            <wp:posOffset>-405765</wp:posOffset>
          </wp:positionV>
          <wp:extent cx="1470025" cy="953135"/>
          <wp:effectExtent l="0" t="0" r="0" b="0"/>
          <wp:wrapTight wrapText="bothSides">
            <wp:wrapPolygon edited="0">
              <wp:start x="0" y="0"/>
              <wp:lineTo x="0" y="21154"/>
              <wp:lineTo x="21273" y="21154"/>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025" cy="953135"/>
                  </a:xfrm>
                  <a:prstGeom prst="rect">
                    <a:avLst/>
                  </a:prstGeom>
                  <a:noFill/>
                </pic:spPr>
              </pic:pic>
            </a:graphicData>
          </a:graphic>
          <wp14:sizeRelH relativeFrom="margin">
            <wp14:pctWidth>0</wp14:pctWidth>
          </wp14:sizeRelH>
          <wp14:sizeRelV relativeFrom="margin">
            <wp14:pctHeight>0</wp14:pctHeight>
          </wp14:sizeRelV>
        </wp:anchor>
      </w:drawing>
    </w:r>
    <w:r w:rsidRPr="009F77B2">
      <w:rPr>
        <w:rFonts w:ascii="Arial" w:hAnsi="Arial" w:cs="Arial"/>
        <w:b/>
      </w:rPr>
      <w:t>DEGREE OUTCOMES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B44E7"/>
    <w:multiLevelType w:val="hybridMultilevel"/>
    <w:tmpl w:val="4232F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97CCD"/>
    <w:multiLevelType w:val="hybridMultilevel"/>
    <w:tmpl w:val="272C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0046151">
    <w:abstractNumId w:val="0"/>
  </w:num>
  <w:num w:numId="2" w16cid:durableId="1739522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2AF"/>
    <w:rsid w:val="00001688"/>
    <w:rsid w:val="000050EA"/>
    <w:rsid w:val="0000519E"/>
    <w:rsid w:val="0001323A"/>
    <w:rsid w:val="0001369D"/>
    <w:rsid w:val="00020150"/>
    <w:rsid w:val="00030748"/>
    <w:rsid w:val="0003121B"/>
    <w:rsid w:val="00031630"/>
    <w:rsid w:val="00052606"/>
    <w:rsid w:val="00054F95"/>
    <w:rsid w:val="00067727"/>
    <w:rsid w:val="00080D51"/>
    <w:rsid w:val="00094306"/>
    <w:rsid w:val="000D45AB"/>
    <w:rsid w:val="000E35F2"/>
    <w:rsid w:val="001016DF"/>
    <w:rsid w:val="00131CD0"/>
    <w:rsid w:val="00136699"/>
    <w:rsid w:val="00141F7E"/>
    <w:rsid w:val="00155384"/>
    <w:rsid w:val="001553AE"/>
    <w:rsid w:val="00184C9C"/>
    <w:rsid w:val="001A1A44"/>
    <w:rsid w:val="001A34D3"/>
    <w:rsid w:val="001C4749"/>
    <w:rsid w:val="002129FC"/>
    <w:rsid w:val="002256CB"/>
    <w:rsid w:val="00240664"/>
    <w:rsid w:val="00242AB0"/>
    <w:rsid w:val="00266B7F"/>
    <w:rsid w:val="00270D82"/>
    <w:rsid w:val="00290A2E"/>
    <w:rsid w:val="00291062"/>
    <w:rsid w:val="0029547C"/>
    <w:rsid w:val="002A336E"/>
    <w:rsid w:val="002A3CD1"/>
    <w:rsid w:val="002A7F68"/>
    <w:rsid w:val="002C121A"/>
    <w:rsid w:val="002C4C98"/>
    <w:rsid w:val="002E1227"/>
    <w:rsid w:val="00327179"/>
    <w:rsid w:val="00327CAF"/>
    <w:rsid w:val="00331A7A"/>
    <w:rsid w:val="00331C98"/>
    <w:rsid w:val="0033303B"/>
    <w:rsid w:val="003415D3"/>
    <w:rsid w:val="00342C76"/>
    <w:rsid w:val="00346C28"/>
    <w:rsid w:val="00354928"/>
    <w:rsid w:val="00354C53"/>
    <w:rsid w:val="00386C86"/>
    <w:rsid w:val="00397799"/>
    <w:rsid w:val="003D2E17"/>
    <w:rsid w:val="003F760E"/>
    <w:rsid w:val="0040029C"/>
    <w:rsid w:val="004201FA"/>
    <w:rsid w:val="004251A5"/>
    <w:rsid w:val="00427D8A"/>
    <w:rsid w:val="0043603E"/>
    <w:rsid w:val="00491F69"/>
    <w:rsid w:val="004A56FB"/>
    <w:rsid w:val="004B3C08"/>
    <w:rsid w:val="004B6612"/>
    <w:rsid w:val="004D58C8"/>
    <w:rsid w:val="004D5C3A"/>
    <w:rsid w:val="0051021D"/>
    <w:rsid w:val="00514905"/>
    <w:rsid w:val="00520231"/>
    <w:rsid w:val="00525C9F"/>
    <w:rsid w:val="00536544"/>
    <w:rsid w:val="00542C4C"/>
    <w:rsid w:val="00543397"/>
    <w:rsid w:val="00544342"/>
    <w:rsid w:val="005444C2"/>
    <w:rsid w:val="00570ADA"/>
    <w:rsid w:val="00583A5D"/>
    <w:rsid w:val="00584E02"/>
    <w:rsid w:val="00596349"/>
    <w:rsid w:val="005A01C9"/>
    <w:rsid w:val="005B2FF3"/>
    <w:rsid w:val="005B51FB"/>
    <w:rsid w:val="005C46BA"/>
    <w:rsid w:val="005C616D"/>
    <w:rsid w:val="005D7549"/>
    <w:rsid w:val="005E18F0"/>
    <w:rsid w:val="005E25B9"/>
    <w:rsid w:val="005F30D6"/>
    <w:rsid w:val="006061CB"/>
    <w:rsid w:val="00611100"/>
    <w:rsid w:val="0063199B"/>
    <w:rsid w:val="00640BE1"/>
    <w:rsid w:val="006575FD"/>
    <w:rsid w:val="00672812"/>
    <w:rsid w:val="00690FCC"/>
    <w:rsid w:val="006979F5"/>
    <w:rsid w:val="006A5903"/>
    <w:rsid w:val="006B7947"/>
    <w:rsid w:val="006F3A4B"/>
    <w:rsid w:val="00710230"/>
    <w:rsid w:val="00713392"/>
    <w:rsid w:val="00713C40"/>
    <w:rsid w:val="00716E9E"/>
    <w:rsid w:val="00726F85"/>
    <w:rsid w:val="00746CED"/>
    <w:rsid w:val="007506D1"/>
    <w:rsid w:val="00751528"/>
    <w:rsid w:val="007639A0"/>
    <w:rsid w:val="007B79C5"/>
    <w:rsid w:val="007C59E6"/>
    <w:rsid w:val="007D1893"/>
    <w:rsid w:val="007F1DA4"/>
    <w:rsid w:val="007F2108"/>
    <w:rsid w:val="007F6AC8"/>
    <w:rsid w:val="008106AD"/>
    <w:rsid w:val="00816045"/>
    <w:rsid w:val="008274AC"/>
    <w:rsid w:val="008303C6"/>
    <w:rsid w:val="00830571"/>
    <w:rsid w:val="008360C8"/>
    <w:rsid w:val="008515C4"/>
    <w:rsid w:val="008542A5"/>
    <w:rsid w:val="00857A40"/>
    <w:rsid w:val="00871D59"/>
    <w:rsid w:val="00904521"/>
    <w:rsid w:val="00914F63"/>
    <w:rsid w:val="009154A2"/>
    <w:rsid w:val="009432EE"/>
    <w:rsid w:val="0095113D"/>
    <w:rsid w:val="0095679D"/>
    <w:rsid w:val="00963AC2"/>
    <w:rsid w:val="0096548B"/>
    <w:rsid w:val="0097199B"/>
    <w:rsid w:val="009811BC"/>
    <w:rsid w:val="00993B1F"/>
    <w:rsid w:val="009A44FE"/>
    <w:rsid w:val="009C70F6"/>
    <w:rsid w:val="009C79C9"/>
    <w:rsid w:val="009D4FC0"/>
    <w:rsid w:val="009F43D8"/>
    <w:rsid w:val="009F77B2"/>
    <w:rsid w:val="00A149FC"/>
    <w:rsid w:val="00A212C5"/>
    <w:rsid w:val="00A23E65"/>
    <w:rsid w:val="00A24341"/>
    <w:rsid w:val="00A329A4"/>
    <w:rsid w:val="00A33C34"/>
    <w:rsid w:val="00A82151"/>
    <w:rsid w:val="00A82762"/>
    <w:rsid w:val="00A9394C"/>
    <w:rsid w:val="00AD1F5B"/>
    <w:rsid w:val="00AD7E06"/>
    <w:rsid w:val="00AF78E6"/>
    <w:rsid w:val="00B02CBC"/>
    <w:rsid w:val="00B037C1"/>
    <w:rsid w:val="00B306F8"/>
    <w:rsid w:val="00B3158E"/>
    <w:rsid w:val="00B40D1C"/>
    <w:rsid w:val="00B636B3"/>
    <w:rsid w:val="00B65332"/>
    <w:rsid w:val="00B91E72"/>
    <w:rsid w:val="00B95367"/>
    <w:rsid w:val="00BA0690"/>
    <w:rsid w:val="00BA2FC0"/>
    <w:rsid w:val="00BA7F44"/>
    <w:rsid w:val="00BC246C"/>
    <w:rsid w:val="00BD1C8C"/>
    <w:rsid w:val="00BD51D5"/>
    <w:rsid w:val="00BD7566"/>
    <w:rsid w:val="00BF24C9"/>
    <w:rsid w:val="00BF27A8"/>
    <w:rsid w:val="00BF41A0"/>
    <w:rsid w:val="00C04EF8"/>
    <w:rsid w:val="00C05969"/>
    <w:rsid w:val="00C1799D"/>
    <w:rsid w:val="00C22405"/>
    <w:rsid w:val="00C2707E"/>
    <w:rsid w:val="00C31038"/>
    <w:rsid w:val="00C32AAD"/>
    <w:rsid w:val="00C44947"/>
    <w:rsid w:val="00C46AE8"/>
    <w:rsid w:val="00C5191D"/>
    <w:rsid w:val="00C61770"/>
    <w:rsid w:val="00C6246E"/>
    <w:rsid w:val="00C659CA"/>
    <w:rsid w:val="00C773F0"/>
    <w:rsid w:val="00C95C7A"/>
    <w:rsid w:val="00CB1B1F"/>
    <w:rsid w:val="00CC70BC"/>
    <w:rsid w:val="00D04AA2"/>
    <w:rsid w:val="00D07DDB"/>
    <w:rsid w:val="00D26188"/>
    <w:rsid w:val="00D61A88"/>
    <w:rsid w:val="00D64840"/>
    <w:rsid w:val="00D94B53"/>
    <w:rsid w:val="00D96935"/>
    <w:rsid w:val="00DB5240"/>
    <w:rsid w:val="00DB7813"/>
    <w:rsid w:val="00DC27E3"/>
    <w:rsid w:val="00DC774D"/>
    <w:rsid w:val="00DD1AF3"/>
    <w:rsid w:val="00E2128C"/>
    <w:rsid w:val="00E23C59"/>
    <w:rsid w:val="00E60C81"/>
    <w:rsid w:val="00E6290F"/>
    <w:rsid w:val="00E63BB9"/>
    <w:rsid w:val="00E9349C"/>
    <w:rsid w:val="00EC32AF"/>
    <w:rsid w:val="00ED73B4"/>
    <w:rsid w:val="00F10401"/>
    <w:rsid w:val="00F12565"/>
    <w:rsid w:val="00F20312"/>
    <w:rsid w:val="00F34C28"/>
    <w:rsid w:val="00F36C6C"/>
    <w:rsid w:val="00F46B6F"/>
    <w:rsid w:val="00F57BFC"/>
    <w:rsid w:val="00F62690"/>
    <w:rsid w:val="00FC59BC"/>
    <w:rsid w:val="00FD2FD5"/>
    <w:rsid w:val="00FD7DAA"/>
    <w:rsid w:val="00FF16F7"/>
    <w:rsid w:val="00FF52AE"/>
    <w:rsid w:val="00FF6B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9489A"/>
  <w15:chartTrackingRefBased/>
  <w15:docId w15:val="{E10D77D5-38DC-48A4-9DAC-AD497E8A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1A44"/>
    <w:pPr>
      <w:keepNext/>
      <w:keepLines/>
      <w:spacing w:before="240" w:after="0"/>
      <w:outlineLvl w:val="0"/>
    </w:pPr>
    <w:rPr>
      <w:rFonts w:asciiTheme="majorHAnsi" w:eastAsiaTheme="majorEastAsia" w:hAnsiTheme="majorHAnsi" w:cstheme="majorBidi"/>
      <w:color w:val="2E74B5"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2AF"/>
  </w:style>
  <w:style w:type="paragraph" w:styleId="Footer">
    <w:name w:val="footer"/>
    <w:basedOn w:val="Normal"/>
    <w:link w:val="FooterChar"/>
    <w:uiPriority w:val="99"/>
    <w:unhideWhenUsed/>
    <w:rsid w:val="00EC3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2AF"/>
  </w:style>
  <w:style w:type="character" w:styleId="Hyperlink">
    <w:name w:val="Hyperlink"/>
    <w:basedOn w:val="DefaultParagraphFont"/>
    <w:uiPriority w:val="99"/>
    <w:unhideWhenUsed/>
    <w:rsid w:val="009F77B2"/>
    <w:rPr>
      <w:color w:val="0000FF"/>
      <w:u w:val="single"/>
    </w:rPr>
  </w:style>
  <w:style w:type="paragraph" w:styleId="NormalWeb">
    <w:name w:val="Normal (Web)"/>
    <w:basedOn w:val="Normal"/>
    <w:uiPriority w:val="99"/>
    <w:unhideWhenUsed/>
    <w:rsid w:val="009F7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158E"/>
    <w:pPr>
      <w:ind w:left="720"/>
      <w:contextualSpacing/>
    </w:pPr>
  </w:style>
  <w:style w:type="character" w:customStyle="1" w:styleId="UnresolvedMention1">
    <w:name w:val="Unresolved Mention1"/>
    <w:basedOn w:val="DefaultParagraphFont"/>
    <w:uiPriority w:val="99"/>
    <w:semiHidden/>
    <w:unhideWhenUsed/>
    <w:rsid w:val="00746CED"/>
    <w:rPr>
      <w:color w:val="605E5C"/>
      <w:shd w:val="clear" w:color="auto" w:fill="E1DFDD"/>
    </w:rPr>
  </w:style>
  <w:style w:type="character" w:styleId="CommentReference">
    <w:name w:val="annotation reference"/>
    <w:basedOn w:val="DefaultParagraphFont"/>
    <w:uiPriority w:val="99"/>
    <w:semiHidden/>
    <w:unhideWhenUsed/>
    <w:rsid w:val="00746CED"/>
    <w:rPr>
      <w:sz w:val="16"/>
      <w:szCs w:val="16"/>
    </w:rPr>
  </w:style>
  <w:style w:type="paragraph" w:styleId="CommentText">
    <w:name w:val="annotation text"/>
    <w:basedOn w:val="Normal"/>
    <w:link w:val="CommentTextChar"/>
    <w:uiPriority w:val="99"/>
    <w:semiHidden/>
    <w:unhideWhenUsed/>
    <w:rsid w:val="00746CED"/>
    <w:pPr>
      <w:spacing w:line="240" w:lineRule="auto"/>
    </w:pPr>
    <w:rPr>
      <w:sz w:val="20"/>
      <w:szCs w:val="20"/>
    </w:rPr>
  </w:style>
  <w:style w:type="character" w:customStyle="1" w:styleId="CommentTextChar">
    <w:name w:val="Comment Text Char"/>
    <w:basedOn w:val="DefaultParagraphFont"/>
    <w:link w:val="CommentText"/>
    <w:uiPriority w:val="99"/>
    <w:semiHidden/>
    <w:rsid w:val="00746CED"/>
    <w:rPr>
      <w:sz w:val="20"/>
      <w:szCs w:val="20"/>
    </w:rPr>
  </w:style>
  <w:style w:type="paragraph" w:styleId="CommentSubject">
    <w:name w:val="annotation subject"/>
    <w:basedOn w:val="CommentText"/>
    <w:next w:val="CommentText"/>
    <w:link w:val="CommentSubjectChar"/>
    <w:uiPriority w:val="99"/>
    <w:semiHidden/>
    <w:unhideWhenUsed/>
    <w:rsid w:val="00746CED"/>
    <w:rPr>
      <w:b/>
      <w:bCs/>
    </w:rPr>
  </w:style>
  <w:style w:type="character" w:customStyle="1" w:styleId="CommentSubjectChar">
    <w:name w:val="Comment Subject Char"/>
    <w:basedOn w:val="CommentTextChar"/>
    <w:link w:val="CommentSubject"/>
    <w:uiPriority w:val="99"/>
    <w:semiHidden/>
    <w:rsid w:val="00746CED"/>
    <w:rPr>
      <w:b/>
      <w:bCs/>
      <w:sz w:val="20"/>
      <w:szCs w:val="20"/>
    </w:rPr>
  </w:style>
  <w:style w:type="paragraph" w:styleId="BalloonText">
    <w:name w:val="Balloon Text"/>
    <w:basedOn w:val="Normal"/>
    <w:link w:val="BalloonTextChar"/>
    <w:uiPriority w:val="99"/>
    <w:semiHidden/>
    <w:unhideWhenUsed/>
    <w:rsid w:val="00746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CED"/>
    <w:rPr>
      <w:rFonts w:ascii="Segoe UI" w:hAnsi="Segoe UI" w:cs="Segoe UI"/>
      <w:sz w:val="18"/>
      <w:szCs w:val="18"/>
    </w:rPr>
  </w:style>
  <w:style w:type="character" w:styleId="PlaceholderText">
    <w:name w:val="Placeholder Text"/>
    <w:basedOn w:val="DefaultParagraphFont"/>
    <w:uiPriority w:val="99"/>
    <w:semiHidden/>
    <w:rsid w:val="00C32AAD"/>
    <w:rPr>
      <w:color w:val="808080"/>
    </w:rPr>
  </w:style>
  <w:style w:type="table" w:styleId="TableGrid">
    <w:name w:val="Table Grid"/>
    <w:basedOn w:val="TableNormal"/>
    <w:uiPriority w:val="39"/>
    <w:rsid w:val="00C17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4749"/>
    <w:pPr>
      <w:spacing w:after="0" w:line="240" w:lineRule="auto"/>
    </w:pPr>
  </w:style>
  <w:style w:type="character" w:customStyle="1" w:styleId="Heading1Char">
    <w:name w:val="Heading 1 Char"/>
    <w:basedOn w:val="DefaultParagraphFont"/>
    <w:link w:val="Heading1"/>
    <w:uiPriority w:val="9"/>
    <w:rsid w:val="001A1A44"/>
    <w:rPr>
      <w:rFonts w:asciiTheme="majorHAnsi" w:eastAsiaTheme="majorEastAsia" w:hAnsiTheme="majorHAnsi" w:cstheme="majorBidi"/>
      <w:color w:val="2E74B5"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7840">
      <w:bodyDiv w:val="1"/>
      <w:marLeft w:val="0"/>
      <w:marRight w:val="0"/>
      <w:marTop w:val="0"/>
      <w:marBottom w:val="0"/>
      <w:divBdr>
        <w:top w:val="none" w:sz="0" w:space="0" w:color="auto"/>
        <w:left w:val="none" w:sz="0" w:space="0" w:color="auto"/>
        <w:bottom w:val="none" w:sz="0" w:space="0" w:color="auto"/>
        <w:right w:val="none" w:sz="0" w:space="0" w:color="auto"/>
      </w:divBdr>
    </w:div>
    <w:div w:id="204097598">
      <w:bodyDiv w:val="1"/>
      <w:marLeft w:val="0"/>
      <w:marRight w:val="0"/>
      <w:marTop w:val="0"/>
      <w:marBottom w:val="0"/>
      <w:divBdr>
        <w:top w:val="none" w:sz="0" w:space="0" w:color="auto"/>
        <w:left w:val="none" w:sz="0" w:space="0" w:color="auto"/>
        <w:bottom w:val="none" w:sz="0" w:space="0" w:color="auto"/>
        <w:right w:val="none" w:sz="0" w:space="0" w:color="auto"/>
      </w:divBdr>
    </w:div>
    <w:div w:id="220290487">
      <w:bodyDiv w:val="1"/>
      <w:marLeft w:val="0"/>
      <w:marRight w:val="0"/>
      <w:marTop w:val="0"/>
      <w:marBottom w:val="0"/>
      <w:divBdr>
        <w:top w:val="none" w:sz="0" w:space="0" w:color="auto"/>
        <w:left w:val="none" w:sz="0" w:space="0" w:color="auto"/>
        <w:bottom w:val="none" w:sz="0" w:space="0" w:color="auto"/>
        <w:right w:val="none" w:sz="0" w:space="0" w:color="auto"/>
      </w:divBdr>
    </w:div>
    <w:div w:id="237205192">
      <w:bodyDiv w:val="1"/>
      <w:marLeft w:val="0"/>
      <w:marRight w:val="0"/>
      <w:marTop w:val="0"/>
      <w:marBottom w:val="0"/>
      <w:divBdr>
        <w:top w:val="none" w:sz="0" w:space="0" w:color="auto"/>
        <w:left w:val="none" w:sz="0" w:space="0" w:color="auto"/>
        <w:bottom w:val="none" w:sz="0" w:space="0" w:color="auto"/>
        <w:right w:val="none" w:sz="0" w:space="0" w:color="auto"/>
      </w:divBdr>
      <w:divsChild>
        <w:div w:id="726102484">
          <w:marLeft w:val="0"/>
          <w:marRight w:val="0"/>
          <w:marTop w:val="0"/>
          <w:marBottom w:val="0"/>
          <w:divBdr>
            <w:top w:val="none" w:sz="0" w:space="0" w:color="auto"/>
            <w:left w:val="none" w:sz="0" w:space="0" w:color="auto"/>
            <w:bottom w:val="none" w:sz="0" w:space="0" w:color="auto"/>
            <w:right w:val="none" w:sz="0" w:space="0" w:color="auto"/>
          </w:divBdr>
        </w:div>
      </w:divsChild>
    </w:div>
    <w:div w:id="684332978">
      <w:bodyDiv w:val="1"/>
      <w:marLeft w:val="0"/>
      <w:marRight w:val="0"/>
      <w:marTop w:val="0"/>
      <w:marBottom w:val="0"/>
      <w:divBdr>
        <w:top w:val="none" w:sz="0" w:space="0" w:color="auto"/>
        <w:left w:val="none" w:sz="0" w:space="0" w:color="auto"/>
        <w:bottom w:val="none" w:sz="0" w:space="0" w:color="auto"/>
        <w:right w:val="none" w:sz="0" w:space="0" w:color="auto"/>
      </w:divBdr>
    </w:div>
    <w:div w:id="696858808">
      <w:bodyDiv w:val="1"/>
      <w:marLeft w:val="0"/>
      <w:marRight w:val="0"/>
      <w:marTop w:val="0"/>
      <w:marBottom w:val="0"/>
      <w:divBdr>
        <w:top w:val="none" w:sz="0" w:space="0" w:color="auto"/>
        <w:left w:val="none" w:sz="0" w:space="0" w:color="auto"/>
        <w:bottom w:val="none" w:sz="0" w:space="0" w:color="auto"/>
        <w:right w:val="none" w:sz="0" w:space="0" w:color="auto"/>
      </w:divBdr>
    </w:div>
    <w:div w:id="1693922047">
      <w:bodyDiv w:val="1"/>
      <w:marLeft w:val="0"/>
      <w:marRight w:val="0"/>
      <w:marTop w:val="0"/>
      <w:marBottom w:val="0"/>
      <w:divBdr>
        <w:top w:val="none" w:sz="0" w:space="0" w:color="auto"/>
        <w:left w:val="none" w:sz="0" w:space="0" w:color="auto"/>
        <w:bottom w:val="none" w:sz="0" w:space="0" w:color="auto"/>
        <w:right w:val="none" w:sz="0" w:space="0" w:color="auto"/>
      </w:divBdr>
    </w:div>
    <w:div w:id="17177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a.ac.uk/quality-code/subject-benchmark-statements" TargetMode="External"/><Relationship Id="rId18" Type="http://schemas.openxmlformats.org/officeDocument/2006/relationships/hyperlink" Target="https://www.kent.ac.uk/teaching/qa/codes/taught/documents/copt2020-annexj-boards-of-examiners-v2.pdf" TargetMode="External"/><Relationship Id="rId26" Type="http://schemas.openxmlformats.org/officeDocument/2006/relationships/hyperlink" Target="https://www.kent.ac.uk/teaching/qa/credit-framework/documents/cf2020-credit-framework-sept2020.pdf"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kent.ac.uk/teaching/qa/credit-framework/documents/cf2020-annex9-mitigation.pdf" TargetMode="External"/><Relationship Id="rId34"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hyperlink" Target="https://www.qaa.ac.uk/quality-code" TargetMode="External"/><Relationship Id="rId17" Type="http://schemas.openxmlformats.org/officeDocument/2006/relationships/hyperlink" Target="https://www.kent.ac.uk/teaching/qa/codes/taught/documents/copt2020-annexj-boards-of-examiners-v2.pdf" TargetMode="External"/><Relationship Id="rId25" Type="http://schemas.openxmlformats.org/officeDocument/2006/relationships/hyperlink" Target="https://www.kent.ac.uk/teaching/qa/credit-framework/index.html" TargetMode="External"/><Relationship Id="rId33" Type="http://schemas.openxmlformats.org/officeDocument/2006/relationships/image" Target="media/image8.emf"/><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kent.ac.uk/teaching/qa/credit-framework/documents/cf2020-annex6-marking.pdf" TargetMode="External"/><Relationship Id="rId20" Type="http://schemas.openxmlformats.org/officeDocument/2006/relationships/hyperlink" Target="https://www.kent.ac.uk/teaching/qa/codes/taught/documents/copt2020-annexk-external-examiners-v2.pdf" TargetMode="External"/><Relationship Id="rId29" Type="http://schemas.openxmlformats.org/officeDocument/2006/relationships/image" Target="media/image4.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kent.ac.uk/teaching/qa/codes/index.html" TargetMode="External"/><Relationship Id="rId32" Type="http://schemas.openxmlformats.org/officeDocument/2006/relationships/image" Target="media/image7.e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kent.ac.uk/teaching/qa/credit-framework/documents/cf2020-annex6-marking.pdf" TargetMode="External"/><Relationship Id="rId23" Type="http://schemas.openxmlformats.org/officeDocument/2006/relationships/hyperlink" Target="https://www.kent.ac.uk/teaching/qa/regulations/index.html" TargetMode="External"/><Relationship Id="rId28" Type="http://schemas.openxmlformats.org/officeDocument/2006/relationships/image" Target="media/image3.emf"/><Relationship Id="rId36" Type="http://schemas.openxmlformats.org/officeDocument/2006/relationships/image" Target="media/image11.emf"/><Relationship Id="rId10" Type="http://schemas.openxmlformats.org/officeDocument/2006/relationships/endnotes" Target="endnotes.xml"/><Relationship Id="rId19" Type="http://schemas.openxmlformats.org/officeDocument/2006/relationships/hyperlink" Target="https://www.qaa.ac.uk/quality-code/qualifications-and-credit-frameworks" TargetMode="External"/><Relationship Id="rId31"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scqa.org.uk/what-we-do/degree-standards/" TargetMode="External"/><Relationship Id="rId22" Type="http://schemas.openxmlformats.org/officeDocument/2006/relationships/hyperlink" Target="https://www.kent.ac.uk/teaching/qa/credit-framework/documents/cf2020-annex13-appeals.pdf" TargetMode="Externa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5" ma:contentTypeDescription="Create a new document." ma:contentTypeScope="" ma:versionID="84a2ca5400692c8bf02fcc9b63840839">
  <xsd:schema xmlns:xsd="http://www.w3.org/2001/XMLSchema" xmlns:xs="http://www.w3.org/2001/XMLSchema" xmlns:p="http://schemas.microsoft.com/office/2006/metadata/properties" xmlns:ns2="4844a565-d903-479b-8f5d-e7c9db0d7e7d" targetNamespace="http://schemas.microsoft.com/office/2006/metadata/properties" ma:root="true" ma:fieldsID="4eeb2d93a35154e85d8a01d375861648" ns2:_="">
    <xsd:import namespace="4844a565-d903-479b-8f5d-e7c9db0d7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documentManagement>
</p:properties>
</file>

<file path=customXml/itemProps1.xml><?xml version="1.0" encoding="utf-8"?>
<ds:datastoreItem xmlns:ds="http://schemas.openxmlformats.org/officeDocument/2006/customXml" ds:itemID="{8071F70E-CE14-4007-9963-5F38425344A5}">
  <ds:schemaRefs>
    <ds:schemaRef ds:uri="http://schemas.microsoft.com/sharepoint/v3/contenttype/forms"/>
  </ds:schemaRefs>
</ds:datastoreItem>
</file>

<file path=customXml/itemProps2.xml><?xml version="1.0" encoding="utf-8"?>
<ds:datastoreItem xmlns:ds="http://schemas.openxmlformats.org/officeDocument/2006/customXml" ds:itemID="{01CDBF43-6811-48E6-8088-E5D294C1670E}"/>
</file>

<file path=customXml/itemProps3.xml><?xml version="1.0" encoding="utf-8"?>
<ds:datastoreItem xmlns:ds="http://schemas.openxmlformats.org/officeDocument/2006/customXml" ds:itemID="{25036306-F1A1-425B-8E98-156851330D0E}">
  <ds:schemaRefs>
    <ds:schemaRef ds:uri="http://schemas.openxmlformats.org/officeDocument/2006/bibliography"/>
  </ds:schemaRefs>
</ds:datastoreItem>
</file>

<file path=customXml/itemProps4.xml><?xml version="1.0" encoding="utf-8"?>
<ds:datastoreItem xmlns:ds="http://schemas.openxmlformats.org/officeDocument/2006/customXml" ds:itemID="{66853A7C-D4B7-4F38-BE46-02D197C1B99A}">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1</TotalTime>
  <Pages>7</Pages>
  <Words>3282</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Nacyte</dc:creator>
  <cp:keywords/>
  <dc:description/>
  <cp:lastModifiedBy>Daiva Nacyte</cp:lastModifiedBy>
  <cp:revision>3</cp:revision>
  <cp:lastPrinted>2020-12-08T14:52:00Z</cp:lastPrinted>
  <dcterms:created xsi:type="dcterms:W3CDTF">2022-07-11T15:21:00Z</dcterms:created>
  <dcterms:modified xsi:type="dcterms:W3CDTF">2022-07-11T15:22:00Z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0x01010007C60AE6480C8D49900E7A4362DC978A</vt:lpwstr>
  </property>
</Properties>
</file>