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705D" w:rsidR="006D26AB" w:rsidP="00AC6F40" w:rsidRDefault="006D26AB" w14:paraId="3C7A6F99" w14:textId="4018157A">
      <w:pPr>
        <w:spacing w:after="120" w:line="240" w:lineRule="auto"/>
        <w:ind w:left="993" w:hanging="709"/>
        <w:jc w:val="left"/>
        <w:rPr>
          <w:sz w:val="24"/>
          <w:szCs w:val="24"/>
        </w:rPr>
      </w:pPr>
    </w:p>
    <w:p w:rsidR="006D26AB" w:rsidP="00AC6F40" w:rsidRDefault="006D26AB" w14:paraId="68A17266" w14:textId="458642E3">
      <w:pPr>
        <w:pStyle w:val="TQACO"/>
        <w:ind w:left="0" w:firstLine="0"/>
        <w:contextualSpacing w:val="0"/>
        <w:rPr>
          <w:b/>
        </w:rPr>
      </w:pPr>
      <w:r w:rsidRPr="00A8004A">
        <w:rPr>
          <w:b/>
        </w:rPr>
        <w:t>Annex J: Meetings of Boards of Examiners</w:t>
      </w:r>
    </w:p>
    <w:p w:rsidRPr="00A8004A" w:rsidR="00A8004A" w:rsidP="00AC6F40" w:rsidRDefault="00A8004A" w14:paraId="4AC0D2D5" w14:textId="77777777">
      <w:pPr>
        <w:pStyle w:val="TQACO"/>
        <w:ind w:left="0" w:firstLine="0"/>
        <w:contextualSpacing w:val="0"/>
        <w:rPr>
          <w:b/>
        </w:rPr>
      </w:pPr>
    </w:p>
    <w:sdt>
      <w:sdtPr>
        <w:rPr>
          <w:rFonts w:ascii="Arial" w:hAnsi="Arial" w:eastAsia="Arial" w:cs="Arial"/>
          <w:b/>
          <w:bCs w:val="0"/>
          <w:color w:val="000000"/>
          <w:sz w:val="22"/>
          <w:szCs w:val="22"/>
          <w:lang w:val="en-GB" w:eastAsia="en-GB"/>
        </w:rPr>
        <w:id w:val="753484107"/>
        <w:docPartObj>
          <w:docPartGallery w:val="Table of Contents"/>
          <w:docPartUnique/>
        </w:docPartObj>
      </w:sdtPr>
      <w:sdtEndPr>
        <w:rPr>
          <w:b w:val="0"/>
          <w:noProof/>
          <w:sz w:val="24"/>
          <w:szCs w:val="24"/>
        </w:rPr>
      </w:sdtEndPr>
      <w:sdtContent>
        <w:p w:rsidRPr="00C41C65" w:rsidR="00197038" w:rsidP="00C41C65" w:rsidRDefault="00197038" w14:paraId="74C9DC83" w14:textId="43741EB6">
          <w:pPr>
            <w:pStyle w:val="TOCHeading"/>
            <w:spacing w:before="0" w:after="120" w:line="240" w:lineRule="auto"/>
            <w:rPr>
              <w:rFonts w:ascii="Arial" w:hAnsi="Arial" w:cs="Arial"/>
              <w:b/>
              <w:color w:val="auto"/>
              <w:sz w:val="24"/>
              <w:szCs w:val="24"/>
            </w:rPr>
          </w:pPr>
          <w:r w:rsidRPr="00C41C65">
            <w:rPr>
              <w:rFonts w:ascii="Arial" w:hAnsi="Arial" w:cs="Arial"/>
              <w:b/>
              <w:color w:val="auto"/>
              <w:sz w:val="24"/>
              <w:szCs w:val="24"/>
            </w:rPr>
            <w:t>Contents</w:t>
          </w:r>
        </w:p>
        <w:p w:rsidRPr="00C41C65" w:rsidR="00C41C65" w:rsidP="00C41C65" w:rsidRDefault="00197038" w14:paraId="3C428541" w14:textId="6A2CC6C0">
          <w:pPr>
            <w:pStyle w:val="TOC1"/>
            <w:ind w:left="567" w:hanging="567"/>
            <w:rPr>
              <w:rFonts w:asciiTheme="minorHAnsi" w:hAnsiTheme="minorHAnsi" w:eastAsiaTheme="minorEastAsia" w:cstheme="minorBidi"/>
              <w:noProof/>
              <w:color w:val="auto"/>
              <w:sz w:val="24"/>
              <w:szCs w:val="24"/>
            </w:rPr>
          </w:pPr>
          <w:r w:rsidRPr="00C41C65">
            <w:rPr>
              <w:sz w:val="24"/>
              <w:szCs w:val="24"/>
            </w:rPr>
            <w:fldChar w:fldCharType="begin"/>
          </w:r>
          <w:r w:rsidRPr="00C41C65">
            <w:rPr>
              <w:sz w:val="24"/>
              <w:szCs w:val="24"/>
            </w:rPr>
            <w:instrText xml:space="preserve"> TOC \o "1-3" \h \z \u </w:instrText>
          </w:r>
          <w:r w:rsidRPr="00C41C65">
            <w:rPr>
              <w:sz w:val="24"/>
              <w:szCs w:val="24"/>
            </w:rPr>
            <w:fldChar w:fldCharType="separate"/>
          </w:r>
          <w:hyperlink w:history="1" w:anchor="_Toc83387192">
            <w:r w:rsidRPr="00C41C65" w:rsidR="00C41C65">
              <w:rPr>
                <w:rStyle w:val="Hyperlink"/>
                <w:noProof/>
                <w:sz w:val="24"/>
                <w:szCs w:val="24"/>
                <w:u w:color="000000"/>
              </w:rPr>
              <w:t>1.</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Introduction</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_Toc83387192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2</w:t>
            </w:r>
            <w:r w:rsidRPr="00C41C65" w:rsidR="00C41C65">
              <w:rPr>
                <w:noProof/>
                <w:webHidden/>
                <w:sz w:val="24"/>
                <w:szCs w:val="24"/>
              </w:rPr>
              <w:fldChar w:fldCharType="end"/>
            </w:r>
          </w:hyperlink>
        </w:p>
        <w:p w:rsidRPr="00C41C65" w:rsidR="00C41C65" w:rsidP="00C41C65" w:rsidRDefault="00321A75" w14:paraId="5EFEE228" w14:textId="78252761">
          <w:pPr>
            <w:pStyle w:val="TOC1"/>
            <w:ind w:left="567" w:hanging="567"/>
            <w:rPr>
              <w:rFonts w:asciiTheme="minorHAnsi" w:hAnsiTheme="minorHAnsi" w:eastAsiaTheme="minorEastAsia" w:cstheme="minorBidi"/>
              <w:noProof/>
              <w:color w:val="auto"/>
              <w:sz w:val="24"/>
              <w:szCs w:val="24"/>
            </w:rPr>
          </w:pPr>
          <w:hyperlink w:history="1" w:anchor="_Toc83387193">
            <w:r w:rsidRPr="00C41C65" w:rsidR="00C41C65">
              <w:rPr>
                <w:rStyle w:val="Hyperlink"/>
                <w:noProof/>
                <w:sz w:val="24"/>
                <w:szCs w:val="24"/>
                <w:u w:color="000000"/>
              </w:rPr>
              <w:t>2.</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Links to Other University Policies and Procedures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_Toc83387193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2</w:t>
            </w:r>
            <w:r w:rsidRPr="00C41C65" w:rsidR="00C41C65">
              <w:rPr>
                <w:noProof/>
                <w:webHidden/>
                <w:sz w:val="24"/>
                <w:szCs w:val="24"/>
              </w:rPr>
              <w:fldChar w:fldCharType="end"/>
            </w:r>
          </w:hyperlink>
        </w:p>
        <w:p w:rsidRPr="00C41C65" w:rsidR="00C41C65" w:rsidP="00C41C65" w:rsidRDefault="00321A75" w14:paraId="733706AC" w14:textId="52EF70B8">
          <w:pPr>
            <w:pStyle w:val="TOC1"/>
            <w:ind w:left="567" w:hanging="567"/>
            <w:rPr>
              <w:rFonts w:asciiTheme="minorHAnsi" w:hAnsiTheme="minorHAnsi" w:eastAsiaTheme="minorEastAsia" w:cstheme="minorBidi"/>
              <w:noProof/>
              <w:color w:val="auto"/>
              <w:sz w:val="24"/>
              <w:szCs w:val="24"/>
            </w:rPr>
          </w:pPr>
          <w:hyperlink w:history="1" w:anchor="_Toc83387194">
            <w:r w:rsidRPr="00C41C65" w:rsidR="00C41C65">
              <w:rPr>
                <w:rStyle w:val="Hyperlink"/>
                <w:noProof/>
                <w:sz w:val="24"/>
                <w:szCs w:val="24"/>
                <w:u w:color="000000"/>
              </w:rPr>
              <w:t>3.</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Boards of Examiners and Assessment Review Boards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_Toc83387194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3</w:t>
            </w:r>
            <w:r w:rsidRPr="00C41C65" w:rsidR="00C41C65">
              <w:rPr>
                <w:noProof/>
                <w:webHidden/>
                <w:sz w:val="24"/>
                <w:szCs w:val="24"/>
              </w:rPr>
              <w:fldChar w:fldCharType="end"/>
            </w:r>
          </w:hyperlink>
        </w:p>
        <w:p w:rsidRPr="00C41C65" w:rsidR="00C41C65" w:rsidP="00C41C65" w:rsidRDefault="00321A75" w14:paraId="2107F523" w14:textId="7D4D2E22">
          <w:pPr>
            <w:pStyle w:val="TOC1"/>
            <w:ind w:left="567" w:hanging="567"/>
            <w:rPr>
              <w:rFonts w:asciiTheme="minorHAnsi" w:hAnsiTheme="minorHAnsi" w:eastAsiaTheme="minorEastAsia" w:cstheme="minorBidi"/>
              <w:noProof/>
              <w:color w:val="auto"/>
              <w:sz w:val="24"/>
              <w:szCs w:val="24"/>
            </w:rPr>
          </w:pPr>
          <w:hyperlink w:history="1" w:anchor="_Toc83387195">
            <w:r w:rsidRPr="00C41C65" w:rsidR="00C41C65">
              <w:rPr>
                <w:rStyle w:val="Hyperlink"/>
                <w:noProof/>
                <w:sz w:val="24"/>
                <w:szCs w:val="24"/>
                <w:u w:color="000000"/>
              </w:rPr>
              <w:t>4.</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Membership of Boards of Examiners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_Toc83387195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3</w:t>
            </w:r>
            <w:r w:rsidRPr="00C41C65" w:rsidR="00C41C65">
              <w:rPr>
                <w:noProof/>
                <w:webHidden/>
                <w:sz w:val="24"/>
                <w:szCs w:val="24"/>
              </w:rPr>
              <w:fldChar w:fldCharType="end"/>
            </w:r>
          </w:hyperlink>
        </w:p>
        <w:p w:rsidRPr="00C41C65" w:rsidR="00C41C65" w:rsidP="00C41C65" w:rsidRDefault="00321A75" w14:paraId="495414E8" w14:textId="7453E20D">
          <w:pPr>
            <w:pStyle w:val="TOC1"/>
            <w:ind w:left="567" w:hanging="567"/>
            <w:rPr>
              <w:rFonts w:asciiTheme="minorHAnsi" w:hAnsiTheme="minorHAnsi" w:eastAsiaTheme="minorEastAsia" w:cstheme="minorBidi"/>
              <w:noProof/>
              <w:color w:val="auto"/>
              <w:sz w:val="24"/>
              <w:szCs w:val="24"/>
            </w:rPr>
          </w:pPr>
          <w:hyperlink w:history="1" w:anchor="_Toc83387196">
            <w:r w:rsidRPr="00C41C65" w:rsidR="00C41C65">
              <w:rPr>
                <w:rStyle w:val="Hyperlink"/>
                <w:noProof/>
                <w:sz w:val="24"/>
                <w:szCs w:val="24"/>
                <w:u w:color="000000"/>
              </w:rPr>
              <w:t>5.</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Membership of Assessment Review Boards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_Toc83387196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5</w:t>
            </w:r>
            <w:r w:rsidRPr="00C41C65" w:rsidR="00C41C65">
              <w:rPr>
                <w:noProof/>
                <w:webHidden/>
                <w:sz w:val="24"/>
                <w:szCs w:val="24"/>
              </w:rPr>
              <w:fldChar w:fldCharType="end"/>
            </w:r>
          </w:hyperlink>
        </w:p>
        <w:p w:rsidRPr="00C41C65" w:rsidR="00C41C65" w:rsidP="00C41C65" w:rsidRDefault="00321A75" w14:paraId="39B2F647" w14:textId="17D6D0BF">
          <w:pPr>
            <w:pStyle w:val="TOC1"/>
            <w:ind w:left="567" w:hanging="567"/>
            <w:rPr>
              <w:rFonts w:asciiTheme="minorHAnsi" w:hAnsiTheme="minorHAnsi" w:eastAsiaTheme="minorEastAsia" w:cstheme="minorBidi"/>
              <w:noProof/>
              <w:color w:val="auto"/>
              <w:sz w:val="24"/>
              <w:szCs w:val="24"/>
            </w:rPr>
          </w:pPr>
          <w:hyperlink w:history="1" w:anchor="_Toc83387197">
            <w:r w:rsidRPr="00C41C65" w:rsidR="00C41C65">
              <w:rPr>
                <w:rStyle w:val="Hyperlink"/>
                <w:noProof/>
                <w:sz w:val="24"/>
                <w:szCs w:val="24"/>
                <w:u w:color="000000"/>
              </w:rPr>
              <w:t>6.</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Boards of Examiners and Assessment Review Boards – Principles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_Toc83387197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5</w:t>
            </w:r>
            <w:r w:rsidRPr="00C41C65" w:rsidR="00C41C65">
              <w:rPr>
                <w:noProof/>
                <w:webHidden/>
                <w:sz w:val="24"/>
                <w:szCs w:val="24"/>
              </w:rPr>
              <w:fldChar w:fldCharType="end"/>
            </w:r>
          </w:hyperlink>
        </w:p>
        <w:p w:rsidRPr="00C41C65" w:rsidR="00C41C65" w:rsidP="00C41C65" w:rsidRDefault="00321A75" w14:paraId="219ECE26" w14:textId="4C5B2A4E">
          <w:pPr>
            <w:pStyle w:val="TOC1"/>
            <w:ind w:left="567" w:hanging="567"/>
            <w:rPr>
              <w:rFonts w:asciiTheme="minorHAnsi" w:hAnsiTheme="minorHAnsi" w:eastAsiaTheme="minorEastAsia" w:cstheme="minorBidi"/>
              <w:noProof/>
              <w:color w:val="auto"/>
              <w:sz w:val="24"/>
              <w:szCs w:val="24"/>
            </w:rPr>
          </w:pPr>
          <w:hyperlink w:history="1" w:anchor="_Toc83387198">
            <w:r w:rsidRPr="00C41C65" w:rsidR="00C41C65">
              <w:rPr>
                <w:rStyle w:val="Hyperlink"/>
                <w:noProof/>
                <w:sz w:val="24"/>
                <w:szCs w:val="24"/>
                <w:u w:color="000000"/>
              </w:rPr>
              <w:t>7.</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Mitigation Committee</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_Toc83387198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6</w:t>
            </w:r>
            <w:r w:rsidRPr="00C41C65" w:rsidR="00C41C65">
              <w:rPr>
                <w:noProof/>
                <w:webHidden/>
                <w:sz w:val="24"/>
                <w:szCs w:val="24"/>
              </w:rPr>
              <w:fldChar w:fldCharType="end"/>
            </w:r>
          </w:hyperlink>
        </w:p>
        <w:p w:rsidRPr="00C41C65" w:rsidR="00C41C65" w:rsidP="00C41C65" w:rsidRDefault="00321A75" w14:paraId="64573ECD" w14:textId="62DB2215">
          <w:pPr>
            <w:pStyle w:val="TOC1"/>
            <w:ind w:left="567" w:hanging="567"/>
            <w:rPr>
              <w:rFonts w:asciiTheme="minorHAnsi" w:hAnsiTheme="minorHAnsi" w:eastAsiaTheme="minorEastAsia" w:cstheme="minorBidi"/>
              <w:noProof/>
              <w:color w:val="auto"/>
              <w:sz w:val="24"/>
              <w:szCs w:val="24"/>
            </w:rPr>
          </w:pPr>
          <w:hyperlink w:history="1" w:anchor="_Toc83387199">
            <w:r w:rsidRPr="00C41C65" w:rsidR="00C41C65">
              <w:rPr>
                <w:rStyle w:val="Hyperlink"/>
                <w:noProof/>
                <w:sz w:val="24"/>
                <w:szCs w:val="24"/>
                <w:u w:color="000000"/>
              </w:rPr>
              <w:t>8.</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Pre-meeting of the Board of Examiners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_Toc83387199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6</w:t>
            </w:r>
            <w:r w:rsidRPr="00C41C65" w:rsidR="00C41C65">
              <w:rPr>
                <w:noProof/>
                <w:webHidden/>
                <w:sz w:val="24"/>
                <w:szCs w:val="24"/>
              </w:rPr>
              <w:fldChar w:fldCharType="end"/>
            </w:r>
          </w:hyperlink>
        </w:p>
        <w:p w:rsidRPr="00C41C65" w:rsidR="00C41C65" w:rsidP="00C41C65" w:rsidRDefault="00321A75" w14:paraId="021124C1" w14:textId="2DD02AC3">
          <w:pPr>
            <w:pStyle w:val="TOC1"/>
            <w:ind w:left="567" w:hanging="567"/>
            <w:rPr>
              <w:rFonts w:asciiTheme="minorHAnsi" w:hAnsiTheme="minorHAnsi" w:eastAsiaTheme="minorEastAsia" w:cstheme="minorBidi"/>
              <w:noProof/>
              <w:color w:val="auto"/>
              <w:sz w:val="24"/>
              <w:szCs w:val="24"/>
            </w:rPr>
          </w:pPr>
          <w:hyperlink w:history="1" w:anchor="_Toc83387200">
            <w:r w:rsidRPr="00C41C65" w:rsidR="00C41C65">
              <w:rPr>
                <w:rStyle w:val="Hyperlink"/>
                <w:noProof/>
                <w:sz w:val="24"/>
                <w:szCs w:val="24"/>
                <w:u w:color="000000"/>
              </w:rPr>
              <w:t>9.</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Referral Boards of Examiners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_Toc83387200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7</w:t>
            </w:r>
            <w:r w:rsidRPr="00C41C65" w:rsidR="00C41C65">
              <w:rPr>
                <w:noProof/>
                <w:webHidden/>
                <w:sz w:val="24"/>
                <w:szCs w:val="24"/>
              </w:rPr>
              <w:fldChar w:fldCharType="end"/>
            </w:r>
          </w:hyperlink>
        </w:p>
        <w:p w:rsidRPr="00C41C65" w:rsidR="00C41C65" w:rsidP="00C41C65" w:rsidRDefault="00321A75" w14:paraId="66BBB144" w14:textId="375D3C41">
          <w:pPr>
            <w:pStyle w:val="TOC1"/>
            <w:ind w:left="567" w:hanging="567"/>
            <w:rPr>
              <w:rFonts w:asciiTheme="minorHAnsi" w:hAnsiTheme="minorHAnsi" w:eastAsiaTheme="minorEastAsia" w:cstheme="minorBidi"/>
              <w:noProof/>
              <w:color w:val="auto"/>
              <w:sz w:val="24"/>
              <w:szCs w:val="24"/>
            </w:rPr>
          </w:pPr>
          <w:hyperlink w:history="1" w:anchor="_Toc83387201">
            <w:r w:rsidRPr="00C41C65" w:rsidR="00C41C65">
              <w:rPr>
                <w:rStyle w:val="Hyperlink"/>
                <w:noProof/>
                <w:sz w:val="24"/>
                <w:szCs w:val="24"/>
                <w:u w:color="000000"/>
              </w:rPr>
              <w:t>10.</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Boards of Examiners for Stand-alone Modules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_Toc83387201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8</w:t>
            </w:r>
            <w:r w:rsidRPr="00C41C65" w:rsidR="00C41C65">
              <w:rPr>
                <w:noProof/>
                <w:webHidden/>
                <w:sz w:val="24"/>
                <w:szCs w:val="24"/>
              </w:rPr>
              <w:fldChar w:fldCharType="end"/>
            </w:r>
          </w:hyperlink>
        </w:p>
        <w:p w:rsidRPr="00C41C65" w:rsidR="00C41C65" w:rsidP="00C41C65" w:rsidRDefault="00321A75" w14:paraId="498C5D8A" w14:textId="27F97071">
          <w:pPr>
            <w:pStyle w:val="TOC1"/>
            <w:ind w:left="567" w:hanging="567"/>
            <w:rPr>
              <w:rFonts w:asciiTheme="minorHAnsi" w:hAnsiTheme="minorHAnsi" w:eastAsiaTheme="minorEastAsia" w:cstheme="minorBidi"/>
              <w:noProof/>
              <w:color w:val="auto"/>
              <w:sz w:val="24"/>
              <w:szCs w:val="24"/>
            </w:rPr>
          </w:pPr>
          <w:hyperlink w:history="1" w:anchor="_Toc83387202">
            <w:r w:rsidRPr="00C41C65" w:rsidR="00C41C65">
              <w:rPr>
                <w:rStyle w:val="Hyperlink"/>
                <w:noProof/>
                <w:sz w:val="24"/>
                <w:szCs w:val="24"/>
                <w:u w:color="000000"/>
              </w:rPr>
              <w:t>11.</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Role of Chair of Boards of Examiners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_Toc83387202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8</w:t>
            </w:r>
            <w:r w:rsidRPr="00C41C65" w:rsidR="00C41C65">
              <w:rPr>
                <w:noProof/>
                <w:webHidden/>
                <w:sz w:val="24"/>
                <w:szCs w:val="24"/>
              </w:rPr>
              <w:fldChar w:fldCharType="end"/>
            </w:r>
          </w:hyperlink>
        </w:p>
        <w:p w:rsidRPr="00C41C65" w:rsidR="00C41C65" w:rsidP="00C41C65" w:rsidRDefault="00321A75" w14:paraId="28ED4DD4" w14:textId="518AD6E9">
          <w:pPr>
            <w:pStyle w:val="TOC1"/>
            <w:ind w:left="567" w:hanging="567"/>
            <w:rPr>
              <w:rFonts w:asciiTheme="minorHAnsi" w:hAnsiTheme="minorHAnsi" w:eastAsiaTheme="minorEastAsia" w:cstheme="minorBidi"/>
              <w:noProof/>
              <w:color w:val="auto"/>
              <w:sz w:val="24"/>
              <w:szCs w:val="24"/>
            </w:rPr>
          </w:pPr>
          <w:hyperlink w:history="1" w:anchor="_Toc83387203">
            <w:r w:rsidRPr="00C41C65" w:rsidR="00C41C65">
              <w:rPr>
                <w:rStyle w:val="Hyperlink"/>
                <w:noProof/>
                <w:sz w:val="24"/>
                <w:szCs w:val="24"/>
                <w:u w:color="000000"/>
              </w:rPr>
              <w:t>12.</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Role of the External Examiner</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_Toc83387203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9</w:t>
            </w:r>
            <w:r w:rsidRPr="00C41C65" w:rsidR="00C41C65">
              <w:rPr>
                <w:noProof/>
                <w:webHidden/>
                <w:sz w:val="24"/>
                <w:szCs w:val="24"/>
              </w:rPr>
              <w:fldChar w:fldCharType="end"/>
            </w:r>
          </w:hyperlink>
        </w:p>
        <w:p w:rsidRPr="00C41C65" w:rsidR="00C41C65" w:rsidP="00C41C65" w:rsidRDefault="00321A75" w14:paraId="32CF7790" w14:textId="09023DF1">
          <w:pPr>
            <w:pStyle w:val="TOC1"/>
            <w:ind w:left="567" w:hanging="567"/>
            <w:rPr>
              <w:rFonts w:asciiTheme="minorHAnsi" w:hAnsiTheme="minorHAnsi" w:eastAsiaTheme="minorEastAsia" w:cstheme="minorBidi"/>
              <w:noProof/>
              <w:color w:val="auto"/>
              <w:sz w:val="24"/>
              <w:szCs w:val="24"/>
            </w:rPr>
          </w:pPr>
          <w:hyperlink w:history="1" w:anchor="_Toc83387204">
            <w:r w:rsidRPr="00C41C65" w:rsidR="00C41C65">
              <w:rPr>
                <w:rStyle w:val="Hyperlink"/>
                <w:noProof/>
                <w:sz w:val="24"/>
                <w:szCs w:val="24"/>
                <w:u w:color="000000"/>
              </w:rPr>
              <w:t>13.</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Role of Secretary to the Board of Examiners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_Toc83387204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10</w:t>
            </w:r>
            <w:r w:rsidRPr="00C41C65" w:rsidR="00C41C65">
              <w:rPr>
                <w:noProof/>
                <w:webHidden/>
                <w:sz w:val="24"/>
                <w:szCs w:val="24"/>
              </w:rPr>
              <w:fldChar w:fldCharType="end"/>
            </w:r>
          </w:hyperlink>
        </w:p>
        <w:p w:rsidRPr="00C41C65" w:rsidR="00C41C65" w:rsidP="00C41C65" w:rsidRDefault="00321A75" w14:paraId="5C2A95F8" w14:textId="171DC67B">
          <w:pPr>
            <w:pStyle w:val="TOC1"/>
            <w:ind w:left="567" w:hanging="567"/>
            <w:rPr>
              <w:rFonts w:asciiTheme="minorHAnsi" w:hAnsiTheme="minorHAnsi" w:eastAsiaTheme="minorEastAsia" w:cstheme="minorBidi"/>
              <w:noProof/>
              <w:color w:val="auto"/>
              <w:sz w:val="24"/>
              <w:szCs w:val="24"/>
            </w:rPr>
          </w:pPr>
          <w:hyperlink w:history="1" w:anchor="_Toc83387205">
            <w:r w:rsidRPr="00C41C65" w:rsidR="00C41C65">
              <w:rPr>
                <w:rStyle w:val="Hyperlink"/>
                <w:noProof/>
                <w:sz w:val="24"/>
                <w:szCs w:val="24"/>
                <w:u w:color="000000"/>
              </w:rPr>
              <w:t>14.</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Appeals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_Toc83387205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10</w:t>
            </w:r>
            <w:r w:rsidRPr="00C41C65" w:rsidR="00C41C65">
              <w:rPr>
                <w:noProof/>
                <w:webHidden/>
                <w:sz w:val="24"/>
                <w:szCs w:val="24"/>
              </w:rPr>
              <w:fldChar w:fldCharType="end"/>
            </w:r>
          </w:hyperlink>
        </w:p>
        <w:p w:rsidRPr="00C41C65" w:rsidR="00C41C65" w:rsidP="00C41C65" w:rsidRDefault="00321A75" w14:paraId="68C82FF2" w14:textId="7028ADD6">
          <w:pPr>
            <w:pStyle w:val="TOC1"/>
            <w:ind w:left="567" w:hanging="567"/>
            <w:rPr>
              <w:rFonts w:asciiTheme="minorHAnsi" w:hAnsiTheme="minorHAnsi" w:eastAsiaTheme="minorEastAsia" w:cstheme="minorBidi"/>
              <w:noProof/>
              <w:color w:val="auto"/>
              <w:sz w:val="24"/>
              <w:szCs w:val="24"/>
            </w:rPr>
          </w:pPr>
          <w:hyperlink w:history="1" w:anchor="_Toc83387206">
            <w:r w:rsidRPr="00C41C65" w:rsidR="00C41C65">
              <w:rPr>
                <w:rStyle w:val="Hyperlink"/>
                <w:noProof/>
                <w:sz w:val="24"/>
                <w:szCs w:val="24"/>
                <w:u w:color="000000"/>
              </w:rPr>
              <w:t>15.</w:t>
            </w:r>
            <w:r w:rsidRPr="00C41C65" w:rsidR="00C41C65">
              <w:rPr>
                <w:rFonts w:asciiTheme="minorHAnsi" w:hAnsiTheme="minorHAnsi" w:eastAsiaTheme="minorEastAsia" w:cstheme="minorBidi"/>
                <w:noProof/>
                <w:color w:val="auto"/>
                <w:sz w:val="24"/>
                <w:szCs w:val="24"/>
              </w:rPr>
              <w:tab/>
            </w:r>
            <w:r w:rsidRPr="00C41C65" w:rsidR="00C41C65">
              <w:rPr>
                <w:rStyle w:val="Hyperlink"/>
                <w:noProof/>
                <w:sz w:val="24"/>
                <w:szCs w:val="24"/>
              </w:rPr>
              <w:t>Assessment Review Boards</w:t>
            </w:r>
            <w:r w:rsidRPr="00C41C65" w:rsidR="00C41C65">
              <w:rPr>
                <w:noProof/>
                <w:webHidden/>
                <w:sz w:val="24"/>
                <w:szCs w:val="24"/>
              </w:rPr>
              <w:tab/>
            </w:r>
            <w:r w:rsidRPr="00C41C65" w:rsidR="00C41C65">
              <w:rPr>
                <w:noProof/>
                <w:webHidden/>
                <w:sz w:val="24"/>
                <w:szCs w:val="24"/>
              </w:rPr>
              <w:fldChar w:fldCharType="begin"/>
            </w:r>
            <w:r w:rsidRPr="00C41C65" w:rsidR="00C41C65">
              <w:rPr>
                <w:noProof/>
                <w:webHidden/>
                <w:sz w:val="24"/>
                <w:szCs w:val="24"/>
              </w:rPr>
              <w:instrText xml:space="preserve"> PAGEREF _Toc83387206 \h </w:instrText>
            </w:r>
            <w:r w:rsidRPr="00C41C65" w:rsidR="00C41C65">
              <w:rPr>
                <w:noProof/>
                <w:webHidden/>
                <w:sz w:val="24"/>
                <w:szCs w:val="24"/>
              </w:rPr>
            </w:r>
            <w:r w:rsidRPr="00C41C65" w:rsidR="00C41C65">
              <w:rPr>
                <w:noProof/>
                <w:webHidden/>
                <w:sz w:val="24"/>
                <w:szCs w:val="24"/>
              </w:rPr>
              <w:fldChar w:fldCharType="separate"/>
            </w:r>
            <w:r w:rsidR="00115E17">
              <w:rPr>
                <w:noProof/>
                <w:webHidden/>
                <w:sz w:val="24"/>
                <w:szCs w:val="24"/>
              </w:rPr>
              <w:t>10</w:t>
            </w:r>
            <w:r w:rsidRPr="00C41C65" w:rsidR="00C41C65">
              <w:rPr>
                <w:noProof/>
                <w:webHidden/>
                <w:sz w:val="24"/>
                <w:szCs w:val="24"/>
              </w:rPr>
              <w:fldChar w:fldCharType="end"/>
            </w:r>
          </w:hyperlink>
        </w:p>
        <w:p w:rsidRPr="00C41C65" w:rsidR="00197038" w:rsidP="00C41C65" w:rsidRDefault="00197038" w14:paraId="7F1D81F3" w14:textId="6F7024D9">
          <w:pPr>
            <w:spacing w:after="120" w:line="240" w:lineRule="auto"/>
            <w:ind w:left="567" w:hanging="567"/>
            <w:rPr>
              <w:sz w:val="24"/>
              <w:szCs w:val="24"/>
            </w:rPr>
          </w:pPr>
          <w:r w:rsidRPr="00C41C65">
            <w:rPr>
              <w:b/>
              <w:bCs/>
              <w:noProof/>
              <w:color w:val="auto"/>
              <w:sz w:val="24"/>
              <w:szCs w:val="24"/>
            </w:rPr>
            <w:fldChar w:fldCharType="end"/>
          </w:r>
        </w:p>
      </w:sdtContent>
    </w:sdt>
    <w:p w:rsidRPr="005C6705" w:rsidR="005C6705" w:rsidP="00AC6F40" w:rsidRDefault="005C6705" w14:paraId="0A1E7676" w14:textId="77777777">
      <w:pPr>
        <w:spacing w:after="120" w:line="240" w:lineRule="auto"/>
      </w:pPr>
    </w:p>
    <w:p w:rsidR="00197038" w:rsidP="00AC6F40" w:rsidRDefault="00197038" w14:paraId="14AEAE64" w14:textId="2EFDDF06">
      <w:pPr>
        <w:spacing w:after="120" w:line="240" w:lineRule="auto"/>
        <w:ind w:left="0" w:right="0" w:firstLine="0"/>
        <w:jc w:val="left"/>
        <w:rPr>
          <w:sz w:val="24"/>
          <w:szCs w:val="24"/>
        </w:rPr>
      </w:pPr>
      <w:r>
        <w:rPr>
          <w:sz w:val="24"/>
          <w:szCs w:val="24"/>
        </w:rPr>
        <w:br w:type="page"/>
      </w:r>
    </w:p>
    <w:p w:rsidRPr="00E1705D" w:rsidR="006D26AB" w:rsidP="00AC6F40" w:rsidRDefault="006D26AB" w14:paraId="5C61C5F1" w14:textId="77777777">
      <w:pPr>
        <w:spacing w:after="120" w:line="240" w:lineRule="auto"/>
        <w:ind w:left="993" w:right="284" w:hanging="709"/>
        <w:jc w:val="left"/>
        <w:rPr>
          <w:sz w:val="24"/>
          <w:szCs w:val="24"/>
        </w:rPr>
      </w:pPr>
    </w:p>
    <w:p w:rsidRPr="00197038" w:rsidR="006D26AB" w:rsidP="00AC6F40" w:rsidRDefault="006D26AB" w14:paraId="0C64E50F" w14:textId="77777777">
      <w:pPr>
        <w:pStyle w:val="Heading1"/>
      </w:pPr>
      <w:bookmarkStart w:name="_Toc83387192" w:id="0"/>
      <w:r w:rsidRPr="00197038">
        <w:t>Introduction</w:t>
      </w:r>
      <w:bookmarkEnd w:id="0"/>
    </w:p>
    <w:p w:rsidRPr="00560DDB" w:rsidR="006D26AB" w:rsidP="00AC6F40" w:rsidRDefault="006D26AB" w14:paraId="15B422CE" w14:textId="4366D810">
      <w:pPr>
        <w:pStyle w:val="ListParagraph"/>
        <w:numPr>
          <w:ilvl w:val="1"/>
          <w:numId w:val="3"/>
        </w:numPr>
        <w:tabs>
          <w:tab w:val="clear" w:pos="576"/>
          <w:tab w:val="num" w:pos="567"/>
        </w:tabs>
        <w:spacing w:after="120"/>
        <w:ind w:left="567" w:right="284" w:hanging="567"/>
        <w:contextualSpacing w:val="0"/>
        <w:rPr>
          <w:rFonts w:ascii="Arial" w:hAnsi="Arial" w:cs="Arial"/>
        </w:rPr>
      </w:pPr>
      <w:r w:rsidRPr="00560DDB">
        <w:rPr>
          <w:rFonts w:ascii="Arial" w:hAnsi="Arial" w:cs="Arial"/>
        </w:rPr>
        <w:t xml:space="preserve">This Annex of the Code of Practice establishes the framework and procedures to be followed in operating meetings of Boards of Examiners at the University. </w:t>
      </w:r>
    </w:p>
    <w:p w:rsidRPr="00560DDB" w:rsidR="006D26AB" w:rsidP="00AC6F40" w:rsidRDefault="006D26AB" w14:paraId="3AA7EEB6" w14:textId="343966FD">
      <w:pPr>
        <w:pStyle w:val="ListParagraph"/>
        <w:numPr>
          <w:ilvl w:val="1"/>
          <w:numId w:val="3"/>
        </w:numPr>
        <w:spacing w:after="120"/>
        <w:ind w:left="567" w:right="284" w:hanging="567"/>
        <w:contextualSpacing w:val="0"/>
        <w:rPr>
          <w:rFonts w:ascii="Arial" w:hAnsi="Arial" w:cs="Arial"/>
        </w:rPr>
      </w:pPr>
      <w:r w:rsidRPr="00560DDB">
        <w:rPr>
          <w:rFonts w:ascii="Arial" w:hAnsi="Arial" w:cs="Arial"/>
        </w:rPr>
        <w:t>This guidance is designed to be of particular interest to those acting as Chairs of Boards, module convenors who are members of Boards, Directors of Studies and to Secretaries to Boards of Examiners. Divisions will operate one or more Boards of Examiners and may elect to operate separate meetings of Boards of Examiners by course or courses, by stage, or by stages consistent with the established practices within the Division.</w:t>
      </w:r>
    </w:p>
    <w:p w:rsidRPr="00560DDB" w:rsidR="006D26AB" w:rsidP="00AC6F40" w:rsidRDefault="006D26AB" w14:paraId="577D8698" w14:textId="7CE0B2FA">
      <w:pPr>
        <w:pStyle w:val="ListParagraph"/>
        <w:numPr>
          <w:ilvl w:val="1"/>
          <w:numId w:val="3"/>
        </w:numPr>
        <w:spacing w:after="120"/>
        <w:ind w:left="567" w:right="284" w:hanging="567"/>
        <w:contextualSpacing w:val="0"/>
        <w:rPr>
          <w:rFonts w:ascii="Arial" w:hAnsi="Arial" w:cs="Arial"/>
        </w:rPr>
      </w:pPr>
      <w:r w:rsidRPr="00560DDB">
        <w:rPr>
          <w:rFonts w:ascii="Arial" w:hAnsi="Arial" w:cs="Arial"/>
        </w:rPr>
        <w:t>Divisions will operate one or more committees for the mitigation of extenuating circumstances in line with the structure of its Boards of Examiners. Every Board of Examiners will be serviced by a Mitigation Committee (see the Credit Framework, Annex 9).</w:t>
      </w:r>
    </w:p>
    <w:p w:rsidRPr="00560DDB" w:rsidR="006D26AB" w:rsidP="00AC6F40" w:rsidRDefault="006D26AB" w14:paraId="05A16431" w14:textId="08770978">
      <w:pPr>
        <w:pStyle w:val="ListParagraph"/>
        <w:numPr>
          <w:ilvl w:val="1"/>
          <w:numId w:val="3"/>
        </w:numPr>
        <w:spacing w:after="120"/>
        <w:ind w:left="567" w:right="284" w:hanging="567"/>
        <w:contextualSpacing w:val="0"/>
        <w:rPr>
          <w:rFonts w:ascii="Arial" w:hAnsi="Arial" w:cs="Arial"/>
        </w:rPr>
      </w:pPr>
      <w:r w:rsidRPr="00560DDB">
        <w:rPr>
          <w:rFonts w:ascii="Arial" w:hAnsi="Arial" w:cs="Arial"/>
        </w:rPr>
        <w:t xml:space="preserve">Validated Institutions and Partner Colleges are required to follow the principles and procedures outlined in this Annex. Specific guidance on the application of these procedures can be found within </w:t>
      </w:r>
      <w:hyperlink w:history="1" w:anchor="annex-l" r:id="rId11">
        <w:r w:rsidRPr="00CE16EF">
          <w:rPr>
            <w:rStyle w:val="Hyperlink"/>
            <w:rFonts w:ascii="Arial" w:hAnsi="Arial" w:cs="Arial"/>
          </w:rPr>
          <w:t>Annex L</w:t>
        </w:r>
      </w:hyperlink>
      <w:r w:rsidRPr="00560DDB">
        <w:rPr>
          <w:rFonts w:ascii="Arial" w:hAnsi="Arial" w:cs="Arial"/>
        </w:rPr>
        <w:t xml:space="preserve"> of the Code </w:t>
      </w:r>
      <w:r w:rsidR="00CE16EF">
        <w:rPr>
          <w:rFonts w:ascii="Arial" w:hAnsi="Arial" w:cs="Arial"/>
        </w:rPr>
        <w:t>of Practice for Taught Courses.</w:t>
      </w:r>
    </w:p>
    <w:p w:rsidRPr="00560DDB" w:rsidR="006D26AB" w:rsidP="00AC6F40" w:rsidRDefault="006D26AB" w14:paraId="1B8D5FA7" w14:textId="60A14CD9">
      <w:pPr>
        <w:pStyle w:val="ListParagraph"/>
        <w:numPr>
          <w:ilvl w:val="1"/>
          <w:numId w:val="3"/>
        </w:numPr>
        <w:spacing w:after="120"/>
        <w:ind w:left="567" w:right="284" w:hanging="567"/>
        <w:contextualSpacing w:val="0"/>
        <w:rPr>
          <w:rFonts w:ascii="Arial" w:hAnsi="Arial" w:cs="Arial"/>
        </w:rPr>
      </w:pPr>
      <w:r w:rsidRPr="00560DDB">
        <w:rPr>
          <w:rFonts w:ascii="Arial" w:hAnsi="Arial" w:cs="Arial"/>
        </w:rPr>
        <w:t xml:space="preserve">Each academic year guidance on the conventions for Boards of Examiners will be made available to support examiners, including Chairs of Boards of Examiners and professional service staff, which collates relevant information from the Credit Framework for Taught Courses, Academic Regulations, and Code of Practice for Taught Courses. This guidance supports the operation of the below procedures. </w:t>
      </w:r>
    </w:p>
    <w:p w:rsidRPr="00560DDB" w:rsidR="006D26AB" w:rsidP="00AC6F40" w:rsidRDefault="006D26AB" w14:paraId="199B57D2" w14:textId="77777777">
      <w:pPr>
        <w:pStyle w:val="ListParagraph"/>
        <w:tabs>
          <w:tab w:val="left" w:pos="993"/>
        </w:tabs>
        <w:spacing w:after="120"/>
        <w:ind w:left="993" w:right="284" w:hanging="709"/>
        <w:contextualSpacing w:val="0"/>
        <w:rPr>
          <w:rFonts w:ascii="Arial" w:hAnsi="Arial" w:cs="Arial"/>
          <w:lang w:val="en-GB"/>
        </w:rPr>
      </w:pPr>
    </w:p>
    <w:p w:rsidRPr="00197038" w:rsidR="006D26AB" w:rsidP="00AC6F40" w:rsidRDefault="006D26AB" w14:paraId="7784D812" w14:textId="77777777">
      <w:pPr>
        <w:pStyle w:val="Heading1"/>
      </w:pPr>
      <w:bookmarkStart w:name="_Toc83387193" w:id="1"/>
      <w:r w:rsidRPr="00197038">
        <w:t>Links to Other University Policies and Procedures</w:t>
      </w:r>
      <w:bookmarkEnd w:id="1"/>
    </w:p>
    <w:p w:rsidRPr="00CB4145" w:rsidR="006D26AB" w:rsidP="00AC6F40" w:rsidRDefault="006D26AB" w14:paraId="3E622100" w14:textId="77777777">
      <w:pPr>
        <w:pStyle w:val="ListParagraph"/>
        <w:numPr>
          <w:ilvl w:val="0"/>
          <w:numId w:val="14"/>
        </w:numPr>
        <w:tabs>
          <w:tab w:val="num" w:pos="567"/>
        </w:tabs>
        <w:spacing w:after="120"/>
        <w:ind w:left="567" w:right="284" w:hanging="567"/>
        <w:contextualSpacing w:val="0"/>
        <w:rPr>
          <w:rFonts w:ascii="Arial" w:hAnsi="Arial" w:cs="Arial"/>
        </w:rPr>
      </w:pPr>
      <w:r w:rsidRPr="00CB4145">
        <w:rPr>
          <w:rFonts w:ascii="Arial" w:hAnsi="Arial" w:cs="Arial" w:eastAsiaTheme="minorEastAsia"/>
          <w:lang w:eastAsia="zh-CN"/>
        </w:rPr>
        <w:t>Other University policies and procedures may need to be consulted when considering the requirements of this Annex:</w:t>
      </w:r>
    </w:p>
    <w:p w:rsidRPr="00E1705D" w:rsidR="006D26AB" w:rsidP="00AC6F40" w:rsidRDefault="00321A75" w14:paraId="5598DD95" w14:textId="29509239">
      <w:pPr>
        <w:pStyle w:val="ListParagraph"/>
        <w:numPr>
          <w:ilvl w:val="2"/>
          <w:numId w:val="3"/>
        </w:numPr>
        <w:tabs>
          <w:tab w:val="clear" w:pos="2420"/>
          <w:tab w:val="num" w:pos="851"/>
        </w:tabs>
        <w:spacing w:after="120"/>
        <w:ind w:left="851" w:right="284" w:hanging="851"/>
        <w:contextualSpacing w:val="0"/>
        <w:rPr>
          <w:rFonts w:ascii="Arial" w:hAnsi="Arial" w:cs="Arial"/>
        </w:rPr>
      </w:pPr>
      <w:hyperlink w:history="1" w:anchor="annex-k" r:id="rId12">
        <w:r w:rsidRPr="00CE16EF" w:rsidR="006D26AB">
          <w:rPr>
            <w:rStyle w:val="Hyperlink"/>
            <w:rFonts w:ascii="Arial" w:hAnsi="Arial" w:cs="Arial"/>
          </w:rPr>
          <w:t>Annex K</w:t>
        </w:r>
      </w:hyperlink>
      <w:r w:rsidRPr="00E1705D" w:rsidR="006D26AB">
        <w:rPr>
          <w:rFonts w:ascii="Arial" w:hAnsi="Arial" w:cs="Arial"/>
        </w:rPr>
        <w:t xml:space="preserve"> of the Code of Practice for Taught Courses: External Examiners.</w:t>
      </w:r>
    </w:p>
    <w:p w:rsidRPr="00E1705D" w:rsidR="006D26AB" w:rsidP="00AC6F40" w:rsidRDefault="00321A75" w14:paraId="64797C23" w14:textId="5513BACD">
      <w:pPr>
        <w:pStyle w:val="ListParagraph"/>
        <w:numPr>
          <w:ilvl w:val="2"/>
          <w:numId w:val="3"/>
        </w:numPr>
        <w:tabs>
          <w:tab w:val="num" w:pos="851"/>
        </w:tabs>
        <w:spacing w:after="120"/>
        <w:ind w:left="851" w:right="284" w:hanging="851"/>
        <w:contextualSpacing w:val="0"/>
        <w:rPr>
          <w:rFonts w:ascii="Arial" w:hAnsi="Arial" w:cs="Arial"/>
          <w:lang w:val="en-GB"/>
        </w:rPr>
      </w:pPr>
      <w:hyperlink w:history="1" w:anchor="annex-l" r:id="rId13">
        <w:r w:rsidRPr="00CE16EF" w:rsidR="006D26AB">
          <w:rPr>
            <w:rStyle w:val="Hyperlink"/>
            <w:rFonts w:ascii="Arial" w:hAnsi="Arial" w:cs="Arial"/>
            <w:lang w:val="en-GB"/>
          </w:rPr>
          <w:t>Annex L</w:t>
        </w:r>
      </w:hyperlink>
      <w:r w:rsidRPr="00E1705D" w:rsidR="006D26AB">
        <w:rPr>
          <w:rFonts w:ascii="Arial" w:hAnsi="Arial" w:cs="Arial"/>
          <w:lang w:val="en-GB"/>
        </w:rPr>
        <w:t xml:space="preserve"> of the Code of Practice for Taught Courses: Quality Assurance Procedures for Courses of Study at Validated Institutions and Partner Colleges Leading to University Awards.</w:t>
      </w:r>
    </w:p>
    <w:p w:rsidRPr="00E1705D" w:rsidR="006D26AB" w:rsidP="00AC6F40" w:rsidRDefault="00321A75" w14:paraId="239C30D8" w14:textId="3785A2D2">
      <w:pPr>
        <w:pStyle w:val="ListParagraph"/>
        <w:numPr>
          <w:ilvl w:val="2"/>
          <w:numId w:val="3"/>
        </w:numPr>
        <w:tabs>
          <w:tab w:val="clear" w:pos="2420"/>
          <w:tab w:val="num" w:pos="1418"/>
        </w:tabs>
        <w:spacing w:after="120"/>
        <w:ind w:left="851" w:right="284" w:hanging="851"/>
        <w:contextualSpacing w:val="0"/>
        <w:rPr>
          <w:rFonts w:ascii="Arial" w:hAnsi="Arial" w:cs="Arial"/>
          <w:lang w:val="en-GB"/>
        </w:rPr>
      </w:pPr>
      <w:hyperlink w:history="1" w:anchor="annex-9" r:id="rId14">
        <w:r w:rsidRPr="00CE16EF" w:rsidR="006D26AB">
          <w:rPr>
            <w:rStyle w:val="Hyperlink"/>
            <w:rFonts w:ascii="Arial" w:hAnsi="Arial" w:cs="Arial"/>
          </w:rPr>
          <w:t>Annex 9</w:t>
        </w:r>
      </w:hyperlink>
      <w:r w:rsidRPr="00E1705D" w:rsidR="006D26AB">
        <w:rPr>
          <w:rFonts w:ascii="Arial" w:hAnsi="Arial" w:cs="Arial"/>
        </w:rPr>
        <w:t xml:space="preserve"> of the Credit Framework: </w:t>
      </w:r>
      <w:r w:rsidRPr="00E1705D" w:rsidR="006D26AB">
        <w:rPr>
          <w:rFonts w:ascii="Arial" w:hAnsi="Arial" w:cs="Arial"/>
          <w:lang w:val="en-GB"/>
        </w:rPr>
        <w:t>Mitigation of Extenuating Circumstances.</w:t>
      </w:r>
    </w:p>
    <w:p w:rsidRPr="00E1705D" w:rsidR="006D26AB" w:rsidP="00AC6F40" w:rsidRDefault="00321A75" w14:paraId="3A0A980D" w14:textId="02FFF97A">
      <w:pPr>
        <w:pStyle w:val="ListParagraph"/>
        <w:numPr>
          <w:ilvl w:val="2"/>
          <w:numId w:val="3"/>
        </w:numPr>
        <w:tabs>
          <w:tab w:val="clear" w:pos="2420"/>
          <w:tab w:val="num" w:pos="1418"/>
        </w:tabs>
        <w:spacing w:after="120"/>
        <w:ind w:left="851" w:right="284" w:hanging="851"/>
        <w:contextualSpacing w:val="0"/>
        <w:rPr>
          <w:rFonts w:ascii="Arial" w:hAnsi="Arial" w:cs="Arial"/>
        </w:rPr>
      </w:pPr>
      <w:hyperlink w:history="1" w:anchor="annex-10" r:id="rId15">
        <w:r w:rsidRPr="00CE16EF" w:rsidR="006D26AB">
          <w:rPr>
            <w:rStyle w:val="Hyperlink"/>
            <w:rFonts w:ascii="Arial" w:hAnsi="Arial" w:cs="Arial"/>
            <w:lang w:val="en-GB"/>
          </w:rPr>
          <w:t>Annex 10</w:t>
        </w:r>
      </w:hyperlink>
      <w:r w:rsidRPr="00E1705D" w:rsidR="006D26AB">
        <w:rPr>
          <w:rFonts w:ascii="Arial" w:hAnsi="Arial" w:cs="Arial"/>
          <w:lang w:val="en-GB"/>
        </w:rPr>
        <w:t xml:space="preserve"> of the Credit Framework: Academic Misconduct Procedures.</w:t>
      </w:r>
    </w:p>
    <w:p w:rsidRPr="00E1705D" w:rsidR="006D26AB" w:rsidP="106BA871" w:rsidRDefault="00321A75" w14:paraId="4377EC6F" w14:textId="233718F0">
      <w:pPr>
        <w:pStyle w:val="ListParagraph"/>
        <w:numPr>
          <w:ilvl w:val="2"/>
          <w:numId w:val="3"/>
        </w:numPr>
        <w:tabs>
          <w:tab w:val="clear" w:pos="2420"/>
          <w:tab w:val="num" w:pos="851"/>
        </w:tabs>
        <w:spacing w:after="120"/>
        <w:ind w:left="851" w:right="284" w:hanging="851"/>
        <w:rPr>
          <w:rFonts w:ascii="Arial" w:hAnsi="Arial" w:cs="Arial"/>
        </w:rPr>
      </w:pPr>
      <w:hyperlink r:id="R6e8d4c6a6d774430">
        <w:r w:rsidRPr="106BA871" w:rsidR="006D26AB">
          <w:rPr>
            <w:rStyle w:val="Hyperlink"/>
            <w:rFonts w:ascii="Arial" w:hAnsi="Arial" w:cs="Arial"/>
          </w:rPr>
          <w:t>Academic Appeals</w:t>
        </w:r>
        <w:r w:rsidRPr="106BA871" w:rsidR="3A146F17">
          <w:rPr>
            <w:rStyle w:val="Hyperlink"/>
            <w:rFonts w:ascii="Arial" w:hAnsi="Arial" w:cs="Arial"/>
          </w:rPr>
          <w:t xml:space="preserve"> Policy.</w:t>
        </w:r>
      </w:hyperlink>
      <w:r w:rsidRPr="106BA871" w:rsidR="3A146F17">
        <w:rPr>
          <w:rFonts w:ascii="Arial" w:hAnsi="Arial" w:cs="Arial"/>
        </w:rPr>
        <w:t xml:space="preserve"> </w:t>
      </w:r>
    </w:p>
    <w:p w:rsidRPr="00E1705D" w:rsidR="006D26AB" w:rsidP="00AC6F40" w:rsidRDefault="006D26AB" w14:paraId="6AB643A0" w14:textId="77777777">
      <w:pPr>
        <w:pStyle w:val="ListParagraph"/>
        <w:spacing w:after="120"/>
        <w:ind w:left="993" w:right="284" w:hanging="709"/>
        <w:contextualSpacing w:val="0"/>
        <w:rPr>
          <w:rFonts w:ascii="Arial" w:hAnsi="Arial" w:cs="Arial"/>
        </w:rPr>
      </w:pPr>
    </w:p>
    <w:p w:rsidRPr="00197038" w:rsidR="006D26AB" w:rsidP="00AC6F40" w:rsidRDefault="006D26AB" w14:paraId="6D4D4124" w14:textId="77777777">
      <w:pPr>
        <w:pStyle w:val="Heading1"/>
      </w:pPr>
      <w:bookmarkStart w:name="_Toc83387194" w:id="2"/>
      <w:r w:rsidRPr="00197038">
        <w:t>Boards of Examiners and Assessment Review Boards</w:t>
      </w:r>
      <w:bookmarkEnd w:id="2"/>
    </w:p>
    <w:p w:rsidRPr="00CB4145" w:rsidR="006D26AB" w:rsidP="00AC6F40" w:rsidRDefault="006D26AB" w14:paraId="47C8F11F" w14:textId="77777777">
      <w:pPr>
        <w:pStyle w:val="ListParagraph"/>
        <w:numPr>
          <w:ilvl w:val="0"/>
          <w:numId w:val="15"/>
        </w:numPr>
        <w:spacing w:after="120"/>
        <w:ind w:left="567" w:right="284" w:hanging="567"/>
        <w:contextualSpacing w:val="0"/>
        <w:rPr>
          <w:rFonts w:ascii="Arial" w:hAnsi="Arial" w:cs="Arial"/>
        </w:rPr>
      </w:pPr>
      <w:r w:rsidRPr="00CB4145">
        <w:rPr>
          <w:rFonts w:ascii="Arial" w:hAnsi="Arial" w:cs="Arial"/>
        </w:rPr>
        <w:t>Each Board of Examiners will:</w:t>
      </w:r>
    </w:p>
    <w:p w:rsidRPr="00CB4145" w:rsidR="006D26AB" w:rsidP="00AC6F40" w:rsidRDefault="006D26AB" w14:paraId="02D71399" w14:textId="77777777">
      <w:pPr>
        <w:pStyle w:val="ListParagraph"/>
        <w:numPr>
          <w:ilvl w:val="0"/>
          <w:numId w:val="10"/>
        </w:numPr>
        <w:spacing w:after="120"/>
        <w:ind w:left="993" w:right="284" w:hanging="426"/>
        <w:contextualSpacing w:val="0"/>
        <w:rPr>
          <w:rFonts w:ascii="Arial" w:hAnsi="Arial" w:cs="Arial"/>
        </w:rPr>
      </w:pPr>
      <w:r w:rsidRPr="00CB4145">
        <w:rPr>
          <w:rFonts w:ascii="Arial" w:hAnsi="Arial" w:cs="Arial"/>
        </w:rPr>
        <w:t>review the marking of and confirm the marks to be awarded for all modules;</w:t>
      </w:r>
    </w:p>
    <w:p w:rsidRPr="00CB4145" w:rsidR="006D26AB" w:rsidP="00AC6F40" w:rsidRDefault="006D26AB" w14:paraId="10178630" w14:textId="77777777">
      <w:pPr>
        <w:pStyle w:val="ListParagraph"/>
        <w:numPr>
          <w:ilvl w:val="0"/>
          <w:numId w:val="10"/>
        </w:numPr>
        <w:spacing w:after="120"/>
        <w:ind w:left="993" w:right="284" w:hanging="426"/>
        <w:contextualSpacing w:val="0"/>
        <w:rPr>
          <w:rFonts w:ascii="Arial" w:hAnsi="Arial" w:cs="Arial"/>
        </w:rPr>
      </w:pPr>
      <w:r w:rsidRPr="00CB4145">
        <w:rPr>
          <w:rFonts w:ascii="Arial" w:hAnsi="Arial" w:cs="Arial"/>
        </w:rPr>
        <w:t>make recommendations for the award of Certificates, Diplomas and Degrees to students who have successfully completed courses of study;</w:t>
      </w:r>
    </w:p>
    <w:p w:rsidRPr="00CB4145" w:rsidR="006D26AB" w:rsidP="00AC6F40" w:rsidRDefault="006D26AB" w14:paraId="71839C5B" w14:textId="77777777">
      <w:pPr>
        <w:pStyle w:val="ListParagraph"/>
        <w:numPr>
          <w:ilvl w:val="0"/>
          <w:numId w:val="10"/>
        </w:numPr>
        <w:spacing w:after="120"/>
        <w:ind w:left="993" w:right="284" w:hanging="426"/>
        <w:contextualSpacing w:val="0"/>
        <w:rPr>
          <w:rFonts w:ascii="Arial" w:hAnsi="Arial" w:cs="Arial"/>
        </w:rPr>
      </w:pPr>
      <w:r w:rsidRPr="00CB4145">
        <w:rPr>
          <w:rFonts w:ascii="Arial" w:hAnsi="Arial" w:cs="Arial"/>
        </w:rPr>
        <w:t>make recommendations with regard to progression, deferrals, referrals and termination of registration of students taking courses of study;</w:t>
      </w:r>
    </w:p>
    <w:p w:rsidRPr="00CB4145" w:rsidR="006D26AB" w:rsidP="00AC6F40" w:rsidRDefault="006D26AB" w14:paraId="61123363" w14:textId="77777777">
      <w:pPr>
        <w:pStyle w:val="ListParagraph"/>
        <w:numPr>
          <w:ilvl w:val="0"/>
          <w:numId w:val="10"/>
        </w:numPr>
        <w:spacing w:after="120"/>
        <w:ind w:left="993" w:right="284" w:hanging="426"/>
        <w:contextualSpacing w:val="0"/>
        <w:rPr>
          <w:rFonts w:ascii="Arial" w:hAnsi="Arial" w:cs="Arial"/>
        </w:rPr>
      </w:pPr>
      <w:r w:rsidRPr="00CB4145">
        <w:rPr>
          <w:rFonts w:ascii="Arial" w:hAnsi="Arial" w:cs="Arial"/>
        </w:rPr>
        <w:t xml:space="preserve">agree the award of prizes to outstanding students, as relevant. </w:t>
      </w:r>
    </w:p>
    <w:p w:rsidRPr="00CB4145" w:rsidR="006D26AB" w:rsidP="00AC6F40" w:rsidRDefault="006D26AB" w14:paraId="124A3F33" w14:textId="77777777">
      <w:pPr>
        <w:pStyle w:val="ListParagraph"/>
        <w:numPr>
          <w:ilvl w:val="0"/>
          <w:numId w:val="15"/>
        </w:numPr>
        <w:spacing w:after="120"/>
        <w:ind w:left="567" w:right="284" w:hanging="567"/>
        <w:contextualSpacing w:val="0"/>
        <w:rPr>
          <w:rFonts w:ascii="Arial" w:hAnsi="Arial" w:cs="Arial"/>
        </w:rPr>
      </w:pPr>
      <w:r w:rsidRPr="00CB4145">
        <w:rPr>
          <w:rFonts w:ascii="Arial" w:hAnsi="Arial" w:cs="Arial"/>
        </w:rPr>
        <w:t xml:space="preserve">Divisions should also operate a corresponding Assessment Review Board for each of its Boards of Examiners. </w:t>
      </w:r>
    </w:p>
    <w:p w:rsidRPr="00CB4145" w:rsidR="006D26AB" w:rsidP="00AC6F40" w:rsidRDefault="006D26AB" w14:paraId="45674006" w14:textId="77777777">
      <w:pPr>
        <w:pStyle w:val="ListParagraph"/>
        <w:numPr>
          <w:ilvl w:val="0"/>
          <w:numId w:val="15"/>
        </w:numPr>
        <w:spacing w:after="120"/>
        <w:ind w:left="567" w:right="284" w:hanging="567"/>
        <w:contextualSpacing w:val="0"/>
        <w:rPr>
          <w:rFonts w:ascii="Arial" w:hAnsi="Arial" w:cs="Arial"/>
        </w:rPr>
      </w:pPr>
      <w:r w:rsidRPr="00CB4145">
        <w:rPr>
          <w:rFonts w:ascii="Arial" w:hAnsi="Arial" w:cs="Arial"/>
        </w:rPr>
        <w:t>Assessment Review Boards are concerned with the review of:</w:t>
      </w:r>
    </w:p>
    <w:p w:rsidRPr="00CB4145" w:rsidR="006D26AB" w:rsidP="00AC6F40" w:rsidRDefault="006D26AB" w14:paraId="250FFE5F" w14:textId="77777777">
      <w:pPr>
        <w:pStyle w:val="ListParagraph"/>
        <w:numPr>
          <w:ilvl w:val="0"/>
          <w:numId w:val="12"/>
        </w:numPr>
        <w:spacing w:after="120"/>
        <w:ind w:left="993" w:right="284" w:hanging="426"/>
        <w:contextualSpacing w:val="0"/>
        <w:rPr>
          <w:rFonts w:ascii="Arial" w:hAnsi="Arial" w:cs="Arial"/>
        </w:rPr>
      </w:pPr>
      <w:r w:rsidRPr="00CB4145">
        <w:rPr>
          <w:rFonts w:ascii="Arial" w:hAnsi="Arial" w:cs="Arial"/>
        </w:rPr>
        <w:t>Data related to course and module trends</w:t>
      </w:r>
    </w:p>
    <w:p w:rsidRPr="00CB4145" w:rsidR="006D26AB" w:rsidP="00AC6F40" w:rsidRDefault="006D26AB" w14:paraId="719E5455" w14:textId="77777777">
      <w:pPr>
        <w:pStyle w:val="ListParagraph"/>
        <w:numPr>
          <w:ilvl w:val="0"/>
          <w:numId w:val="12"/>
        </w:numPr>
        <w:spacing w:after="120"/>
        <w:ind w:left="993" w:right="284" w:hanging="426"/>
        <w:contextualSpacing w:val="0"/>
        <w:rPr>
          <w:rFonts w:ascii="Arial" w:hAnsi="Arial" w:cs="Arial"/>
        </w:rPr>
      </w:pPr>
      <w:r w:rsidRPr="00CB4145">
        <w:rPr>
          <w:rFonts w:ascii="Arial" w:hAnsi="Arial" w:cs="Arial"/>
        </w:rPr>
        <w:t>Student attainment and attainment gaps</w:t>
      </w:r>
    </w:p>
    <w:p w:rsidRPr="00CB4145" w:rsidR="006D26AB" w:rsidP="00AC6F40" w:rsidRDefault="006D26AB" w14:paraId="62162834" w14:textId="77777777">
      <w:pPr>
        <w:pStyle w:val="ListParagraph"/>
        <w:numPr>
          <w:ilvl w:val="0"/>
          <w:numId w:val="12"/>
        </w:numPr>
        <w:spacing w:after="120"/>
        <w:ind w:left="993" w:right="284" w:hanging="426"/>
        <w:contextualSpacing w:val="0"/>
        <w:rPr>
          <w:rFonts w:ascii="Arial" w:hAnsi="Arial" w:cs="Arial"/>
        </w:rPr>
      </w:pPr>
      <w:r w:rsidRPr="00CB4145">
        <w:rPr>
          <w:rFonts w:ascii="Arial" w:hAnsi="Arial" w:cs="Arial"/>
        </w:rPr>
        <w:t>Degree outcomes</w:t>
      </w:r>
    </w:p>
    <w:p w:rsidRPr="00CB4145" w:rsidR="006D26AB" w:rsidP="00AC6F40" w:rsidRDefault="006D26AB" w14:paraId="07113F51" w14:textId="77777777">
      <w:pPr>
        <w:pStyle w:val="ListParagraph"/>
        <w:numPr>
          <w:ilvl w:val="0"/>
          <w:numId w:val="12"/>
        </w:numPr>
        <w:spacing w:after="120"/>
        <w:ind w:left="993" w:right="284" w:hanging="426"/>
        <w:contextualSpacing w:val="0"/>
        <w:rPr>
          <w:rFonts w:ascii="Arial" w:hAnsi="Arial" w:cs="Arial"/>
        </w:rPr>
      </w:pPr>
      <w:r w:rsidRPr="00CB4145">
        <w:rPr>
          <w:rFonts w:ascii="Arial" w:hAnsi="Arial" w:cs="Arial"/>
        </w:rPr>
        <w:t>Module content and assessment design</w:t>
      </w:r>
    </w:p>
    <w:p w:rsidRPr="00CB4145" w:rsidR="006D26AB" w:rsidP="00AC6F40" w:rsidRDefault="006D26AB" w14:paraId="3BB6B389" w14:textId="77777777">
      <w:pPr>
        <w:pStyle w:val="ListParagraph"/>
        <w:numPr>
          <w:ilvl w:val="0"/>
          <w:numId w:val="12"/>
        </w:numPr>
        <w:spacing w:after="120"/>
        <w:ind w:left="993" w:right="284" w:hanging="426"/>
        <w:contextualSpacing w:val="0"/>
        <w:rPr>
          <w:rFonts w:ascii="Arial" w:hAnsi="Arial" w:cs="Arial"/>
        </w:rPr>
      </w:pPr>
      <w:r w:rsidRPr="00CB4145">
        <w:rPr>
          <w:rFonts w:ascii="Arial" w:hAnsi="Arial" w:cs="Arial"/>
        </w:rPr>
        <w:t>Curriculum development</w:t>
      </w:r>
    </w:p>
    <w:p w:rsidRPr="00CB4145" w:rsidR="006D26AB" w:rsidP="00AC6F40" w:rsidRDefault="006D26AB" w14:paraId="6B124F95" w14:textId="77777777">
      <w:pPr>
        <w:pStyle w:val="ListParagraph"/>
        <w:numPr>
          <w:ilvl w:val="0"/>
          <w:numId w:val="12"/>
        </w:numPr>
        <w:spacing w:after="120"/>
        <w:ind w:left="993" w:right="284" w:hanging="426"/>
        <w:contextualSpacing w:val="0"/>
        <w:rPr>
          <w:rFonts w:ascii="Arial" w:hAnsi="Arial" w:cs="Arial"/>
        </w:rPr>
      </w:pPr>
      <w:r w:rsidRPr="00CB4145">
        <w:rPr>
          <w:rFonts w:ascii="Arial" w:hAnsi="Arial" w:cs="Arial"/>
        </w:rPr>
        <w:t>Initial External Examiner comments</w:t>
      </w:r>
    </w:p>
    <w:p w:rsidRPr="006428C2" w:rsidR="006D26AB" w:rsidP="00AC6F40" w:rsidRDefault="006D26AB" w14:paraId="3883E58A" w14:textId="77777777">
      <w:pPr>
        <w:spacing w:after="120" w:line="240" w:lineRule="auto"/>
        <w:ind w:left="567" w:right="284" w:firstLine="0"/>
        <w:rPr>
          <w:sz w:val="24"/>
        </w:rPr>
      </w:pPr>
      <w:r w:rsidRPr="006428C2">
        <w:rPr>
          <w:sz w:val="24"/>
        </w:rPr>
        <w:t xml:space="preserve">Further guidance on the operation of Assessment Review Boards can be found in section 15 below. </w:t>
      </w:r>
    </w:p>
    <w:p w:rsidRPr="00CB4145" w:rsidR="006D26AB" w:rsidP="00AC6F40" w:rsidRDefault="006D26AB" w14:paraId="3709B3E1" w14:textId="77777777">
      <w:pPr>
        <w:pStyle w:val="ListParagraph"/>
        <w:numPr>
          <w:ilvl w:val="0"/>
          <w:numId w:val="15"/>
        </w:numPr>
        <w:spacing w:after="120"/>
        <w:ind w:left="567" w:right="284" w:hanging="567"/>
        <w:contextualSpacing w:val="0"/>
        <w:rPr>
          <w:rFonts w:ascii="Arial" w:hAnsi="Arial" w:cs="Arial"/>
        </w:rPr>
      </w:pPr>
      <w:r w:rsidRPr="00CB4145">
        <w:rPr>
          <w:rFonts w:ascii="Arial" w:hAnsi="Arial" w:cs="Arial"/>
        </w:rPr>
        <w:t xml:space="preserve">Boards of Examiners and Assessment Review Boards should normally be held concurrently over one day. Assessment Review Boards should normally take place prior to Boards of Examiners, </w:t>
      </w:r>
      <w:r w:rsidRPr="00CB4145">
        <w:rPr>
          <w:rFonts w:ascii="Arial" w:hAnsi="Arial" w:cs="Arial"/>
          <w:color w:val="000000"/>
          <w:shd w:val="clear" w:color="auto" w:fill="FFFFFF"/>
        </w:rPr>
        <w:t>though this order may be reversed at the discretion of the Chair of the Board. </w:t>
      </w:r>
    </w:p>
    <w:p w:rsidRPr="00E1705D" w:rsidR="006D26AB" w:rsidP="00AC6F40" w:rsidRDefault="006D26AB" w14:paraId="0A4682ED" w14:textId="77777777">
      <w:pPr>
        <w:pStyle w:val="ListParagraph"/>
        <w:spacing w:after="120"/>
        <w:ind w:left="993" w:right="284" w:hanging="709"/>
        <w:contextualSpacing w:val="0"/>
        <w:rPr>
          <w:rFonts w:ascii="Arial" w:hAnsi="Arial" w:cs="Arial"/>
        </w:rPr>
      </w:pPr>
    </w:p>
    <w:p w:rsidRPr="00197038" w:rsidR="006D26AB" w:rsidP="00AC6F40" w:rsidRDefault="006D26AB" w14:paraId="4E197CD0" w14:textId="77777777">
      <w:pPr>
        <w:pStyle w:val="Heading1"/>
      </w:pPr>
      <w:bookmarkStart w:name="_Toc83387195" w:id="3"/>
      <w:r w:rsidRPr="00197038">
        <w:t>Membership of Boards of Examiners</w:t>
      </w:r>
      <w:bookmarkEnd w:id="3"/>
    </w:p>
    <w:p w:rsidRPr="00E1705D" w:rsidR="006D26AB" w:rsidP="00AC6F40" w:rsidRDefault="006D26AB" w14:paraId="42D612AD" w14:textId="77777777">
      <w:pPr>
        <w:spacing w:after="120" w:line="240" w:lineRule="auto"/>
        <w:ind w:left="567" w:right="284" w:firstLine="0"/>
        <w:jc w:val="left"/>
        <w:rPr>
          <w:sz w:val="24"/>
          <w:szCs w:val="24"/>
        </w:rPr>
      </w:pPr>
      <w:r w:rsidRPr="00E1705D">
        <w:rPr>
          <w:sz w:val="24"/>
          <w:szCs w:val="24"/>
        </w:rPr>
        <w:t xml:space="preserve">Boards of Examiners should include the following members: </w:t>
      </w:r>
    </w:p>
    <w:p w:rsidRPr="00E1705D" w:rsidR="006D26AB" w:rsidP="00AC6F40" w:rsidRDefault="006D26AB" w14:paraId="29974BE5" w14:textId="77777777">
      <w:pPr>
        <w:pStyle w:val="ListParagraph"/>
        <w:numPr>
          <w:ilvl w:val="0"/>
          <w:numId w:val="8"/>
        </w:numPr>
        <w:spacing w:after="120"/>
        <w:ind w:left="993" w:right="284" w:hanging="426"/>
        <w:contextualSpacing w:val="0"/>
        <w:rPr>
          <w:rFonts w:ascii="Arial" w:hAnsi="Arial" w:cs="Arial"/>
        </w:rPr>
      </w:pPr>
      <w:r w:rsidRPr="00E1705D">
        <w:rPr>
          <w:rFonts w:ascii="Arial" w:hAnsi="Arial" w:cs="Arial"/>
        </w:rPr>
        <w:t>Chair (normally the Chief Examiner for the courses concerned)</w:t>
      </w:r>
    </w:p>
    <w:p w:rsidRPr="00E1705D" w:rsidR="006D26AB" w:rsidP="00AC6F40" w:rsidRDefault="006D26AB" w14:paraId="2C4749E3" w14:textId="77777777">
      <w:pPr>
        <w:pStyle w:val="ListParagraph"/>
        <w:numPr>
          <w:ilvl w:val="0"/>
          <w:numId w:val="8"/>
        </w:numPr>
        <w:spacing w:after="120"/>
        <w:ind w:left="993" w:right="284" w:hanging="426"/>
        <w:contextualSpacing w:val="0"/>
        <w:rPr>
          <w:rFonts w:ascii="Arial" w:hAnsi="Arial" w:cs="Arial"/>
        </w:rPr>
      </w:pPr>
      <w:r w:rsidRPr="00E1705D">
        <w:rPr>
          <w:rFonts w:ascii="Arial" w:hAnsi="Arial" w:cs="Arial"/>
        </w:rPr>
        <w:t>External Examiners for the courses concerned</w:t>
      </w:r>
    </w:p>
    <w:p w:rsidRPr="00E1705D" w:rsidR="006D26AB" w:rsidP="00AC6F40" w:rsidRDefault="006D26AB" w14:paraId="45EA5E0F" w14:textId="77777777">
      <w:pPr>
        <w:pStyle w:val="ListParagraph"/>
        <w:numPr>
          <w:ilvl w:val="0"/>
          <w:numId w:val="8"/>
        </w:numPr>
        <w:spacing w:after="120"/>
        <w:ind w:left="993" w:right="284" w:hanging="426"/>
        <w:contextualSpacing w:val="0"/>
        <w:rPr>
          <w:rFonts w:ascii="Arial" w:hAnsi="Arial" w:cs="Arial"/>
        </w:rPr>
      </w:pPr>
      <w:r w:rsidRPr="00E1705D">
        <w:rPr>
          <w:rFonts w:ascii="Arial" w:hAnsi="Arial" w:cs="Arial"/>
        </w:rPr>
        <w:t>Directors of Studies</w:t>
      </w:r>
    </w:p>
    <w:p w:rsidRPr="00E1705D" w:rsidR="006D26AB" w:rsidP="00AC6F40" w:rsidRDefault="006D26AB" w14:paraId="4B27420F" w14:textId="77777777">
      <w:pPr>
        <w:pStyle w:val="ListParagraph"/>
        <w:numPr>
          <w:ilvl w:val="0"/>
          <w:numId w:val="8"/>
        </w:numPr>
        <w:spacing w:after="120"/>
        <w:ind w:left="993" w:right="284" w:hanging="426"/>
        <w:contextualSpacing w:val="0"/>
        <w:rPr>
          <w:rFonts w:ascii="Arial" w:hAnsi="Arial" w:cs="Arial"/>
        </w:rPr>
      </w:pPr>
      <w:r w:rsidRPr="00E1705D">
        <w:rPr>
          <w:rFonts w:ascii="Arial" w:hAnsi="Arial" w:cs="Arial"/>
        </w:rPr>
        <w:t xml:space="preserve">Module convenors for the courses concerned, however, their attendance is not compulsory. </w:t>
      </w:r>
    </w:p>
    <w:p w:rsidRPr="005B561D" w:rsidR="006D26AB" w:rsidP="00AC6F40" w:rsidRDefault="006D26AB" w14:paraId="3C1E26C5" w14:textId="77777777">
      <w:pPr>
        <w:pStyle w:val="ListParagraph"/>
        <w:numPr>
          <w:ilvl w:val="0"/>
          <w:numId w:val="16"/>
        </w:numPr>
        <w:spacing w:after="120"/>
        <w:ind w:left="567" w:right="284" w:hanging="567"/>
        <w:contextualSpacing w:val="0"/>
        <w:rPr>
          <w:rFonts w:ascii="Arial" w:hAnsi="Arial" w:cs="Arial"/>
        </w:rPr>
      </w:pPr>
      <w:r w:rsidRPr="005B561D">
        <w:rPr>
          <w:rFonts w:ascii="Arial" w:hAnsi="Arial" w:cs="Arial"/>
        </w:rPr>
        <w:lastRenderedPageBreak/>
        <w:t xml:space="preserve">Chair of Board of Examiners – the Chair of the Board of Examiners will normally be a member of the subject area, and will be appointed by the Director of Division. The duties of Chairs of Boards of Examiners are detailed in section 11 below. The Chair will also act as the Chair of the Assessment Review Board.  </w:t>
      </w:r>
    </w:p>
    <w:p w:rsidRPr="005B561D" w:rsidR="006D26AB" w:rsidP="00AC6F40" w:rsidRDefault="006D26AB" w14:paraId="6BC22DED" w14:textId="77777777">
      <w:pPr>
        <w:pStyle w:val="ListParagraph"/>
        <w:numPr>
          <w:ilvl w:val="0"/>
          <w:numId w:val="16"/>
        </w:numPr>
        <w:spacing w:after="120"/>
        <w:ind w:left="567" w:right="284" w:hanging="567"/>
        <w:contextualSpacing w:val="0"/>
        <w:rPr>
          <w:rFonts w:ascii="Arial" w:hAnsi="Arial" w:eastAsia="Times New Roman" w:cs="Arial"/>
        </w:rPr>
      </w:pPr>
      <w:r w:rsidRPr="005B561D">
        <w:rPr>
          <w:rFonts w:ascii="Arial" w:hAnsi="Arial" w:cs="Arial"/>
        </w:rPr>
        <w:t>External Examiners – all External Examiners for the courses under consideration should be in attendance at the Board. External</w:t>
      </w:r>
      <w:r w:rsidRPr="005B561D">
        <w:rPr>
          <w:rFonts w:ascii="Arial" w:hAnsi="Arial" w:eastAsia="Times New Roman" w:cs="Arial"/>
        </w:rPr>
        <w:t xml:space="preserve"> Examiner appointments are approved by the Vice-Chancellor (or nominee) acting on behalf of Senate and Council in line with the requirements of Annex K of the Code of Practice for Taught Courses. </w:t>
      </w:r>
      <w:r w:rsidRPr="005B561D">
        <w:rPr>
          <w:rFonts w:ascii="Arial" w:hAnsi="Arial" w:cs="Arial"/>
        </w:rPr>
        <w:t>The full duties of External Examiners are detailed in Annex K.</w:t>
      </w:r>
    </w:p>
    <w:p w:rsidRPr="005B561D" w:rsidR="006D26AB" w:rsidP="00AC6F40" w:rsidRDefault="006D26AB" w14:paraId="1368DF8D" w14:textId="77777777">
      <w:pPr>
        <w:pStyle w:val="ListParagraph"/>
        <w:numPr>
          <w:ilvl w:val="0"/>
          <w:numId w:val="16"/>
        </w:numPr>
        <w:spacing w:after="120"/>
        <w:ind w:left="567" w:right="284" w:hanging="567"/>
        <w:contextualSpacing w:val="0"/>
        <w:rPr>
          <w:rFonts w:ascii="Arial" w:hAnsi="Arial" w:cs="Arial"/>
        </w:rPr>
      </w:pPr>
      <w:r w:rsidRPr="005B561D">
        <w:rPr>
          <w:rFonts w:ascii="Arial" w:hAnsi="Arial" w:cs="Arial"/>
        </w:rPr>
        <w:t xml:space="preserve">A minimum of three members of the Board are required for the Boards of Examiners to be considered quorate, including the Chair and at least one External Examiner </w:t>
      </w:r>
    </w:p>
    <w:p w:rsidRPr="005B561D" w:rsidR="006D26AB" w:rsidP="00AC6F40" w:rsidRDefault="006D26AB" w14:paraId="3954E0D7" w14:textId="77777777">
      <w:pPr>
        <w:pStyle w:val="ListParagraph"/>
        <w:numPr>
          <w:ilvl w:val="0"/>
          <w:numId w:val="16"/>
        </w:numPr>
        <w:spacing w:after="120"/>
        <w:ind w:left="567" w:right="284" w:hanging="567"/>
        <w:contextualSpacing w:val="0"/>
        <w:rPr>
          <w:rFonts w:ascii="Arial" w:hAnsi="Arial" w:cs="Arial"/>
        </w:rPr>
      </w:pPr>
      <w:r w:rsidRPr="005B561D">
        <w:rPr>
          <w:rFonts w:ascii="Arial" w:hAnsi="Arial" w:cs="Arial"/>
        </w:rPr>
        <w:t xml:space="preserve">Where a Board of Examiners has been arranged, but an External Examiner then advises that they are no longer able to attend on that date, that absence may only be approved by the Deputy Vice-Chancellor Education and Student Experience. </w:t>
      </w:r>
    </w:p>
    <w:p w:rsidRPr="005B561D" w:rsidR="006D26AB" w:rsidP="00AC6F40" w:rsidRDefault="006D26AB" w14:paraId="08426FED" w14:textId="77777777">
      <w:pPr>
        <w:pStyle w:val="ListParagraph"/>
        <w:numPr>
          <w:ilvl w:val="0"/>
          <w:numId w:val="16"/>
        </w:numPr>
        <w:spacing w:after="120"/>
        <w:ind w:left="567" w:right="284" w:hanging="567"/>
        <w:contextualSpacing w:val="0"/>
        <w:rPr>
          <w:rFonts w:ascii="Arial" w:hAnsi="Arial" w:cs="Arial"/>
        </w:rPr>
      </w:pPr>
      <w:r w:rsidRPr="005B561D">
        <w:rPr>
          <w:rFonts w:ascii="Arial" w:hAnsi="Arial" w:cs="Arial"/>
        </w:rPr>
        <w:t xml:space="preserve">Where an External cannot, on an exceptional basis, be physically present, but requests to attend by other means (such as video conferencing), the Deputy Vice-Chancellor Education and Student Experience will consider whether this is appropriate on a case-by-case basis. This is because the University recognises the advantages to students, Divisions and External Examiners of External Examiners attending such meetings, including the facilitation of discussions and increased familiarisation with the University. </w:t>
      </w:r>
    </w:p>
    <w:p w:rsidRPr="005B561D" w:rsidR="006D26AB" w:rsidP="00AC6F40" w:rsidRDefault="006D26AB" w14:paraId="77CC8613" w14:textId="77777777">
      <w:pPr>
        <w:pStyle w:val="ListParagraph"/>
        <w:numPr>
          <w:ilvl w:val="0"/>
          <w:numId w:val="16"/>
        </w:numPr>
        <w:spacing w:after="120"/>
        <w:ind w:left="567" w:right="284" w:hanging="567"/>
        <w:contextualSpacing w:val="0"/>
        <w:rPr>
          <w:rFonts w:ascii="Arial" w:hAnsi="Arial" w:cs="Arial"/>
        </w:rPr>
      </w:pPr>
      <w:r w:rsidRPr="005B561D">
        <w:rPr>
          <w:rFonts w:ascii="Arial" w:hAnsi="Arial" w:cs="Arial"/>
        </w:rPr>
        <w:t>Director of Operations for the Division (or nominee) will be responsible for appointing a Secretary to support the Board of Examiners. Secretary responsibilities are outlined in section 13 below. Where applicable it may be appropriate for a Secretary and a note-taker to be appointed to carry out the requirements of the Secretary’s role.</w:t>
      </w:r>
    </w:p>
    <w:p w:rsidRPr="005B561D" w:rsidR="006D26AB" w:rsidP="00AC6F40" w:rsidRDefault="006D26AB" w14:paraId="7C4082D5" w14:textId="77777777">
      <w:pPr>
        <w:pStyle w:val="ListParagraph"/>
        <w:numPr>
          <w:ilvl w:val="0"/>
          <w:numId w:val="16"/>
        </w:numPr>
        <w:spacing w:after="120"/>
        <w:ind w:left="567" w:right="284" w:hanging="567"/>
        <w:contextualSpacing w:val="0"/>
        <w:rPr>
          <w:rFonts w:ascii="Arial" w:hAnsi="Arial" w:cs="Arial"/>
        </w:rPr>
      </w:pPr>
      <w:r w:rsidRPr="005B561D">
        <w:rPr>
          <w:rFonts w:ascii="Arial" w:hAnsi="Arial" w:cs="Arial"/>
        </w:rPr>
        <w:t xml:space="preserve">Where it is considered appropriate to do so members of the Quality Assurance and Compliance Office will attend Boards of Examiners to provide advice and guidance in the application of regulations and conventions and their interpretation. </w:t>
      </w:r>
    </w:p>
    <w:p w:rsidRPr="00E1705D" w:rsidR="006D26AB" w:rsidP="00AC6F40" w:rsidRDefault="006D26AB" w14:paraId="51E81000" w14:textId="77777777">
      <w:pPr>
        <w:spacing w:after="120" w:line="240" w:lineRule="auto"/>
        <w:ind w:left="993" w:right="284" w:hanging="709"/>
        <w:jc w:val="left"/>
        <w:rPr>
          <w:sz w:val="24"/>
          <w:szCs w:val="24"/>
        </w:rPr>
      </w:pPr>
    </w:p>
    <w:p w:rsidRPr="00197038" w:rsidR="006D26AB" w:rsidP="00AC6F40" w:rsidRDefault="006D26AB" w14:paraId="4EBABC1F" w14:textId="77777777">
      <w:pPr>
        <w:pStyle w:val="Heading1"/>
      </w:pPr>
      <w:bookmarkStart w:name="_Toc83387196" w:id="4"/>
      <w:r w:rsidRPr="00197038">
        <w:t>Membership of Assessment Review Boards</w:t>
      </w:r>
      <w:bookmarkEnd w:id="4"/>
    </w:p>
    <w:p w:rsidRPr="005B561D" w:rsidR="006D26AB" w:rsidP="00AC6F40" w:rsidRDefault="006D26AB" w14:paraId="6CCFCF38" w14:textId="77777777">
      <w:pPr>
        <w:pStyle w:val="ListParagraph"/>
        <w:numPr>
          <w:ilvl w:val="0"/>
          <w:numId w:val="18"/>
        </w:numPr>
        <w:spacing w:after="120"/>
        <w:ind w:left="567" w:right="284" w:hanging="567"/>
        <w:contextualSpacing w:val="0"/>
        <w:rPr>
          <w:rFonts w:ascii="Arial" w:hAnsi="Arial" w:cs="Arial"/>
        </w:rPr>
      </w:pPr>
      <w:r w:rsidRPr="005B561D">
        <w:rPr>
          <w:rFonts w:ascii="Arial" w:hAnsi="Arial" w:cs="Arial"/>
        </w:rPr>
        <w:t>Assessment Review Boards are concerned with considering a range of data relating to courses, modules and student achievement and should include the following members:</w:t>
      </w:r>
    </w:p>
    <w:p w:rsidRPr="005B561D" w:rsidR="006D26AB" w:rsidP="00AC6F40" w:rsidRDefault="006D26AB" w14:paraId="7B4D8F00" w14:textId="77777777">
      <w:pPr>
        <w:pStyle w:val="ListParagraph"/>
        <w:numPr>
          <w:ilvl w:val="0"/>
          <w:numId w:val="8"/>
        </w:numPr>
        <w:tabs>
          <w:tab w:val="clear" w:pos="1872"/>
          <w:tab w:val="num" w:pos="993"/>
        </w:tabs>
        <w:spacing w:after="120"/>
        <w:ind w:left="993" w:right="284" w:hanging="426"/>
        <w:contextualSpacing w:val="0"/>
        <w:rPr>
          <w:rFonts w:ascii="Arial" w:hAnsi="Arial" w:cs="Arial"/>
        </w:rPr>
      </w:pPr>
      <w:r w:rsidRPr="005B561D">
        <w:rPr>
          <w:rFonts w:ascii="Arial" w:hAnsi="Arial" w:cs="Arial"/>
        </w:rPr>
        <w:lastRenderedPageBreak/>
        <w:t>Chair (normally the Chief Examiner for the courses concerned)</w:t>
      </w:r>
    </w:p>
    <w:p w:rsidRPr="005B561D" w:rsidR="006D26AB" w:rsidP="00AC6F40" w:rsidRDefault="006D26AB" w14:paraId="6973F659" w14:textId="77777777">
      <w:pPr>
        <w:pStyle w:val="ListParagraph"/>
        <w:numPr>
          <w:ilvl w:val="0"/>
          <w:numId w:val="8"/>
        </w:numPr>
        <w:tabs>
          <w:tab w:val="clear" w:pos="1872"/>
          <w:tab w:val="num" w:pos="993"/>
        </w:tabs>
        <w:spacing w:after="120"/>
        <w:ind w:left="993" w:right="284" w:hanging="426"/>
        <w:contextualSpacing w:val="0"/>
        <w:rPr>
          <w:rFonts w:ascii="Arial" w:hAnsi="Arial" w:cs="Arial"/>
        </w:rPr>
      </w:pPr>
      <w:r w:rsidRPr="005B561D">
        <w:rPr>
          <w:rFonts w:ascii="Arial" w:hAnsi="Arial" w:cs="Arial"/>
        </w:rPr>
        <w:t>External Examiners for the courses concerned</w:t>
      </w:r>
    </w:p>
    <w:p w:rsidRPr="005B561D" w:rsidR="006D26AB" w:rsidP="00AC6F40" w:rsidRDefault="006D26AB" w14:paraId="20BE9E35" w14:textId="77777777">
      <w:pPr>
        <w:pStyle w:val="ListParagraph"/>
        <w:numPr>
          <w:ilvl w:val="0"/>
          <w:numId w:val="8"/>
        </w:numPr>
        <w:tabs>
          <w:tab w:val="clear" w:pos="1872"/>
          <w:tab w:val="num" w:pos="993"/>
        </w:tabs>
        <w:spacing w:after="120"/>
        <w:ind w:left="993" w:right="284" w:hanging="426"/>
        <w:contextualSpacing w:val="0"/>
        <w:rPr>
          <w:rFonts w:ascii="Arial" w:hAnsi="Arial" w:cs="Arial"/>
        </w:rPr>
      </w:pPr>
      <w:r w:rsidRPr="005B561D">
        <w:rPr>
          <w:rFonts w:ascii="Arial" w:hAnsi="Arial" w:cs="Arial"/>
        </w:rPr>
        <w:t xml:space="preserve">Module convenors for the courses concerned </w:t>
      </w:r>
    </w:p>
    <w:p w:rsidRPr="005B561D" w:rsidR="006D26AB" w:rsidP="00AC6F40" w:rsidRDefault="006D26AB" w14:paraId="4BC823FB" w14:textId="77777777">
      <w:pPr>
        <w:pStyle w:val="ListParagraph"/>
        <w:numPr>
          <w:ilvl w:val="0"/>
          <w:numId w:val="8"/>
        </w:numPr>
        <w:tabs>
          <w:tab w:val="clear" w:pos="1872"/>
          <w:tab w:val="num" w:pos="993"/>
        </w:tabs>
        <w:spacing w:after="120"/>
        <w:ind w:left="993" w:right="284" w:hanging="426"/>
        <w:contextualSpacing w:val="0"/>
        <w:rPr>
          <w:rFonts w:ascii="Arial" w:hAnsi="Arial" w:cs="Arial"/>
        </w:rPr>
      </w:pPr>
      <w:r w:rsidRPr="005B561D">
        <w:rPr>
          <w:rFonts w:ascii="Arial" w:hAnsi="Arial" w:cs="Arial"/>
        </w:rPr>
        <w:t>Directors of Studies</w:t>
      </w:r>
    </w:p>
    <w:p w:rsidRPr="005B561D" w:rsidR="006D26AB" w:rsidP="00AC6F40" w:rsidRDefault="006D26AB" w14:paraId="58192E05" w14:textId="77777777">
      <w:pPr>
        <w:pStyle w:val="ListParagraph"/>
        <w:numPr>
          <w:ilvl w:val="0"/>
          <w:numId w:val="18"/>
        </w:numPr>
        <w:spacing w:after="120"/>
        <w:ind w:left="567" w:right="284" w:hanging="567"/>
        <w:contextualSpacing w:val="0"/>
        <w:rPr>
          <w:rFonts w:ascii="Arial" w:hAnsi="Arial" w:cs="Arial"/>
        </w:rPr>
      </w:pPr>
      <w:r w:rsidRPr="005B561D">
        <w:rPr>
          <w:rFonts w:ascii="Arial" w:hAnsi="Arial" w:cs="Arial"/>
        </w:rPr>
        <w:t>Other members of teaching teams may be invited to attend Assessment Review Boards, for example to discuss specific areas of interest or specific modules.</w:t>
      </w:r>
    </w:p>
    <w:p w:rsidRPr="005B561D" w:rsidR="006D26AB" w:rsidP="00AC6F40" w:rsidRDefault="006D26AB" w14:paraId="59076DDA" w14:textId="77777777">
      <w:pPr>
        <w:pStyle w:val="ListParagraph"/>
        <w:numPr>
          <w:ilvl w:val="0"/>
          <w:numId w:val="18"/>
        </w:numPr>
        <w:spacing w:after="120"/>
        <w:ind w:left="567" w:right="284" w:hanging="567"/>
        <w:contextualSpacing w:val="0"/>
        <w:rPr>
          <w:rFonts w:ascii="Arial" w:hAnsi="Arial" w:cs="Arial"/>
        </w:rPr>
      </w:pPr>
      <w:r w:rsidRPr="005B561D">
        <w:rPr>
          <w:rFonts w:ascii="Arial" w:hAnsi="Arial" w:cs="Arial"/>
        </w:rPr>
        <w:t xml:space="preserve">Where it is considered appropriate to do so, members of the Quality Assurance and Compliance Office will attend Assessment Review Boards to provide advice and guidance. </w:t>
      </w:r>
    </w:p>
    <w:p w:rsidRPr="00E1705D" w:rsidR="006D26AB" w:rsidP="00AC6F40" w:rsidRDefault="006D26AB" w14:paraId="0D0E1D97" w14:textId="77777777">
      <w:pPr>
        <w:pStyle w:val="ListParagraph"/>
        <w:spacing w:after="120"/>
        <w:ind w:left="993" w:right="284" w:hanging="709"/>
        <w:contextualSpacing w:val="0"/>
        <w:rPr>
          <w:rFonts w:ascii="Arial" w:hAnsi="Arial" w:cs="Arial"/>
        </w:rPr>
      </w:pPr>
    </w:p>
    <w:p w:rsidRPr="00197038" w:rsidR="006D26AB" w:rsidP="00AC6F40" w:rsidRDefault="006D26AB" w14:paraId="02274B9A" w14:textId="77777777">
      <w:pPr>
        <w:pStyle w:val="Heading1"/>
      </w:pPr>
      <w:bookmarkStart w:name="_Toc83387197" w:id="5"/>
      <w:r w:rsidRPr="00197038">
        <w:t>Boards of Examiners and Assessment Review Boards – Principles</w:t>
      </w:r>
      <w:bookmarkEnd w:id="5"/>
    </w:p>
    <w:p w:rsidRPr="00C24AF8" w:rsidR="006D26AB" w:rsidP="00AC6F40" w:rsidRDefault="006D26AB" w14:paraId="388BF8A3" w14:textId="65FF1853">
      <w:pPr>
        <w:pStyle w:val="ListParagraph"/>
        <w:numPr>
          <w:ilvl w:val="0"/>
          <w:numId w:val="19"/>
        </w:numPr>
        <w:spacing w:after="120"/>
        <w:ind w:left="567" w:right="284" w:hanging="567"/>
        <w:contextualSpacing w:val="0"/>
        <w:rPr>
          <w:rFonts w:ascii="Arial" w:hAnsi="Arial" w:cs="Arial"/>
        </w:rPr>
      </w:pPr>
      <w:r w:rsidRPr="00C24AF8">
        <w:rPr>
          <w:rFonts w:ascii="Arial" w:hAnsi="Arial" w:cs="Arial"/>
        </w:rPr>
        <w:t xml:space="preserve">All discussion at meetings of Boards of Examiners shall be confidential and all data shall be held in accordance with the </w:t>
      </w:r>
      <w:hyperlink w:history="1" r:id="rId17">
        <w:r w:rsidRPr="00C24AF8">
          <w:rPr>
            <w:rStyle w:val="Hyperlink"/>
            <w:rFonts w:ascii="Arial" w:hAnsi="Arial" w:cs="Arial"/>
          </w:rPr>
          <w:t>University’s Documentation Retention and Archiving Policy</w:t>
        </w:r>
      </w:hyperlink>
      <w:r w:rsidRPr="00C24AF8">
        <w:rPr>
          <w:rFonts w:ascii="Arial" w:hAnsi="Arial" w:cs="Arial"/>
        </w:rPr>
        <w:t xml:space="preserve">. </w:t>
      </w:r>
    </w:p>
    <w:p w:rsidRPr="00C24AF8" w:rsidR="006D26AB" w:rsidP="00AC6F40" w:rsidRDefault="006D26AB" w14:paraId="6CCE46B4" w14:textId="77777777">
      <w:pPr>
        <w:pStyle w:val="ListParagraph"/>
        <w:numPr>
          <w:ilvl w:val="0"/>
          <w:numId w:val="19"/>
        </w:numPr>
        <w:spacing w:after="120"/>
        <w:ind w:left="567" w:right="284" w:hanging="567"/>
        <w:contextualSpacing w:val="0"/>
        <w:rPr>
          <w:rFonts w:ascii="Arial" w:hAnsi="Arial" w:cs="Arial"/>
        </w:rPr>
      </w:pPr>
      <w:r w:rsidRPr="00C24AF8">
        <w:rPr>
          <w:rFonts w:ascii="Arial" w:hAnsi="Arial" w:cs="Arial"/>
        </w:rPr>
        <w:t>Identities of candidates shall not be made known during Boards of Examiners or Assessment Review Boards. Only when Boards of Examiners proceedings have been completed in full may the identities of candidates be revealed, if so required (to facilitate, for example, the award of prizes). Decisions on candidates, however, may not be revisited after their identities have been made known.</w:t>
      </w:r>
    </w:p>
    <w:p w:rsidRPr="00C24AF8" w:rsidR="006D26AB" w:rsidP="00AC6F40" w:rsidRDefault="006D26AB" w14:paraId="407B4ECB" w14:textId="77777777">
      <w:pPr>
        <w:pStyle w:val="ListParagraph"/>
        <w:numPr>
          <w:ilvl w:val="0"/>
          <w:numId w:val="19"/>
        </w:numPr>
        <w:spacing w:after="120"/>
        <w:ind w:left="567" w:right="284" w:hanging="567"/>
        <w:contextualSpacing w:val="0"/>
        <w:rPr>
          <w:rFonts w:ascii="Arial" w:hAnsi="Arial" w:cs="Arial"/>
        </w:rPr>
      </w:pPr>
      <w:r w:rsidRPr="00C24AF8">
        <w:rPr>
          <w:rFonts w:ascii="Arial" w:hAnsi="Arial" w:cs="Arial"/>
        </w:rPr>
        <w:t>No mitigation case shall be re-opened during Boards of Examiners or Assessment Review Board proceedings.</w:t>
      </w:r>
    </w:p>
    <w:p w:rsidRPr="00C24AF8" w:rsidR="006D26AB" w:rsidP="00AC6F40" w:rsidRDefault="006D26AB" w14:paraId="558A8EB2" w14:textId="77777777">
      <w:pPr>
        <w:pStyle w:val="ListParagraph"/>
        <w:numPr>
          <w:ilvl w:val="0"/>
          <w:numId w:val="19"/>
        </w:numPr>
        <w:spacing w:after="120"/>
        <w:ind w:left="567" w:right="284" w:hanging="567"/>
        <w:contextualSpacing w:val="0"/>
        <w:rPr>
          <w:rFonts w:ascii="Arial" w:hAnsi="Arial" w:cs="Arial"/>
        </w:rPr>
      </w:pPr>
      <w:r w:rsidRPr="00C24AF8">
        <w:rPr>
          <w:rFonts w:ascii="Arial" w:hAnsi="Arial" w:cs="Arial"/>
        </w:rPr>
        <w:t>No individual member of academic staff should take on a formal role of representing or advocating the interests of an individual student at Boards of Examiners or Assessment Review Boards.</w:t>
      </w:r>
    </w:p>
    <w:p w:rsidRPr="00C24AF8" w:rsidR="006D26AB" w:rsidP="00AC6F40" w:rsidRDefault="006D26AB" w14:paraId="3F913169" w14:textId="77777777">
      <w:pPr>
        <w:pStyle w:val="ListParagraph"/>
        <w:numPr>
          <w:ilvl w:val="0"/>
          <w:numId w:val="19"/>
        </w:numPr>
        <w:spacing w:after="120"/>
        <w:ind w:left="567" w:right="284" w:hanging="567"/>
        <w:contextualSpacing w:val="0"/>
        <w:rPr>
          <w:rFonts w:ascii="Arial" w:hAnsi="Arial" w:cs="Arial"/>
        </w:rPr>
      </w:pPr>
      <w:r w:rsidRPr="00C24AF8">
        <w:rPr>
          <w:rFonts w:ascii="Arial" w:hAnsi="Arial" w:cs="Arial"/>
        </w:rPr>
        <w:t>Any member of a Board of Examiners who has a particular interest in a student(s) to be considered by a Board of Examiners must declare such interest at the start of the meeting or in advance to the Chair of the Board, so they can decide whether it would be appropriate for such a member to withdraw for part or all of the meeting.</w:t>
      </w:r>
    </w:p>
    <w:p w:rsidRPr="00C24AF8" w:rsidR="006D26AB" w:rsidP="00AC6F40" w:rsidRDefault="006D26AB" w14:paraId="40214E74" w14:textId="3BED46D6">
      <w:pPr>
        <w:pStyle w:val="ListParagraph"/>
        <w:numPr>
          <w:ilvl w:val="0"/>
          <w:numId w:val="19"/>
        </w:numPr>
        <w:spacing w:after="120"/>
        <w:ind w:left="567" w:right="284" w:hanging="567"/>
        <w:contextualSpacing w:val="0"/>
        <w:rPr>
          <w:rFonts w:ascii="Arial" w:hAnsi="Arial" w:cs="Arial"/>
        </w:rPr>
      </w:pPr>
      <w:r w:rsidRPr="00C24AF8">
        <w:rPr>
          <w:rFonts w:ascii="Arial" w:hAnsi="Arial" w:cs="Arial"/>
        </w:rPr>
        <w:t xml:space="preserve">Boards of Examiners will follow the requirements of </w:t>
      </w:r>
      <w:hyperlink w:history="1" r:id="rId18">
        <w:r w:rsidRPr="00C24AF8">
          <w:rPr>
            <w:rStyle w:val="Hyperlink"/>
            <w:rFonts w:ascii="Arial" w:hAnsi="Arial" w:cs="Arial"/>
          </w:rPr>
          <w:t>the University of Kent’s Credit Framework for Taught Courses</w:t>
        </w:r>
      </w:hyperlink>
      <w:r w:rsidRPr="00C24AF8">
        <w:rPr>
          <w:rFonts w:ascii="Arial" w:hAnsi="Arial" w:cs="Arial"/>
        </w:rPr>
        <w:t xml:space="preserve"> when awarding credit, or recommending progression and academic awards to Senate.</w:t>
      </w:r>
    </w:p>
    <w:p w:rsidRPr="00C24AF8" w:rsidR="006D26AB" w:rsidP="00AC6F40" w:rsidRDefault="006D26AB" w14:paraId="58CB92A7" w14:textId="77777777">
      <w:pPr>
        <w:pStyle w:val="ListParagraph"/>
        <w:numPr>
          <w:ilvl w:val="0"/>
          <w:numId w:val="19"/>
        </w:numPr>
        <w:spacing w:after="120"/>
        <w:ind w:left="567" w:right="284" w:hanging="567"/>
        <w:contextualSpacing w:val="0"/>
        <w:rPr>
          <w:rFonts w:ascii="Arial" w:hAnsi="Arial" w:cs="Arial"/>
        </w:rPr>
      </w:pPr>
      <w:r w:rsidRPr="00C24AF8">
        <w:rPr>
          <w:rFonts w:ascii="Arial" w:hAnsi="Arial" w:cs="Arial"/>
        </w:rPr>
        <w:t xml:space="preserve">Boards of Examiners should consider the outcomes of all students. However, discussion of individual mark profiles need only be carried out where the profile indicates it is required (for example where a referral </w:t>
      </w:r>
      <w:r w:rsidRPr="00C24AF8">
        <w:rPr>
          <w:rFonts w:ascii="Arial" w:hAnsi="Arial" w:cs="Arial"/>
        </w:rPr>
        <w:lastRenderedPageBreak/>
        <w:t>decision is to be made, where intermission or withdrawal has occurred or where application of mitigation of extenuating circumstances has taken place - the list is not exhaustive).</w:t>
      </w:r>
    </w:p>
    <w:p w:rsidRPr="00C24AF8" w:rsidR="006D26AB" w:rsidP="00AC6F40" w:rsidRDefault="006D26AB" w14:paraId="14C5FAB2" w14:textId="77777777">
      <w:pPr>
        <w:pStyle w:val="ListParagraph"/>
        <w:numPr>
          <w:ilvl w:val="0"/>
          <w:numId w:val="19"/>
        </w:numPr>
        <w:spacing w:after="120"/>
        <w:ind w:left="567" w:right="284" w:hanging="567"/>
        <w:contextualSpacing w:val="0"/>
        <w:rPr>
          <w:rFonts w:ascii="Arial" w:hAnsi="Arial" w:cs="Arial"/>
        </w:rPr>
      </w:pPr>
      <w:r w:rsidRPr="00C24AF8">
        <w:rPr>
          <w:rFonts w:ascii="Arial" w:hAnsi="Arial" w:cs="Arial"/>
        </w:rPr>
        <w:t xml:space="preserve">All Chairs of Boards, External Examiners, Directors of Studies and module convenors will be required to undertake Boards of Examiners induction and training and will be offered refresher opportunities on an annual basis. </w:t>
      </w:r>
    </w:p>
    <w:p w:rsidRPr="00E1705D" w:rsidR="006D26AB" w:rsidP="00AC6F40" w:rsidRDefault="006D26AB" w14:paraId="1038C889" w14:textId="77777777">
      <w:pPr>
        <w:pStyle w:val="ListParagraph"/>
        <w:spacing w:after="120"/>
        <w:ind w:left="993" w:right="284" w:hanging="709"/>
        <w:contextualSpacing w:val="0"/>
        <w:rPr>
          <w:rFonts w:ascii="Arial" w:hAnsi="Arial" w:cs="Arial"/>
        </w:rPr>
      </w:pPr>
    </w:p>
    <w:p w:rsidRPr="00197038" w:rsidR="006D26AB" w:rsidP="00AC6F40" w:rsidRDefault="006D26AB" w14:paraId="6D71FB25" w14:textId="77777777">
      <w:pPr>
        <w:pStyle w:val="Heading1"/>
      </w:pPr>
      <w:bookmarkStart w:name="_Toc83387198" w:id="6"/>
      <w:r w:rsidRPr="00197038">
        <w:t>Mitigation Committee</w:t>
      </w:r>
      <w:bookmarkEnd w:id="6"/>
    </w:p>
    <w:p w:rsidRPr="00E1705D" w:rsidR="006D26AB" w:rsidP="00AC6F40" w:rsidRDefault="006D26AB" w14:paraId="48BCB04E" w14:textId="77777777">
      <w:pPr>
        <w:pStyle w:val="ListParagraph"/>
        <w:numPr>
          <w:ilvl w:val="0"/>
          <w:numId w:val="7"/>
        </w:numPr>
        <w:spacing w:after="120"/>
        <w:ind w:left="567" w:right="284" w:hanging="567"/>
        <w:contextualSpacing w:val="0"/>
        <w:rPr>
          <w:rFonts w:ascii="Arial" w:hAnsi="Arial" w:cs="Arial"/>
        </w:rPr>
      </w:pPr>
      <w:r w:rsidRPr="00E1705D">
        <w:rPr>
          <w:rFonts w:ascii="Arial" w:hAnsi="Arial" w:cs="Arial"/>
        </w:rPr>
        <w:t xml:space="preserve">Before each meeting of a Board of Examiners, the Chair of the Board (normally the Chief Examiner) will convene a Mitigation Committee to assess the severity of the impact on student performance of relevant extenuating circumstances. </w:t>
      </w:r>
    </w:p>
    <w:p w:rsidRPr="00E1705D" w:rsidR="006D26AB" w:rsidP="00AC6F40" w:rsidRDefault="006D26AB" w14:paraId="09C46F8A" w14:textId="77777777">
      <w:pPr>
        <w:pStyle w:val="ListParagraph"/>
        <w:numPr>
          <w:ilvl w:val="0"/>
          <w:numId w:val="7"/>
        </w:numPr>
        <w:spacing w:after="120"/>
        <w:ind w:left="567" w:right="284" w:hanging="567"/>
        <w:contextualSpacing w:val="0"/>
        <w:rPr>
          <w:rFonts w:ascii="Arial" w:hAnsi="Arial" w:cs="Arial"/>
        </w:rPr>
      </w:pPr>
      <w:r w:rsidRPr="00E1705D">
        <w:rPr>
          <w:rFonts w:ascii="Arial" w:hAnsi="Arial" w:cs="Arial"/>
        </w:rPr>
        <w:t xml:space="preserve">The membership of the Mitigation Committee will consist of a small number of internal members of the Board of Examiners (i.e. normally no more than three members, to include the Chair (or nominee), the Senior Tutor, a third member and, typically, with the Student Support Officer in attendance) </w:t>
      </w:r>
    </w:p>
    <w:p w:rsidRPr="00E1705D" w:rsidR="006D26AB" w:rsidP="00AC6F40" w:rsidRDefault="006D26AB" w14:paraId="4FF7B462" w14:textId="77777777">
      <w:pPr>
        <w:pStyle w:val="ListParagraph"/>
        <w:numPr>
          <w:ilvl w:val="0"/>
          <w:numId w:val="7"/>
        </w:numPr>
        <w:spacing w:after="120"/>
        <w:ind w:left="567" w:right="284" w:hanging="567"/>
        <w:contextualSpacing w:val="0"/>
        <w:rPr>
          <w:rFonts w:ascii="Arial" w:hAnsi="Arial" w:cs="Arial"/>
        </w:rPr>
      </w:pPr>
      <w:r w:rsidRPr="00E1705D">
        <w:rPr>
          <w:rFonts w:ascii="Arial" w:hAnsi="Arial" w:cs="Arial"/>
        </w:rPr>
        <w:t>The Mitigation Committee will be chaired by the Chair of the Board of Examiners or by a nominee of the Chair. Any such nominee must also be a member of the relevant Board of Examiners.  </w:t>
      </w:r>
    </w:p>
    <w:p w:rsidRPr="00E1705D" w:rsidR="006D26AB" w:rsidP="00AC6F40" w:rsidRDefault="006D26AB" w14:paraId="6CCFF6BB" w14:textId="77777777">
      <w:pPr>
        <w:pStyle w:val="ListParagraph"/>
        <w:numPr>
          <w:ilvl w:val="0"/>
          <w:numId w:val="7"/>
        </w:numPr>
        <w:spacing w:after="120"/>
        <w:ind w:left="567" w:right="284" w:hanging="567"/>
        <w:contextualSpacing w:val="0"/>
        <w:rPr>
          <w:rFonts w:ascii="Arial" w:hAnsi="Arial" w:cs="Arial"/>
          <w:u w:val="single"/>
        </w:rPr>
      </w:pPr>
      <w:r w:rsidRPr="00E1705D">
        <w:rPr>
          <w:rFonts w:ascii="Arial" w:hAnsi="Arial" w:cs="Arial"/>
        </w:rPr>
        <w:t xml:space="preserve">The procedures and conventions for considering Mitigating Circumstances applications are set out in Annex 9: Mitigation of Extenuating Circumstances of the Credit Framework.   </w:t>
      </w:r>
    </w:p>
    <w:p w:rsidRPr="00E1705D" w:rsidR="006D26AB" w:rsidP="00AC6F40" w:rsidRDefault="006D26AB" w14:paraId="013949B1" w14:textId="77777777">
      <w:pPr>
        <w:pStyle w:val="ListParagraph"/>
        <w:numPr>
          <w:ilvl w:val="0"/>
          <w:numId w:val="7"/>
        </w:numPr>
        <w:spacing w:after="120"/>
        <w:ind w:left="567" w:right="284" w:hanging="567"/>
        <w:contextualSpacing w:val="0"/>
        <w:rPr>
          <w:rFonts w:ascii="Arial" w:hAnsi="Arial" w:cs="Arial"/>
        </w:rPr>
      </w:pPr>
      <w:r w:rsidRPr="00E1705D">
        <w:rPr>
          <w:rFonts w:ascii="Arial" w:hAnsi="Arial" w:cs="Arial"/>
          <w:lang w:val="en-GB"/>
        </w:rPr>
        <w:t xml:space="preserve">Identities of students shall not be made known during Mitigation Committee proceedings. </w:t>
      </w:r>
    </w:p>
    <w:p w:rsidRPr="00E1705D" w:rsidR="006D26AB" w:rsidP="00AC6F40" w:rsidRDefault="006D26AB" w14:paraId="0DCCB231" w14:textId="77777777">
      <w:pPr>
        <w:tabs>
          <w:tab w:val="left" w:pos="1134"/>
        </w:tabs>
        <w:spacing w:after="120" w:line="240" w:lineRule="auto"/>
        <w:ind w:left="993" w:right="284" w:hanging="709"/>
        <w:jc w:val="left"/>
        <w:rPr>
          <w:sz w:val="24"/>
          <w:szCs w:val="24"/>
        </w:rPr>
      </w:pPr>
    </w:p>
    <w:p w:rsidRPr="00197038" w:rsidR="006D26AB" w:rsidP="00AC6F40" w:rsidRDefault="006D26AB" w14:paraId="00DCBFB2" w14:textId="77777777">
      <w:pPr>
        <w:pStyle w:val="Heading1"/>
      </w:pPr>
      <w:bookmarkStart w:name="_Toc83387199" w:id="7"/>
      <w:r w:rsidRPr="00197038">
        <w:t>Pre-meeting of the Board of Examiners</w:t>
      </w:r>
      <w:bookmarkEnd w:id="7"/>
    </w:p>
    <w:p w:rsidRPr="00C24AF8" w:rsidR="006D26AB" w:rsidP="000A78C1" w:rsidRDefault="006D26AB" w14:paraId="2FB2CFFE" w14:textId="77777777">
      <w:pPr>
        <w:pStyle w:val="ListParagraph"/>
        <w:numPr>
          <w:ilvl w:val="0"/>
          <w:numId w:val="20"/>
        </w:numPr>
        <w:spacing w:after="120"/>
        <w:ind w:left="567" w:right="284" w:hanging="567"/>
        <w:contextualSpacing w:val="0"/>
        <w:rPr>
          <w:rFonts w:ascii="Arial" w:hAnsi="Arial" w:cs="Arial"/>
        </w:rPr>
      </w:pPr>
      <w:r w:rsidRPr="00C24AF8">
        <w:rPr>
          <w:rFonts w:ascii="Arial" w:hAnsi="Arial" w:cs="Arial"/>
        </w:rPr>
        <w:t>Before each meeting of a Board of Examiners, the Chair may convene a pre-meeting to consider other matters as it deems appropriate.</w:t>
      </w:r>
    </w:p>
    <w:p w:rsidRPr="00C24AF8" w:rsidR="006D26AB" w:rsidP="000A78C1" w:rsidRDefault="006D26AB" w14:paraId="79E20792" w14:textId="77777777">
      <w:pPr>
        <w:pStyle w:val="ListParagraph"/>
        <w:numPr>
          <w:ilvl w:val="0"/>
          <w:numId w:val="20"/>
        </w:numPr>
        <w:spacing w:after="120"/>
        <w:ind w:left="567" w:right="284" w:hanging="567"/>
        <w:contextualSpacing w:val="0"/>
        <w:rPr>
          <w:rFonts w:ascii="Arial" w:hAnsi="Arial" w:cs="Arial"/>
        </w:rPr>
      </w:pPr>
      <w:r w:rsidRPr="00C24AF8">
        <w:rPr>
          <w:rFonts w:ascii="Arial" w:hAnsi="Arial" w:cs="Arial"/>
        </w:rPr>
        <w:t xml:space="preserve">Such matters might include deciding, based on the profile of marks, which candidates should be drawn to the attention of the External Examiner(s), reviewing the range of marks awarded for each module to ensure that these are accurate and identification of any other issues requiring discussion by the Board of Examiners. </w:t>
      </w:r>
    </w:p>
    <w:p w:rsidRPr="00C24AF8" w:rsidR="006D26AB" w:rsidP="000A78C1" w:rsidRDefault="006D26AB" w14:paraId="6F4953E3" w14:textId="77777777">
      <w:pPr>
        <w:pStyle w:val="ListParagraph"/>
        <w:numPr>
          <w:ilvl w:val="0"/>
          <w:numId w:val="20"/>
        </w:numPr>
        <w:spacing w:after="120"/>
        <w:ind w:left="567" w:right="284" w:hanging="567"/>
        <w:contextualSpacing w:val="0"/>
        <w:rPr>
          <w:rFonts w:ascii="Arial" w:hAnsi="Arial" w:cs="Arial"/>
        </w:rPr>
      </w:pPr>
      <w:r w:rsidRPr="00C24AF8">
        <w:rPr>
          <w:rFonts w:ascii="Arial" w:hAnsi="Arial" w:cs="Arial"/>
        </w:rPr>
        <w:t>Membership of the pre-meeting of the Board of Examiners should be consistent with the Assessment Review Board, however no External Examiner representation is required.</w:t>
      </w:r>
    </w:p>
    <w:p w:rsidRPr="00C24AF8" w:rsidR="006D26AB" w:rsidP="000A78C1" w:rsidRDefault="006D26AB" w14:paraId="6B242260" w14:textId="77777777">
      <w:pPr>
        <w:pStyle w:val="ListParagraph"/>
        <w:numPr>
          <w:ilvl w:val="0"/>
          <w:numId w:val="20"/>
        </w:numPr>
        <w:spacing w:after="120"/>
        <w:ind w:left="567" w:right="284" w:hanging="567"/>
        <w:contextualSpacing w:val="0"/>
        <w:rPr>
          <w:rFonts w:ascii="Arial" w:hAnsi="Arial" w:cs="Arial"/>
        </w:rPr>
      </w:pPr>
      <w:r w:rsidRPr="00C24AF8">
        <w:rPr>
          <w:rFonts w:ascii="Arial" w:hAnsi="Arial" w:cs="Arial"/>
        </w:rPr>
        <w:lastRenderedPageBreak/>
        <w:t xml:space="preserve">Should an External Examiner wish to meet with a module convenor(s) to discuss particular modules, such opportunity should be provided by the School or Division. </w:t>
      </w:r>
    </w:p>
    <w:p w:rsidRPr="00C24AF8" w:rsidR="006D26AB" w:rsidP="000A78C1" w:rsidRDefault="006D26AB" w14:paraId="6447A0E7" w14:textId="77777777">
      <w:pPr>
        <w:pStyle w:val="ListParagraph"/>
        <w:numPr>
          <w:ilvl w:val="0"/>
          <w:numId w:val="20"/>
        </w:numPr>
        <w:spacing w:after="120"/>
        <w:ind w:left="567" w:right="284" w:hanging="567"/>
        <w:contextualSpacing w:val="0"/>
        <w:rPr>
          <w:rFonts w:ascii="Arial" w:hAnsi="Arial" w:cs="Arial"/>
        </w:rPr>
      </w:pPr>
      <w:r w:rsidRPr="00C24AF8">
        <w:rPr>
          <w:rFonts w:ascii="Arial" w:hAnsi="Arial" w:cs="Arial"/>
        </w:rPr>
        <w:t>The identities of candidates shall not be made known during the course of this meeting.</w:t>
      </w:r>
    </w:p>
    <w:p w:rsidRPr="00C24AF8" w:rsidR="006D26AB" w:rsidP="000A78C1" w:rsidRDefault="006D26AB" w14:paraId="2AF4AAA4" w14:textId="77777777">
      <w:pPr>
        <w:pStyle w:val="ListParagraph"/>
        <w:numPr>
          <w:ilvl w:val="0"/>
          <w:numId w:val="20"/>
        </w:numPr>
        <w:spacing w:after="120"/>
        <w:ind w:left="567" w:right="284" w:hanging="567"/>
        <w:contextualSpacing w:val="0"/>
        <w:rPr>
          <w:rFonts w:ascii="Arial" w:hAnsi="Arial" w:cs="Arial"/>
        </w:rPr>
      </w:pPr>
      <w:r w:rsidRPr="00C24AF8">
        <w:rPr>
          <w:rFonts w:ascii="Arial" w:hAnsi="Arial" w:cs="Arial"/>
        </w:rPr>
        <w:t xml:space="preserve">Pre-meetings of the Board of Examiners are not the same as Assessment Review Boards.    </w:t>
      </w:r>
    </w:p>
    <w:p w:rsidRPr="00E1705D" w:rsidR="006D26AB" w:rsidP="00AC6F40" w:rsidRDefault="006D26AB" w14:paraId="07431E90" w14:textId="77777777">
      <w:pPr>
        <w:pStyle w:val="ListParagraph"/>
        <w:spacing w:after="120"/>
        <w:ind w:left="993" w:right="284" w:hanging="709"/>
        <w:contextualSpacing w:val="0"/>
        <w:rPr>
          <w:rFonts w:ascii="Arial" w:hAnsi="Arial" w:cs="Arial"/>
        </w:rPr>
      </w:pPr>
    </w:p>
    <w:p w:rsidRPr="00197038" w:rsidR="006D26AB" w:rsidP="00AC6F40" w:rsidRDefault="006D26AB" w14:paraId="34F82AA4" w14:textId="77777777">
      <w:pPr>
        <w:pStyle w:val="Heading1"/>
      </w:pPr>
      <w:bookmarkStart w:name="_Toc83387200" w:id="8"/>
      <w:r w:rsidRPr="00197038">
        <w:t>Referral Boards of Examiners</w:t>
      </w:r>
      <w:bookmarkEnd w:id="8"/>
    </w:p>
    <w:p w:rsidRPr="00E1705D" w:rsidR="006D26AB" w:rsidP="000A78C1" w:rsidRDefault="006D26AB" w14:paraId="2F88B57D" w14:textId="77777777">
      <w:pPr>
        <w:pStyle w:val="ListParagraph"/>
        <w:numPr>
          <w:ilvl w:val="1"/>
          <w:numId w:val="6"/>
        </w:numPr>
        <w:tabs>
          <w:tab w:val="left" w:pos="0"/>
        </w:tabs>
        <w:spacing w:after="120"/>
        <w:ind w:left="567" w:right="284" w:hanging="567"/>
        <w:contextualSpacing w:val="0"/>
        <w:rPr>
          <w:rFonts w:ascii="Arial" w:hAnsi="Arial" w:cs="Arial"/>
        </w:rPr>
      </w:pPr>
      <w:r w:rsidRPr="00E1705D">
        <w:rPr>
          <w:rFonts w:ascii="Arial" w:hAnsi="Arial" w:cs="Arial"/>
        </w:rPr>
        <w:t>Referral Boards may be smaller than the full Boards of Examiners and will hold delegated authority from the full Board of Examiners.</w:t>
      </w:r>
    </w:p>
    <w:p w:rsidRPr="00E1705D" w:rsidR="006D26AB" w:rsidP="000A78C1" w:rsidRDefault="006D26AB" w14:paraId="2AA74312" w14:textId="77777777">
      <w:pPr>
        <w:pStyle w:val="ListParagraph"/>
        <w:numPr>
          <w:ilvl w:val="1"/>
          <w:numId w:val="6"/>
        </w:numPr>
        <w:spacing w:after="120"/>
        <w:ind w:left="567" w:right="284" w:hanging="567"/>
        <w:contextualSpacing w:val="0"/>
        <w:rPr>
          <w:rFonts w:ascii="Arial" w:hAnsi="Arial" w:cs="Arial"/>
        </w:rPr>
      </w:pPr>
      <w:r w:rsidRPr="00E1705D">
        <w:rPr>
          <w:rFonts w:ascii="Arial" w:hAnsi="Arial" w:cs="Arial"/>
        </w:rPr>
        <w:t xml:space="preserve">The Director of Operations for the Division (or nominee) will be responsible for appointing a Secretary to support the Referral Board of Examiners. The Secretary shall hold the same responsibilities as for the Board of Examiners (see section 13 below). Where applicable it may be appropriate for a Secretary and a note-taker to be appointed to carry out the requirements of the Secretary’s role. </w:t>
      </w:r>
    </w:p>
    <w:p w:rsidRPr="00E1705D" w:rsidR="006D26AB" w:rsidP="000A78C1" w:rsidRDefault="006D26AB" w14:paraId="6DC4C807" w14:textId="77777777">
      <w:pPr>
        <w:pStyle w:val="ListParagraph"/>
        <w:numPr>
          <w:ilvl w:val="1"/>
          <w:numId w:val="6"/>
        </w:numPr>
        <w:tabs>
          <w:tab w:val="left" w:pos="0"/>
        </w:tabs>
        <w:spacing w:after="120"/>
        <w:ind w:left="567" w:right="284" w:hanging="567"/>
        <w:contextualSpacing w:val="0"/>
        <w:rPr>
          <w:rFonts w:ascii="Arial" w:hAnsi="Arial" w:cs="Arial"/>
        </w:rPr>
      </w:pPr>
      <w:r w:rsidRPr="00E1705D">
        <w:rPr>
          <w:rFonts w:ascii="Arial" w:hAnsi="Arial" w:cs="Arial"/>
        </w:rPr>
        <w:t xml:space="preserve">Membership of Referral Boards of Examiners should mirror the requirements of full Boards of Examiners, with the exception at 10.4 below. </w:t>
      </w:r>
    </w:p>
    <w:p w:rsidRPr="00E1705D" w:rsidR="006D26AB" w:rsidP="000A78C1" w:rsidRDefault="006D26AB" w14:paraId="313AA11E" w14:textId="77777777">
      <w:pPr>
        <w:pStyle w:val="ListParagraph"/>
        <w:numPr>
          <w:ilvl w:val="1"/>
          <w:numId w:val="6"/>
        </w:numPr>
        <w:tabs>
          <w:tab w:val="left" w:pos="0"/>
        </w:tabs>
        <w:spacing w:after="120"/>
        <w:ind w:left="567" w:right="284" w:hanging="567"/>
        <w:contextualSpacing w:val="0"/>
        <w:rPr>
          <w:rFonts w:ascii="Arial" w:hAnsi="Arial" w:cs="Arial"/>
        </w:rPr>
      </w:pPr>
      <w:r w:rsidRPr="00E1705D">
        <w:rPr>
          <w:rFonts w:ascii="Arial" w:hAnsi="Arial" w:cs="Arial"/>
        </w:rPr>
        <w:t xml:space="preserve">External Examiners should be invited to, but are not required, to attend Referral Boards of Examiners. This is because consideration of student outcomes will have already taken place at the Board of Examiners. </w:t>
      </w:r>
    </w:p>
    <w:p w:rsidRPr="00E1705D" w:rsidR="006D26AB" w:rsidP="000A78C1" w:rsidRDefault="006D26AB" w14:paraId="3143B705" w14:textId="77777777">
      <w:pPr>
        <w:pStyle w:val="ListParagraph"/>
        <w:numPr>
          <w:ilvl w:val="1"/>
          <w:numId w:val="6"/>
        </w:numPr>
        <w:tabs>
          <w:tab w:val="left" w:pos="0"/>
        </w:tabs>
        <w:spacing w:after="120"/>
        <w:ind w:left="567" w:right="284" w:hanging="567"/>
        <w:contextualSpacing w:val="0"/>
        <w:rPr>
          <w:rFonts w:ascii="Arial" w:hAnsi="Arial" w:cs="Arial"/>
        </w:rPr>
      </w:pPr>
      <w:r w:rsidRPr="00E1705D">
        <w:rPr>
          <w:rFonts w:ascii="Arial" w:hAnsi="Arial" w:cs="Arial"/>
        </w:rPr>
        <w:t xml:space="preserve">Where an External Examiner does not attend a Referral Board they should be provided with the recommendations of the Referral Board to consider and should confirm by correspondence (i.e. email) if they agree. </w:t>
      </w:r>
    </w:p>
    <w:p w:rsidRPr="00E1705D" w:rsidR="006D26AB" w:rsidP="000A78C1" w:rsidRDefault="006D26AB" w14:paraId="0DD0FA5C" w14:textId="77777777">
      <w:pPr>
        <w:pStyle w:val="ListParagraph"/>
        <w:numPr>
          <w:ilvl w:val="1"/>
          <w:numId w:val="6"/>
        </w:numPr>
        <w:spacing w:after="120"/>
        <w:ind w:left="567" w:right="284" w:hanging="567"/>
        <w:contextualSpacing w:val="0"/>
        <w:rPr>
          <w:rFonts w:ascii="Arial" w:hAnsi="Arial" w:cs="Arial"/>
        </w:rPr>
      </w:pPr>
      <w:r w:rsidRPr="00E1705D">
        <w:rPr>
          <w:rFonts w:ascii="Arial" w:hAnsi="Arial" w:cs="Arial"/>
        </w:rPr>
        <w:t xml:space="preserve">Referral Boards of Examiners may meet in person, be carried out by correspondence (i.e. email), or by other appropriate means (i.e. video conferencing). </w:t>
      </w:r>
    </w:p>
    <w:p w:rsidRPr="00E1705D" w:rsidR="006D26AB" w:rsidP="000A78C1" w:rsidRDefault="006D26AB" w14:paraId="25215019" w14:textId="77777777">
      <w:pPr>
        <w:pStyle w:val="ListParagraph"/>
        <w:numPr>
          <w:ilvl w:val="1"/>
          <w:numId w:val="6"/>
        </w:numPr>
        <w:spacing w:after="120"/>
        <w:ind w:left="567" w:right="284" w:hanging="567"/>
        <w:contextualSpacing w:val="0"/>
        <w:rPr>
          <w:rFonts w:ascii="Arial" w:hAnsi="Arial" w:cs="Arial"/>
        </w:rPr>
      </w:pPr>
      <w:r w:rsidRPr="00E1705D">
        <w:rPr>
          <w:rFonts w:ascii="Arial" w:hAnsi="Arial" w:cs="Arial"/>
        </w:rPr>
        <w:t>The Secretary to the Referral Board of Examiners should ensure that a record of recommendations is kept, in line with the requirements for a Board of Examiners meeting</w:t>
      </w:r>
      <w:r w:rsidRPr="00E1705D">
        <w:rPr>
          <w:rFonts w:ascii="Arial" w:hAnsi="Arial" w:cs="Arial"/>
          <w:lang w:val="en-GB"/>
        </w:rPr>
        <w:t xml:space="preserve">, </w:t>
      </w:r>
      <w:r w:rsidRPr="00E1705D">
        <w:rPr>
          <w:rFonts w:ascii="Arial" w:hAnsi="Arial" w:cs="Arial"/>
        </w:rPr>
        <w:t xml:space="preserve">with the outcomes reported at the next full Board of Examiners meeting. </w:t>
      </w:r>
    </w:p>
    <w:p w:rsidRPr="00E1705D" w:rsidR="006D26AB" w:rsidP="00AC6F40" w:rsidRDefault="006D26AB" w14:paraId="0A0A9D29" w14:textId="77777777">
      <w:pPr>
        <w:pStyle w:val="ListParagraph"/>
        <w:spacing w:after="120"/>
        <w:ind w:left="993" w:right="284" w:hanging="709"/>
        <w:contextualSpacing w:val="0"/>
        <w:rPr>
          <w:rFonts w:ascii="Arial" w:hAnsi="Arial" w:cs="Arial"/>
        </w:rPr>
      </w:pPr>
    </w:p>
    <w:p w:rsidRPr="00197038" w:rsidR="006D26AB" w:rsidP="00AC6F40" w:rsidRDefault="000A78C1" w14:paraId="543BEBB6" w14:textId="164C7AF1">
      <w:pPr>
        <w:pStyle w:val="Heading1"/>
      </w:pPr>
      <w:bookmarkStart w:name="_Toc83387201" w:id="9"/>
      <w:r>
        <w:t>Boards of Examiners for Stand-a</w:t>
      </w:r>
      <w:r w:rsidRPr="00197038" w:rsidR="006D26AB">
        <w:t>lone Modules</w:t>
      </w:r>
      <w:bookmarkEnd w:id="9"/>
    </w:p>
    <w:p w:rsidRPr="000A78C1" w:rsidR="006D26AB" w:rsidP="00F912C8" w:rsidRDefault="006D26AB" w14:paraId="52F89F2D" w14:textId="3754BD44">
      <w:pPr>
        <w:pStyle w:val="ListParagraph"/>
        <w:numPr>
          <w:ilvl w:val="0"/>
          <w:numId w:val="21"/>
        </w:numPr>
        <w:spacing w:after="120"/>
        <w:ind w:left="567" w:right="284" w:hanging="567"/>
        <w:contextualSpacing w:val="0"/>
        <w:rPr>
          <w:rFonts w:ascii="Arial" w:hAnsi="Arial" w:cs="Arial"/>
        </w:rPr>
      </w:pPr>
      <w:r w:rsidRPr="000A78C1">
        <w:rPr>
          <w:rFonts w:ascii="Arial" w:hAnsi="Arial" w:cs="Arial"/>
        </w:rPr>
        <w:t>Where a student studies towards completion of a module that does not form part of a course or an awa</w:t>
      </w:r>
      <w:r w:rsidRPr="000A78C1" w:rsidR="000A78C1">
        <w:rPr>
          <w:rFonts w:ascii="Arial" w:hAnsi="Arial" w:cs="Arial"/>
        </w:rPr>
        <w:t>rd of the University (a ‘Stand-a</w:t>
      </w:r>
      <w:r w:rsidRPr="000A78C1">
        <w:rPr>
          <w:rFonts w:ascii="Arial" w:hAnsi="Arial" w:cs="Arial"/>
        </w:rPr>
        <w:t>lone’ module), the recommendation to a</w:t>
      </w:r>
      <w:r w:rsidRPr="000A78C1" w:rsidR="000A78C1">
        <w:rPr>
          <w:rFonts w:ascii="Arial" w:hAnsi="Arial" w:cs="Arial"/>
        </w:rPr>
        <w:t>ward credit can be made either a</w:t>
      </w:r>
      <w:r w:rsidRPr="000A78C1">
        <w:rPr>
          <w:rFonts w:ascii="Arial" w:hAnsi="Arial" w:cs="Arial"/>
        </w:rPr>
        <w:t xml:space="preserve">t the Board of </w:t>
      </w:r>
      <w:r w:rsidRPr="000A78C1">
        <w:rPr>
          <w:rFonts w:ascii="Arial" w:hAnsi="Arial" w:cs="Arial"/>
        </w:rPr>
        <w:lastRenderedPageBreak/>
        <w:t xml:space="preserve">Examiners that most closely aligns with the module content and </w:t>
      </w:r>
      <w:r w:rsidRPr="000A78C1" w:rsidR="00E1705D">
        <w:rPr>
          <w:rFonts w:ascii="Arial" w:hAnsi="Arial" w:cs="Arial"/>
        </w:rPr>
        <w:t>level, or b</w:t>
      </w:r>
      <w:r w:rsidRPr="000A78C1">
        <w:rPr>
          <w:rFonts w:ascii="Arial" w:hAnsi="Arial" w:cs="Arial"/>
        </w:rPr>
        <w:t>y a representative Board of the Board of Examiners that most closely aligns with the module content and level.</w:t>
      </w:r>
    </w:p>
    <w:p w:rsidRPr="00C24AF8" w:rsidR="006D26AB" w:rsidP="000A78C1" w:rsidRDefault="006D26AB" w14:paraId="26FF6F0B" w14:textId="77777777">
      <w:pPr>
        <w:pStyle w:val="ListParagraph"/>
        <w:numPr>
          <w:ilvl w:val="0"/>
          <w:numId w:val="21"/>
        </w:numPr>
        <w:spacing w:after="120"/>
        <w:ind w:left="567" w:right="284" w:hanging="567"/>
        <w:contextualSpacing w:val="0"/>
        <w:rPr>
          <w:rFonts w:ascii="Arial" w:hAnsi="Arial" w:cs="Arial"/>
        </w:rPr>
      </w:pPr>
      <w:r w:rsidRPr="00C24AF8">
        <w:rPr>
          <w:rFonts w:ascii="Arial" w:hAnsi="Arial" w:cs="Arial"/>
        </w:rPr>
        <w:t xml:space="preserve">The minimum membership of a representative Board of Examiners for Stand-Alone Modules will be the Chair of the Board of Examiners and the relevant module convener(s). A Secretary should be appointed to support the Board. </w:t>
      </w:r>
    </w:p>
    <w:p w:rsidRPr="00C24AF8" w:rsidR="006D26AB" w:rsidP="000A78C1" w:rsidRDefault="006D26AB" w14:paraId="3053CFD7" w14:textId="77777777">
      <w:pPr>
        <w:pStyle w:val="ListParagraph"/>
        <w:numPr>
          <w:ilvl w:val="0"/>
          <w:numId w:val="21"/>
        </w:numPr>
        <w:spacing w:after="120"/>
        <w:ind w:left="567" w:right="284" w:hanging="567"/>
        <w:contextualSpacing w:val="0"/>
        <w:rPr>
          <w:rFonts w:ascii="Arial" w:hAnsi="Arial" w:cs="Arial"/>
        </w:rPr>
      </w:pPr>
      <w:r w:rsidRPr="00C24AF8">
        <w:rPr>
          <w:rFonts w:ascii="Arial" w:hAnsi="Arial" w:cs="Arial"/>
        </w:rPr>
        <w:t xml:space="preserve">The Secretary shall hold the same responsibilities as for the Board of Examiners (see section 13 below), as amended to reflect that stand-alone credit is being considered, rather than an award being recommended. </w:t>
      </w:r>
    </w:p>
    <w:p w:rsidRPr="00C24AF8" w:rsidR="006D26AB" w:rsidP="000A78C1" w:rsidRDefault="006D26AB" w14:paraId="1A593297" w14:textId="77777777">
      <w:pPr>
        <w:pStyle w:val="ListParagraph"/>
        <w:numPr>
          <w:ilvl w:val="0"/>
          <w:numId w:val="21"/>
        </w:numPr>
        <w:spacing w:after="120"/>
        <w:ind w:left="567" w:right="284" w:hanging="567"/>
        <w:contextualSpacing w:val="0"/>
        <w:rPr>
          <w:rFonts w:ascii="Arial" w:hAnsi="Arial" w:cs="Arial"/>
        </w:rPr>
      </w:pPr>
      <w:r w:rsidRPr="00C24AF8">
        <w:rPr>
          <w:rFonts w:ascii="Arial" w:hAnsi="Arial" w:cs="Arial"/>
        </w:rPr>
        <w:t xml:space="preserve">A representative Board of the main Board of Examiners can consider marks and make recommendations to award credit by correspondence (i.e. email), or by other appropriate means (e.g. video conferencing) with the outcomes reported at the next appropriate full Board of Examiners. </w:t>
      </w:r>
    </w:p>
    <w:p w:rsidRPr="00C24AF8" w:rsidR="006D26AB" w:rsidP="000A78C1" w:rsidRDefault="006D26AB" w14:paraId="6AF68945" w14:textId="77777777">
      <w:pPr>
        <w:pStyle w:val="ListParagraph"/>
        <w:numPr>
          <w:ilvl w:val="0"/>
          <w:numId w:val="21"/>
        </w:numPr>
        <w:spacing w:after="120"/>
        <w:ind w:left="567" w:right="284" w:hanging="567"/>
        <w:contextualSpacing w:val="0"/>
        <w:rPr>
          <w:rFonts w:ascii="Arial" w:hAnsi="Arial" w:cs="Arial"/>
        </w:rPr>
      </w:pPr>
      <w:r w:rsidRPr="00C24AF8">
        <w:rPr>
          <w:rFonts w:ascii="Arial" w:hAnsi="Arial" w:cs="Arial"/>
        </w:rPr>
        <w:t xml:space="preserve">No External Examiner sign-off is required for Stand-Alone Modules, as no award is being recommended.  </w:t>
      </w:r>
    </w:p>
    <w:p w:rsidRPr="00E1705D" w:rsidR="006D26AB" w:rsidP="00AC6F40" w:rsidRDefault="006D26AB" w14:paraId="0EFD01AC" w14:textId="77777777">
      <w:pPr>
        <w:pStyle w:val="ListParagraph"/>
        <w:spacing w:after="120"/>
        <w:ind w:left="993" w:right="284" w:hanging="709"/>
        <w:contextualSpacing w:val="0"/>
        <w:rPr>
          <w:rFonts w:ascii="Arial" w:hAnsi="Arial" w:cs="Arial"/>
        </w:rPr>
      </w:pPr>
    </w:p>
    <w:p w:rsidRPr="00197038" w:rsidR="006D26AB" w:rsidP="00AC6F40" w:rsidRDefault="006D26AB" w14:paraId="1B35E2A7" w14:textId="77777777">
      <w:pPr>
        <w:pStyle w:val="Heading1"/>
      </w:pPr>
      <w:bookmarkStart w:name="_Toc83387202" w:id="10"/>
      <w:r w:rsidRPr="00197038">
        <w:t>Role of Chair of Boards of Examiners</w:t>
      </w:r>
      <w:bookmarkEnd w:id="10"/>
    </w:p>
    <w:p w:rsidRPr="00C24AF8" w:rsidR="006D26AB" w:rsidP="000A78C1" w:rsidRDefault="006D26AB" w14:paraId="7D44D8DC" w14:textId="77777777">
      <w:pPr>
        <w:pStyle w:val="ListParagraph"/>
        <w:numPr>
          <w:ilvl w:val="0"/>
          <w:numId w:val="22"/>
        </w:numPr>
        <w:spacing w:after="120"/>
        <w:ind w:left="567" w:right="284" w:hanging="567"/>
        <w:contextualSpacing w:val="0"/>
        <w:rPr>
          <w:rFonts w:ascii="Arial" w:hAnsi="Arial" w:cs="Arial"/>
        </w:rPr>
      </w:pPr>
      <w:r w:rsidRPr="00C24AF8">
        <w:rPr>
          <w:rFonts w:ascii="Arial" w:hAnsi="Arial" w:cs="Arial"/>
        </w:rPr>
        <w:t xml:space="preserve">The Chair of the Board of Examiners shall be responsible for the following: </w:t>
      </w:r>
    </w:p>
    <w:p w:rsidRPr="00C24AF8" w:rsidR="006D26AB" w:rsidP="00BE519A" w:rsidRDefault="006D26AB" w14:paraId="554078F7" w14:textId="77777777">
      <w:pPr>
        <w:pStyle w:val="ListParagraph"/>
        <w:numPr>
          <w:ilvl w:val="0"/>
          <w:numId w:val="13"/>
        </w:numPr>
        <w:spacing w:after="120"/>
        <w:ind w:left="993" w:right="284" w:hanging="426"/>
        <w:contextualSpacing w:val="0"/>
        <w:rPr>
          <w:rFonts w:ascii="Arial" w:hAnsi="Arial" w:cs="Arial"/>
        </w:rPr>
      </w:pPr>
      <w:r w:rsidRPr="00C24AF8">
        <w:rPr>
          <w:rFonts w:ascii="Arial" w:hAnsi="Arial" w:cs="Arial"/>
        </w:rPr>
        <w:t xml:space="preserve">Ensuring that the Board is arranged in good time for a date that allows the attendance of the External Examiner(s). </w:t>
      </w:r>
    </w:p>
    <w:p w:rsidRPr="00C24AF8" w:rsidR="006D26AB" w:rsidP="00BE519A" w:rsidRDefault="006D26AB" w14:paraId="256D7E1D" w14:textId="77777777">
      <w:pPr>
        <w:pStyle w:val="ListParagraph"/>
        <w:numPr>
          <w:ilvl w:val="0"/>
          <w:numId w:val="13"/>
        </w:numPr>
        <w:spacing w:after="120"/>
        <w:ind w:left="993" w:right="284" w:hanging="426"/>
        <w:contextualSpacing w:val="0"/>
        <w:rPr>
          <w:rFonts w:ascii="Arial" w:hAnsi="Arial" w:cs="Arial"/>
        </w:rPr>
      </w:pPr>
      <w:r w:rsidRPr="00C24AF8">
        <w:rPr>
          <w:rFonts w:ascii="Arial" w:hAnsi="Arial" w:cs="Arial"/>
        </w:rPr>
        <w:t>Ensuring that proofs of examination question papers are checked for level, spread, accuracy, clarity and appropriateness, that where questions are divided into parts the marks allocated to each part are shown on the paper, and that all draft examination papers are sent to the appropriate External Examiner for comment and approval. The Chair shall also ensure that the External Examiner receives the relevant module syllabus.</w:t>
      </w:r>
    </w:p>
    <w:p w:rsidRPr="00C24AF8" w:rsidR="006D26AB" w:rsidP="00BE519A" w:rsidRDefault="006D26AB" w14:paraId="748BE4F7" w14:textId="77777777">
      <w:pPr>
        <w:pStyle w:val="ListParagraph"/>
        <w:numPr>
          <w:ilvl w:val="0"/>
          <w:numId w:val="13"/>
        </w:numPr>
        <w:spacing w:after="120"/>
        <w:ind w:left="993" w:right="284" w:hanging="426"/>
        <w:contextualSpacing w:val="0"/>
        <w:rPr>
          <w:rFonts w:ascii="Arial" w:hAnsi="Arial" w:cs="Arial"/>
        </w:rPr>
      </w:pPr>
      <w:r w:rsidRPr="00C24AF8">
        <w:rPr>
          <w:rFonts w:ascii="Arial" w:hAnsi="Arial" w:cs="Arial"/>
        </w:rPr>
        <w:t>Ensuring liaison with the External Examiners about all the arrangements relating to the examination and for coordinating arrangements for the examination with all other staff concerned.</w:t>
      </w:r>
    </w:p>
    <w:p w:rsidRPr="00C24AF8" w:rsidR="006D26AB" w:rsidP="00BE519A" w:rsidRDefault="006D26AB" w14:paraId="35DBCE0B" w14:textId="77777777">
      <w:pPr>
        <w:pStyle w:val="ListParagraph"/>
        <w:numPr>
          <w:ilvl w:val="0"/>
          <w:numId w:val="13"/>
        </w:numPr>
        <w:spacing w:after="120"/>
        <w:ind w:left="993" w:right="284" w:hanging="426"/>
        <w:contextualSpacing w:val="0"/>
        <w:rPr>
          <w:rFonts w:ascii="Arial" w:hAnsi="Arial" w:cs="Arial"/>
        </w:rPr>
      </w:pPr>
      <w:r w:rsidRPr="00C24AF8">
        <w:rPr>
          <w:rFonts w:ascii="Arial" w:hAnsi="Arial" w:cs="Arial"/>
        </w:rPr>
        <w:t>Ensuring that all marking of examination scripts by internal examiners is satisfactorily carried out.</w:t>
      </w:r>
    </w:p>
    <w:p w:rsidRPr="00C24AF8" w:rsidR="006D26AB" w:rsidP="00BE519A" w:rsidRDefault="006D26AB" w14:paraId="4C7C4EA4" w14:textId="77777777">
      <w:pPr>
        <w:pStyle w:val="ListParagraph"/>
        <w:numPr>
          <w:ilvl w:val="0"/>
          <w:numId w:val="13"/>
        </w:numPr>
        <w:spacing w:after="120"/>
        <w:ind w:left="993" w:right="284" w:hanging="426"/>
        <w:contextualSpacing w:val="0"/>
        <w:rPr>
          <w:rFonts w:ascii="Arial" w:hAnsi="Arial" w:cs="Arial"/>
        </w:rPr>
      </w:pPr>
      <w:r w:rsidRPr="00C24AF8">
        <w:rPr>
          <w:rFonts w:ascii="Arial" w:hAnsi="Arial" w:cs="Arial"/>
        </w:rPr>
        <w:t xml:space="preserve">Ensuring that where the Board of Examiners considers the work of students who have not, at that point, completed their course, such examination scripts, extended essays and dissertations are deposited with the appropriate Divisional Office and for confirming the number of </w:t>
      </w:r>
      <w:r w:rsidRPr="00C24AF8">
        <w:rPr>
          <w:rFonts w:ascii="Arial" w:hAnsi="Arial" w:cs="Arial"/>
        </w:rPr>
        <w:lastRenderedPageBreak/>
        <w:t>scripts, extended essays and dissertations so deposited for each module.</w:t>
      </w:r>
      <w:r w:rsidRPr="00C24AF8">
        <w:rPr>
          <w:rStyle w:val="FootnoteReference"/>
          <w:rFonts w:ascii="Arial" w:hAnsi="Arial" w:cs="Arial"/>
        </w:rPr>
        <w:footnoteReference w:id="2"/>
      </w:r>
      <w:r w:rsidRPr="00C24AF8">
        <w:rPr>
          <w:rFonts w:ascii="Arial" w:hAnsi="Arial" w:cs="Arial"/>
        </w:rPr>
        <w:t xml:space="preserve"> </w:t>
      </w:r>
    </w:p>
    <w:p w:rsidRPr="00C24AF8" w:rsidR="006D26AB" w:rsidP="00BE519A" w:rsidRDefault="006D26AB" w14:paraId="57E1D0D4" w14:textId="77777777">
      <w:pPr>
        <w:pStyle w:val="ListParagraph"/>
        <w:spacing w:after="120"/>
        <w:ind w:left="567" w:right="284"/>
        <w:contextualSpacing w:val="0"/>
        <w:rPr>
          <w:rFonts w:ascii="Arial" w:hAnsi="Arial" w:cs="Arial"/>
        </w:rPr>
      </w:pPr>
      <w:r w:rsidRPr="00C24AF8">
        <w:rPr>
          <w:rFonts w:ascii="Arial" w:hAnsi="Arial" w:cs="Arial"/>
        </w:rPr>
        <w:t>Such examination scripts, extended essays and dissertations will be available if required for re-reading by examiners in light of the final year performance of candidates.</w:t>
      </w:r>
    </w:p>
    <w:p w:rsidRPr="00C24AF8" w:rsidR="006D26AB" w:rsidP="00BE519A" w:rsidRDefault="006D26AB" w14:paraId="0D153A66" w14:textId="77777777">
      <w:pPr>
        <w:pStyle w:val="ListParagraph"/>
        <w:numPr>
          <w:ilvl w:val="0"/>
          <w:numId w:val="22"/>
        </w:numPr>
        <w:spacing w:after="120"/>
        <w:ind w:left="567" w:right="284" w:hanging="567"/>
        <w:contextualSpacing w:val="0"/>
        <w:rPr>
          <w:rFonts w:ascii="Arial" w:hAnsi="Arial" w:cs="Arial"/>
        </w:rPr>
      </w:pPr>
      <w:r w:rsidRPr="00C24AF8">
        <w:rPr>
          <w:rFonts w:ascii="Arial" w:hAnsi="Arial" w:cs="Arial"/>
        </w:rPr>
        <w:t xml:space="preserve">The Chair of the Board of Examiners may nominate another member of the Division, for example an Examinations Officer or equivalent, to undertake some of the above responsibilities on their behalf. Those responsibilities should be related to the examination process and not to academic matters. </w:t>
      </w:r>
    </w:p>
    <w:p w:rsidRPr="00E1705D" w:rsidR="006D26AB" w:rsidP="00AC6F40" w:rsidRDefault="006D26AB" w14:paraId="026E0551" w14:textId="77777777">
      <w:pPr>
        <w:spacing w:after="120" w:line="240" w:lineRule="auto"/>
        <w:ind w:left="993" w:right="284" w:hanging="709"/>
        <w:jc w:val="left"/>
        <w:rPr>
          <w:sz w:val="24"/>
          <w:szCs w:val="24"/>
        </w:rPr>
      </w:pPr>
    </w:p>
    <w:p w:rsidRPr="00197038" w:rsidR="006D26AB" w:rsidP="00AC6F40" w:rsidRDefault="006D26AB" w14:paraId="51CEB8FC" w14:textId="77777777">
      <w:pPr>
        <w:pStyle w:val="Heading1"/>
      </w:pPr>
      <w:bookmarkStart w:name="_Toc83387203" w:id="11"/>
      <w:r w:rsidRPr="00197038">
        <w:t>Role of the External Examiner</w:t>
      </w:r>
      <w:bookmarkEnd w:id="11"/>
      <w:r w:rsidRPr="00197038">
        <w:t xml:space="preserve"> </w:t>
      </w:r>
    </w:p>
    <w:p w:rsidRPr="00C24AF8" w:rsidR="006D26AB" w:rsidP="00BE519A" w:rsidRDefault="006D26AB" w14:paraId="029B7D1C" w14:textId="77777777">
      <w:pPr>
        <w:pStyle w:val="ListParagraph"/>
        <w:numPr>
          <w:ilvl w:val="0"/>
          <w:numId w:val="23"/>
        </w:numPr>
        <w:tabs>
          <w:tab w:val="left" w:pos="0"/>
        </w:tabs>
        <w:spacing w:after="120"/>
        <w:ind w:left="567" w:right="284" w:hanging="567"/>
        <w:contextualSpacing w:val="0"/>
        <w:rPr>
          <w:rFonts w:ascii="Arial" w:hAnsi="Arial" w:cs="Arial"/>
        </w:rPr>
      </w:pPr>
      <w:r w:rsidRPr="00C24AF8">
        <w:rPr>
          <w:rFonts w:ascii="Arial" w:hAnsi="Arial" w:cs="Arial"/>
        </w:rPr>
        <w:t xml:space="preserve">External Examiners are expected to attend Boards of Examiners meetings at which decisions may be taken about awards to students, and should be involved in consideration of: </w:t>
      </w:r>
    </w:p>
    <w:p w:rsidRPr="00C24AF8" w:rsidR="006D26AB" w:rsidP="00BE519A" w:rsidRDefault="006D26AB" w14:paraId="221B5252" w14:textId="77777777">
      <w:pPr>
        <w:pStyle w:val="ListParagraph"/>
        <w:numPr>
          <w:ilvl w:val="2"/>
          <w:numId w:val="24"/>
        </w:numPr>
        <w:tabs>
          <w:tab w:val="clear" w:pos="576"/>
          <w:tab w:val="num" w:pos="1418"/>
        </w:tabs>
        <w:spacing w:after="120"/>
        <w:ind w:left="851" w:right="284" w:hanging="851"/>
        <w:contextualSpacing w:val="0"/>
        <w:rPr>
          <w:rFonts w:ascii="Arial" w:hAnsi="Arial" w:cs="Arial"/>
        </w:rPr>
      </w:pPr>
      <w:r w:rsidRPr="00C24AF8">
        <w:rPr>
          <w:rFonts w:ascii="Arial" w:hAnsi="Arial" w:cs="Arial"/>
        </w:rPr>
        <w:t>decisions concerning awards;</w:t>
      </w:r>
    </w:p>
    <w:p w:rsidRPr="00C24AF8" w:rsidR="006D26AB" w:rsidP="00BE519A" w:rsidRDefault="006D26AB" w14:paraId="0D31E1A5" w14:textId="77777777">
      <w:pPr>
        <w:pStyle w:val="ListParagraph"/>
        <w:numPr>
          <w:ilvl w:val="2"/>
          <w:numId w:val="24"/>
        </w:numPr>
        <w:tabs>
          <w:tab w:val="clear" w:pos="576"/>
          <w:tab w:val="num" w:pos="1418"/>
        </w:tabs>
        <w:spacing w:after="120"/>
        <w:ind w:left="851" w:right="284" w:hanging="851"/>
        <w:contextualSpacing w:val="0"/>
        <w:rPr>
          <w:rFonts w:ascii="Arial" w:hAnsi="Arial" w:cs="Arial"/>
        </w:rPr>
      </w:pPr>
      <w:r w:rsidRPr="00C24AF8">
        <w:rPr>
          <w:rFonts w:ascii="Arial" w:hAnsi="Arial" w:cs="Arial"/>
        </w:rPr>
        <w:t>all referral and deferral decisions;</w:t>
      </w:r>
    </w:p>
    <w:p w:rsidRPr="00C24AF8" w:rsidR="006D26AB" w:rsidP="00BE519A" w:rsidRDefault="006D26AB" w14:paraId="4DAA36DB" w14:textId="77777777">
      <w:pPr>
        <w:pStyle w:val="ListParagraph"/>
        <w:numPr>
          <w:ilvl w:val="2"/>
          <w:numId w:val="24"/>
        </w:numPr>
        <w:tabs>
          <w:tab w:val="clear" w:pos="576"/>
          <w:tab w:val="num" w:pos="1418"/>
        </w:tabs>
        <w:spacing w:after="120"/>
        <w:ind w:left="851" w:right="284" w:hanging="851"/>
        <w:contextualSpacing w:val="0"/>
        <w:rPr>
          <w:rFonts w:ascii="Arial" w:hAnsi="Arial" w:cs="Arial"/>
        </w:rPr>
      </w:pPr>
      <w:r w:rsidRPr="00C24AF8">
        <w:rPr>
          <w:rFonts w:ascii="Arial" w:hAnsi="Arial" w:cs="Arial"/>
        </w:rPr>
        <w:t>decisions concerning progression (other than between Stage 1 and Stage 2 of a UG course of study).</w:t>
      </w:r>
    </w:p>
    <w:p w:rsidRPr="00C24AF8" w:rsidR="006D26AB" w:rsidP="00BE519A" w:rsidRDefault="006D26AB" w14:paraId="16074714" w14:textId="77777777">
      <w:pPr>
        <w:pStyle w:val="ListParagraph"/>
        <w:numPr>
          <w:ilvl w:val="0"/>
          <w:numId w:val="23"/>
        </w:numPr>
        <w:spacing w:after="120"/>
        <w:ind w:left="567" w:right="284" w:hanging="567"/>
        <w:contextualSpacing w:val="0"/>
        <w:rPr>
          <w:rFonts w:ascii="Arial" w:hAnsi="Arial" w:cs="Arial"/>
        </w:rPr>
      </w:pPr>
      <w:r w:rsidRPr="00C24AF8">
        <w:rPr>
          <w:rFonts w:ascii="Arial" w:hAnsi="Arial" w:cs="Arial"/>
        </w:rPr>
        <w:t xml:space="preserve">External Examiners should be invited to attend meetings which will only consider the work of Stage 2 degree students. However they are not required to attend such meetings unless Stage 2 constitutes the final stage of the course (as would normally be the case for Foundation Degree students). </w:t>
      </w:r>
    </w:p>
    <w:p w:rsidRPr="00C24AF8" w:rsidR="006D26AB" w:rsidP="00BE519A" w:rsidRDefault="006D26AB" w14:paraId="303E83BD" w14:textId="77777777">
      <w:pPr>
        <w:pStyle w:val="ListParagraph"/>
        <w:numPr>
          <w:ilvl w:val="0"/>
          <w:numId w:val="23"/>
        </w:numPr>
        <w:spacing w:after="120"/>
        <w:ind w:left="567" w:right="284" w:hanging="567"/>
        <w:contextualSpacing w:val="0"/>
        <w:rPr>
          <w:rFonts w:ascii="Arial" w:hAnsi="Arial" w:cs="Arial"/>
        </w:rPr>
      </w:pPr>
      <w:r w:rsidRPr="00C24AF8">
        <w:rPr>
          <w:rFonts w:ascii="Arial" w:hAnsi="Arial" w:cs="Arial"/>
        </w:rPr>
        <w:t xml:space="preserve">The full role requirements of External Examiners can be found in Annex K of the Code of Practice for Taught Courses. </w:t>
      </w:r>
    </w:p>
    <w:p w:rsidRPr="00E1705D" w:rsidR="006D26AB" w:rsidP="00AC6F40" w:rsidRDefault="006D26AB" w14:paraId="6950A959" w14:textId="77777777">
      <w:pPr>
        <w:spacing w:after="120" w:line="240" w:lineRule="auto"/>
        <w:ind w:left="993" w:right="284" w:hanging="709"/>
        <w:jc w:val="left"/>
        <w:rPr>
          <w:sz w:val="24"/>
          <w:szCs w:val="24"/>
        </w:rPr>
      </w:pPr>
    </w:p>
    <w:p w:rsidRPr="00197038" w:rsidR="006D26AB" w:rsidP="00AC6F40" w:rsidRDefault="006D26AB" w14:paraId="567DA44E" w14:textId="77777777">
      <w:pPr>
        <w:pStyle w:val="Heading1"/>
      </w:pPr>
      <w:bookmarkStart w:name="_Toc83387204" w:id="12"/>
      <w:r w:rsidRPr="00197038">
        <w:t>Role of Secretary to the Board of Examiners</w:t>
      </w:r>
      <w:bookmarkEnd w:id="12"/>
    </w:p>
    <w:p w:rsidRPr="00E1705D" w:rsidR="006D26AB" w:rsidP="00BE519A" w:rsidRDefault="006D26AB" w14:paraId="2D153089" w14:textId="77777777">
      <w:pPr>
        <w:numPr>
          <w:ilvl w:val="1"/>
          <w:numId w:val="25"/>
        </w:numPr>
        <w:tabs>
          <w:tab w:val="clear" w:pos="576"/>
        </w:tabs>
        <w:spacing w:after="120" w:line="240" w:lineRule="auto"/>
        <w:ind w:left="567" w:right="284" w:hanging="567"/>
        <w:jc w:val="left"/>
        <w:rPr>
          <w:sz w:val="24"/>
          <w:szCs w:val="24"/>
        </w:rPr>
      </w:pPr>
      <w:r w:rsidRPr="00E1705D">
        <w:rPr>
          <w:sz w:val="24"/>
          <w:szCs w:val="24"/>
        </w:rPr>
        <w:t>All members of the Board of Examiners should, either in advance or at the meeting, receive from the Secretary to the Board:</w:t>
      </w:r>
    </w:p>
    <w:p w:rsidRPr="00E1705D" w:rsidR="006D26AB" w:rsidP="00BE519A" w:rsidRDefault="006D26AB" w14:paraId="20F3B656" w14:textId="77777777">
      <w:pPr>
        <w:pStyle w:val="Blockquote"/>
        <w:numPr>
          <w:ilvl w:val="0"/>
          <w:numId w:val="4"/>
        </w:numPr>
        <w:tabs>
          <w:tab w:val="clear" w:pos="720"/>
          <w:tab w:val="num" w:pos="993"/>
        </w:tabs>
        <w:spacing w:before="0" w:after="120"/>
        <w:ind w:left="993" w:right="284" w:hanging="426"/>
        <w:rPr>
          <w:rFonts w:ascii="Arial" w:hAnsi="Arial" w:cs="Arial"/>
          <w:szCs w:val="24"/>
        </w:rPr>
      </w:pPr>
      <w:r w:rsidRPr="00E1705D">
        <w:rPr>
          <w:rFonts w:ascii="Arial" w:hAnsi="Arial" w:cs="Arial"/>
          <w:szCs w:val="24"/>
        </w:rPr>
        <w:t>an agenda for the meeting (an example of an appropriate agenda is provided in Appendix A);</w:t>
      </w:r>
    </w:p>
    <w:p w:rsidRPr="00E1705D" w:rsidR="006D26AB" w:rsidP="00BE519A" w:rsidRDefault="006D26AB" w14:paraId="40A6CE6B" w14:textId="77777777">
      <w:pPr>
        <w:pStyle w:val="Blockquote"/>
        <w:numPr>
          <w:ilvl w:val="0"/>
          <w:numId w:val="4"/>
        </w:numPr>
        <w:tabs>
          <w:tab w:val="clear" w:pos="720"/>
          <w:tab w:val="num" w:pos="993"/>
        </w:tabs>
        <w:spacing w:before="0" w:after="120"/>
        <w:ind w:left="993" w:right="284" w:hanging="426"/>
        <w:rPr>
          <w:rFonts w:ascii="Arial" w:hAnsi="Arial" w:cs="Arial"/>
          <w:szCs w:val="24"/>
        </w:rPr>
      </w:pPr>
      <w:r w:rsidRPr="00E1705D">
        <w:rPr>
          <w:rFonts w:ascii="Arial" w:hAnsi="Arial" w:cs="Arial"/>
          <w:szCs w:val="24"/>
        </w:rPr>
        <w:t>conventions for the awards under consideration;</w:t>
      </w:r>
    </w:p>
    <w:p w:rsidRPr="00E1705D" w:rsidR="006D26AB" w:rsidP="00BE519A" w:rsidRDefault="006D26AB" w14:paraId="5A49BC28" w14:textId="77777777">
      <w:pPr>
        <w:pStyle w:val="Blockquote"/>
        <w:numPr>
          <w:ilvl w:val="0"/>
          <w:numId w:val="4"/>
        </w:numPr>
        <w:tabs>
          <w:tab w:val="clear" w:pos="720"/>
          <w:tab w:val="num" w:pos="993"/>
        </w:tabs>
        <w:spacing w:before="0" w:after="120"/>
        <w:ind w:left="993" w:right="284" w:hanging="426"/>
        <w:rPr>
          <w:rFonts w:ascii="Arial" w:hAnsi="Arial" w:cs="Arial"/>
          <w:szCs w:val="24"/>
        </w:rPr>
      </w:pPr>
      <w:r w:rsidRPr="00E1705D">
        <w:rPr>
          <w:rFonts w:ascii="Arial" w:hAnsi="Arial" w:cs="Arial"/>
          <w:szCs w:val="24"/>
        </w:rPr>
        <w:lastRenderedPageBreak/>
        <w:t>appropriate student achievement data.</w:t>
      </w:r>
    </w:p>
    <w:p w:rsidRPr="00E1705D" w:rsidR="006D26AB" w:rsidP="00BE519A" w:rsidRDefault="006D26AB" w14:paraId="59C429D7" w14:textId="77777777">
      <w:pPr>
        <w:pStyle w:val="Blockquote"/>
        <w:numPr>
          <w:ilvl w:val="1"/>
          <w:numId w:val="25"/>
        </w:numPr>
        <w:tabs>
          <w:tab w:val="clear" w:pos="576"/>
          <w:tab w:val="num" w:pos="567"/>
        </w:tabs>
        <w:spacing w:before="0" w:after="120"/>
        <w:ind w:left="993" w:right="284" w:hanging="993"/>
        <w:rPr>
          <w:rFonts w:ascii="Arial" w:hAnsi="Arial" w:cs="Arial"/>
          <w:szCs w:val="24"/>
        </w:rPr>
      </w:pPr>
      <w:r w:rsidRPr="00E1705D">
        <w:rPr>
          <w:rFonts w:ascii="Arial" w:hAnsi="Arial" w:cs="Arial"/>
          <w:szCs w:val="24"/>
        </w:rPr>
        <w:t>The Secretary to the Board is responsible for:</w:t>
      </w:r>
    </w:p>
    <w:p w:rsidRPr="00E1705D" w:rsidR="006D26AB" w:rsidP="00BE519A" w:rsidRDefault="006D26AB" w14:paraId="5585F8BE" w14:textId="77777777">
      <w:pPr>
        <w:pStyle w:val="Blockquote"/>
        <w:numPr>
          <w:ilvl w:val="0"/>
          <w:numId w:val="5"/>
        </w:numPr>
        <w:tabs>
          <w:tab w:val="clear" w:pos="720"/>
          <w:tab w:val="num" w:pos="993"/>
        </w:tabs>
        <w:spacing w:before="0" w:after="120"/>
        <w:ind w:left="993" w:right="284" w:hanging="426"/>
        <w:rPr>
          <w:rFonts w:ascii="Arial" w:hAnsi="Arial" w:cs="Arial"/>
          <w:szCs w:val="24"/>
        </w:rPr>
      </w:pPr>
      <w:r w:rsidRPr="00E1705D">
        <w:rPr>
          <w:rFonts w:ascii="Arial" w:hAnsi="Arial" w:cs="Arial"/>
          <w:szCs w:val="24"/>
        </w:rPr>
        <w:t>keeping a record of the decisions made by the Board and for ensuring that these decisions are acted upon;</w:t>
      </w:r>
    </w:p>
    <w:p w:rsidRPr="00E1705D" w:rsidR="006D26AB" w:rsidP="00BE519A" w:rsidRDefault="006D26AB" w14:paraId="0FA4707C" w14:textId="77777777">
      <w:pPr>
        <w:pStyle w:val="Blockquote"/>
        <w:numPr>
          <w:ilvl w:val="0"/>
          <w:numId w:val="5"/>
        </w:numPr>
        <w:tabs>
          <w:tab w:val="clear" w:pos="720"/>
          <w:tab w:val="num" w:pos="993"/>
        </w:tabs>
        <w:spacing w:before="0" w:after="120"/>
        <w:ind w:left="993" w:right="284" w:hanging="426"/>
        <w:rPr>
          <w:rFonts w:ascii="Arial" w:hAnsi="Arial" w:cs="Arial"/>
          <w:szCs w:val="24"/>
        </w:rPr>
      </w:pPr>
      <w:r w:rsidRPr="00E1705D">
        <w:rPr>
          <w:rFonts w:ascii="Arial" w:hAnsi="Arial" w:cs="Arial"/>
          <w:szCs w:val="24"/>
        </w:rPr>
        <w:t>where the Board makes a decision other than that indicated by the conventions, recording the reasons for so doing on the official record of results;</w:t>
      </w:r>
    </w:p>
    <w:p w:rsidRPr="00E1705D" w:rsidR="006D26AB" w:rsidP="00BE519A" w:rsidRDefault="006D26AB" w14:paraId="327C0842" w14:textId="77777777">
      <w:pPr>
        <w:pStyle w:val="Blockquote"/>
        <w:numPr>
          <w:ilvl w:val="0"/>
          <w:numId w:val="5"/>
        </w:numPr>
        <w:tabs>
          <w:tab w:val="clear" w:pos="720"/>
          <w:tab w:val="num" w:pos="993"/>
        </w:tabs>
        <w:spacing w:before="0" w:after="120"/>
        <w:ind w:left="993" w:right="284" w:hanging="426"/>
        <w:rPr>
          <w:rFonts w:ascii="Arial" w:hAnsi="Arial" w:cs="Arial"/>
          <w:szCs w:val="24"/>
        </w:rPr>
      </w:pPr>
      <w:r w:rsidRPr="00E1705D">
        <w:rPr>
          <w:rFonts w:ascii="Arial" w:hAnsi="Arial" w:cs="Arial"/>
          <w:szCs w:val="24"/>
        </w:rPr>
        <w:t>keeping a record of the consideration given to mitigation cases;</w:t>
      </w:r>
    </w:p>
    <w:p w:rsidRPr="00E1705D" w:rsidR="006D26AB" w:rsidP="00BE519A" w:rsidRDefault="006D26AB" w14:paraId="5B55A331" w14:textId="77777777">
      <w:pPr>
        <w:pStyle w:val="Blockquote"/>
        <w:numPr>
          <w:ilvl w:val="0"/>
          <w:numId w:val="5"/>
        </w:numPr>
        <w:tabs>
          <w:tab w:val="clear" w:pos="720"/>
          <w:tab w:val="num" w:pos="993"/>
        </w:tabs>
        <w:spacing w:before="0" w:after="120"/>
        <w:ind w:left="993" w:right="284" w:hanging="426"/>
        <w:rPr>
          <w:rFonts w:ascii="Arial" w:hAnsi="Arial" w:cs="Arial"/>
          <w:szCs w:val="24"/>
        </w:rPr>
      </w:pPr>
      <w:r w:rsidRPr="00E1705D">
        <w:rPr>
          <w:rFonts w:ascii="Arial" w:hAnsi="Arial" w:cs="Arial"/>
          <w:szCs w:val="24"/>
        </w:rPr>
        <w:t xml:space="preserve">confirming with the Chair the accuracy of the official record of the decisions of the Board;  </w:t>
      </w:r>
    </w:p>
    <w:p w:rsidRPr="00E1705D" w:rsidR="006D26AB" w:rsidP="00BE519A" w:rsidRDefault="006D26AB" w14:paraId="7F62791F" w14:textId="77777777">
      <w:pPr>
        <w:pStyle w:val="Blockquote"/>
        <w:numPr>
          <w:ilvl w:val="0"/>
          <w:numId w:val="5"/>
        </w:numPr>
        <w:tabs>
          <w:tab w:val="clear" w:pos="720"/>
          <w:tab w:val="num" w:pos="993"/>
        </w:tabs>
        <w:spacing w:before="0" w:after="120"/>
        <w:ind w:left="993" w:right="284" w:hanging="426"/>
        <w:rPr>
          <w:rFonts w:ascii="Arial" w:hAnsi="Arial" w:cs="Arial"/>
          <w:szCs w:val="24"/>
        </w:rPr>
      </w:pPr>
      <w:r w:rsidRPr="00E1705D">
        <w:rPr>
          <w:rFonts w:ascii="Arial" w:hAnsi="Arial" w:cs="Arial"/>
          <w:szCs w:val="24"/>
        </w:rPr>
        <w:t>asking the External Examiner to sign the official record to endorse the decisions made by the Board.</w:t>
      </w:r>
    </w:p>
    <w:p w:rsidRPr="00E1705D" w:rsidR="006D26AB" w:rsidP="00AC6F40" w:rsidRDefault="006D26AB" w14:paraId="7FCD90CB" w14:textId="77777777">
      <w:pPr>
        <w:pStyle w:val="Blockquote"/>
        <w:spacing w:before="0" w:after="120"/>
        <w:ind w:left="993" w:right="284" w:hanging="709"/>
        <w:rPr>
          <w:rFonts w:ascii="Arial" w:hAnsi="Arial" w:cs="Arial"/>
          <w:szCs w:val="24"/>
        </w:rPr>
      </w:pPr>
    </w:p>
    <w:p w:rsidRPr="00197038" w:rsidR="006D26AB" w:rsidP="00AC6F40" w:rsidRDefault="006D26AB" w14:paraId="0C38C9BD" w14:textId="77777777">
      <w:pPr>
        <w:pStyle w:val="Heading1"/>
      </w:pPr>
      <w:bookmarkStart w:name="_Toc83387205" w:id="13"/>
      <w:r w:rsidRPr="00197038">
        <w:t>Appeals</w:t>
      </w:r>
      <w:bookmarkEnd w:id="13"/>
    </w:p>
    <w:p w:rsidRPr="00E1705D" w:rsidR="006D26AB" w:rsidP="106BA871" w:rsidRDefault="006D26AB" w14:paraId="79A0133A" w14:textId="166EF28A">
      <w:pPr>
        <w:pStyle w:val="ListParagraph"/>
        <w:spacing w:after="120"/>
        <w:ind w:left="567" w:right="284"/>
        <w:rPr>
          <w:rFonts w:ascii="Arial" w:hAnsi="Arial" w:cs="Arial"/>
        </w:rPr>
      </w:pPr>
      <w:r w:rsidRPr="106BA871" w:rsidR="006D26AB">
        <w:rPr>
          <w:rFonts w:ascii="Arial" w:hAnsi="Arial" w:cs="Arial"/>
        </w:rPr>
        <w:t xml:space="preserve">Appeals against decisions of Boards of Examiners should be made in line with the requirements laid down in </w:t>
      </w:r>
      <w:r w:rsidRPr="106BA871" w:rsidR="222772B9">
        <w:rPr>
          <w:rFonts w:ascii="Arial" w:hAnsi="Arial" w:cs="Arial"/>
        </w:rPr>
        <w:t xml:space="preserve">the </w:t>
      </w:r>
      <w:hyperlink r:id="R782d0993c15b47f3">
        <w:r w:rsidRPr="106BA871" w:rsidR="222772B9">
          <w:rPr>
            <w:rStyle w:val="Hyperlink"/>
            <w:rFonts w:ascii="Arial" w:hAnsi="Arial" w:cs="Arial"/>
          </w:rPr>
          <w:t>Academic Appeals Policy</w:t>
        </w:r>
      </w:hyperlink>
      <w:r w:rsidRPr="106BA871" w:rsidR="222772B9">
        <w:rPr>
          <w:rFonts w:ascii="Arial" w:hAnsi="Arial" w:cs="Arial"/>
        </w:rPr>
        <w:t xml:space="preserve">. </w:t>
      </w:r>
    </w:p>
    <w:p w:rsidRPr="00E1705D" w:rsidR="006D26AB" w:rsidP="00AC6F40" w:rsidRDefault="006D26AB" w14:paraId="0D0E816C" w14:textId="77777777">
      <w:pPr>
        <w:pStyle w:val="ListParagraph"/>
        <w:spacing w:after="120"/>
        <w:ind w:left="993" w:right="284" w:hanging="709"/>
        <w:contextualSpacing w:val="0"/>
        <w:rPr>
          <w:rFonts w:ascii="Arial" w:hAnsi="Arial" w:cs="Arial"/>
        </w:rPr>
      </w:pPr>
    </w:p>
    <w:p w:rsidRPr="00197038" w:rsidR="006D26AB" w:rsidP="00AC6F40" w:rsidRDefault="006D26AB" w14:paraId="0087CEB3" w14:textId="77777777">
      <w:pPr>
        <w:pStyle w:val="Heading1"/>
      </w:pPr>
      <w:bookmarkStart w:name="_Toc83387206" w:id="14"/>
      <w:r w:rsidRPr="00197038">
        <w:t>Assessment Review Boards</w:t>
      </w:r>
      <w:bookmarkEnd w:id="14"/>
    </w:p>
    <w:p w:rsidRPr="00E1705D" w:rsidR="006D26AB" w:rsidP="00BE519A" w:rsidRDefault="006D26AB" w14:paraId="751160EC" w14:textId="77777777">
      <w:pPr>
        <w:pStyle w:val="ListParagraph"/>
        <w:numPr>
          <w:ilvl w:val="1"/>
          <w:numId w:val="9"/>
        </w:numPr>
        <w:spacing w:after="120"/>
        <w:ind w:left="567" w:right="284" w:hanging="567"/>
        <w:contextualSpacing w:val="0"/>
        <w:rPr>
          <w:rFonts w:ascii="Arial" w:hAnsi="Arial" w:cs="Arial"/>
        </w:rPr>
      </w:pPr>
      <w:r w:rsidRPr="00E1705D">
        <w:rPr>
          <w:rFonts w:ascii="Arial" w:hAnsi="Arial" w:cs="Arial"/>
        </w:rPr>
        <w:t xml:space="preserve">Assessment Review Boards should be established by course or courses, by stage, or by stages, consistent with the practice for Boards of Examiners within the Division.  </w:t>
      </w:r>
    </w:p>
    <w:p w:rsidRPr="00E1705D" w:rsidR="006D26AB" w:rsidP="00BE519A" w:rsidRDefault="006D26AB" w14:paraId="36C02AE8" w14:textId="77777777">
      <w:pPr>
        <w:pStyle w:val="ListParagraph"/>
        <w:numPr>
          <w:ilvl w:val="1"/>
          <w:numId w:val="9"/>
        </w:numPr>
        <w:spacing w:after="120"/>
        <w:ind w:left="567" w:right="284" w:hanging="567"/>
        <w:contextualSpacing w:val="0"/>
        <w:rPr>
          <w:rFonts w:ascii="Arial" w:hAnsi="Arial" w:cs="Arial"/>
        </w:rPr>
      </w:pPr>
      <w:r w:rsidRPr="00E1705D">
        <w:rPr>
          <w:rFonts w:ascii="Arial" w:hAnsi="Arial" w:cs="Arial"/>
        </w:rPr>
        <w:t xml:space="preserve">Assessment Review Boards can meet either prior to, or after Board of Examiners, and will normally meet on the same day as the relevant Board of Examiners. </w:t>
      </w:r>
    </w:p>
    <w:p w:rsidRPr="00E1705D" w:rsidR="006D26AB" w:rsidP="00BE519A" w:rsidRDefault="006D26AB" w14:paraId="053ADE53" w14:textId="77777777">
      <w:pPr>
        <w:pStyle w:val="ListParagraph"/>
        <w:numPr>
          <w:ilvl w:val="1"/>
          <w:numId w:val="9"/>
        </w:numPr>
        <w:spacing w:after="120"/>
        <w:ind w:left="567" w:right="284" w:hanging="567"/>
        <w:contextualSpacing w:val="0"/>
        <w:rPr>
          <w:rFonts w:ascii="Arial" w:hAnsi="Arial" w:cs="Arial"/>
        </w:rPr>
      </w:pPr>
      <w:r w:rsidRPr="00E1705D">
        <w:rPr>
          <w:rFonts w:ascii="Arial" w:hAnsi="Arial" w:cs="Arial"/>
        </w:rPr>
        <w:t xml:space="preserve">The Chair of the Board of Examiners should act as the Chair of the Assessment Review Board. The Director of Operations for the Division (or nominee) should ensure that a Secretary is appointed to the Assessment Review Board to keep a record of discussions, issues and actions. </w:t>
      </w:r>
    </w:p>
    <w:p w:rsidRPr="00E1705D" w:rsidR="006D26AB" w:rsidP="00AC6F40" w:rsidRDefault="006D26AB" w14:paraId="3E6FDA0A" w14:textId="77777777">
      <w:pPr>
        <w:pStyle w:val="ListParagraph"/>
        <w:numPr>
          <w:ilvl w:val="1"/>
          <w:numId w:val="9"/>
        </w:numPr>
        <w:spacing w:after="120"/>
        <w:ind w:left="993" w:right="284" w:hanging="709"/>
        <w:contextualSpacing w:val="0"/>
        <w:rPr>
          <w:rFonts w:ascii="Arial" w:hAnsi="Arial" w:cs="Arial"/>
        </w:rPr>
      </w:pPr>
      <w:r w:rsidRPr="00E1705D">
        <w:rPr>
          <w:rFonts w:ascii="Arial" w:hAnsi="Arial" w:cs="Arial"/>
        </w:rPr>
        <w:t>Assessment Review Boards should discuss and consider:</w:t>
      </w:r>
    </w:p>
    <w:p w:rsidRPr="00E1705D" w:rsidR="006D26AB" w:rsidP="00BE519A" w:rsidRDefault="006D26AB" w14:paraId="640C7AD6" w14:textId="77777777">
      <w:pPr>
        <w:pStyle w:val="ListParagraph"/>
        <w:numPr>
          <w:ilvl w:val="1"/>
          <w:numId w:val="11"/>
        </w:numPr>
        <w:spacing w:after="120"/>
        <w:ind w:left="993" w:right="284" w:hanging="426"/>
        <w:contextualSpacing w:val="0"/>
        <w:rPr>
          <w:rFonts w:ascii="Arial" w:hAnsi="Arial" w:cs="Arial"/>
        </w:rPr>
      </w:pPr>
      <w:r w:rsidRPr="00E1705D">
        <w:rPr>
          <w:rFonts w:ascii="Arial" w:hAnsi="Arial" w:cs="Arial"/>
        </w:rPr>
        <w:t>Data trends in relation to modules and courses (such as assessment results, progression and achievement over a period of time, i.e. three years).</w:t>
      </w:r>
    </w:p>
    <w:p w:rsidRPr="00E1705D" w:rsidR="006D26AB" w:rsidP="00BE519A" w:rsidRDefault="006D26AB" w14:paraId="4DD14F57" w14:textId="77777777">
      <w:pPr>
        <w:pStyle w:val="ListParagraph"/>
        <w:numPr>
          <w:ilvl w:val="1"/>
          <w:numId w:val="11"/>
        </w:numPr>
        <w:spacing w:after="120"/>
        <w:ind w:left="993" w:right="284" w:hanging="426"/>
        <w:contextualSpacing w:val="0"/>
        <w:rPr>
          <w:rFonts w:ascii="Arial" w:hAnsi="Arial" w:cs="Arial"/>
        </w:rPr>
      </w:pPr>
      <w:r w:rsidRPr="00E1705D">
        <w:rPr>
          <w:rFonts w:ascii="Arial" w:hAnsi="Arial" w:cs="Arial"/>
        </w:rPr>
        <w:t>Attainment and attainment gaps.</w:t>
      </w:r>
    </w:p>
    <w:p w:rsidRPr="00E1705D" w:rsidR="006D26AB" w:rsidP="00BE519A" w:rsidRDefault="006D26AB" w14:paraId="71DD9026" w14:textId="77777777">
      <w:pPr>
        <w:pStyle w:val="ListParagraph"/>
        <w:numPr>
          <w:ilvl w:val="1"/>
          <w:numId w:val="11"/>
        </w:numPr>
        <w:spacing w:after="120"/>
        <w:ind w:left="993" w:right="284" w:hanging="426"/>
        <w:contextualSpacing w:val="0"/>
        <w:rPr>
          <w:rFonts w:ascii="Arial" w:hAnsi="Arial" w:cs="Arial"/>
        </w:rPr>
      </w:pPr>
      <w:r w:rsidRPr="00E1705D">
        <w:rPr>
          <w:rFonts w:ascii="Arial" w:hAnsi="Arial" w:cs="Arial"/>
        </w:rPr>
        <w:t>Degree outcomes.</w:t>
      </w:r>
    </w:p>
    <w:p w:rsidRPr="00E1705D" w:rsidR="006D26AB" w:rsidP="00BE519A" w:rsidRDefault="006D26AB" w14:paraId="5BEFEFF3" w14:textId="77777777">
      <w:pPr>
        <w:pStyle w:val="ListParagraph"/>
        <w:numPr>
          <w:ilvl w:val="1"/>
          <w:numId w:val="11"/>
        </w:numPr>
        <w:spacing w:after="120"/>
        <w:ind w:left="993" w:right="284" w:hanging="426"/>
        <w:contextualSpacing w:val="0"/>
        <w:rPr>
          <w:rFonts w:ascii="Arial" w:hAnsi="Arial" w:cs="Arial"/>
        </w:rPr>
      </w:pPr>
      <w:r w:rsidRPr="00E1705D">
        <w:rPr>
          <w:rFonts w:ascii="Arial" w:hAnsi="Arial" w:cs="Arial"/>
        </w:rPr>
        <w:lastRenderedPageBreak/>
        <w:t xml:space="preserve">Module content, assessment and feedback practice, teaching practice, and curriculum development. </w:t>
      </w:r>
    </w:p>
    <w:p w:rsidRPr="00E1705D" w:rsidR="006D26AB" w:rsidP="00BE519A" w:rsidRDefault="006D26AB" w14:paraId="1ED517B8" w14:textId="77777777">
      <w:pPr>
        <w:pStyle w:val="ListParagraph"/>
        <w:numPr>
          <w:ilvl w:val="1"/>
          <w:numId w:val="11"/>
        </w:numPr>
        <w:spacing w:after="120"/>
        <w:ind w:left="993" w:right="284" w:hanging="426"/>
        <w:contextualSpacing w:val="0"/>
        <w:rPr>
          <w:rFonts w:ascii="Arial" w:hAnsi="Arial" w:cs="Arial"/>
        </w:rPr>
      </w:pPr>
      <w:r w:rsidRPr="00E1705D">
        <w:rPr>
          <w:rFonts w:ascii="Arial" w:hAnsi="Arial" w:cs="Arial"/>
        </w:rPr>
        <w:t xml:space="preserve">External Examiner comments in advance of their annual report and responses to the previous year’s External Examiner reports. </w:t>
      </w:r>
    </w:p>
    <w:p w:rsidRPr="00E1705D" w:rsidR="006D26AB" w:rsidP="00BE519A" w:rsidRDefault="006D26AB" w14:paraId="6FFBAA88" w14:textId="77777777">
      <w:pPr>
        <w:pStyle w:val="ListParagraph"/>
        <w:numPr>
          <w:ilvl w:val="1"/>
          <w:numId w:val="11"/>
        </w:numPr>
        <w:spacing w:after="120"/>
        <w:ind w:left="993" w:right="284" w:hanging="426"/>
        <w:contextualSpacing w:val="0"/>
        <w:rPr>
          <w:rFonts w:ascii="Arial" w:hAnsi="Arial" w:cs="Arial"/>
        </w:rPr>
      </w:pPr>
      <w:r w:rsidRPr="00E1705D">
        <w:rPr>
          <w:rFonts w:ascii="Arial" w:hAnsi="Arial" w:cs="Arial"/>
        </w:rPr>
        <w:t xml:space="preserve">Any common issues that will need action during the subsequent academic year. </w:t>
      </w:r>
    </w:p>
    <w:p w:rsidRPr="00E1705D" w:rsidR="006D26AB" w:rsidP="00BE519A" w:rsidRDefault="006D26AB" w14:paraId="24CA288E" w14:textId="77777777">
      <w:pPr>
        <w:pStyle w:val="ListParagraph"/>
        <w:numPr>
          <w:ilvl w:val="1"/>
          <w:numId w:val="11"/>
        </w:numPr>
        <w:spacing w:after="120"/>
        <w:ind w:left="993" w:right="284" w:hanging="426"/>
        <w:contextualSpacing w:val="0"/>
        <w:rPr>
          <w:rFonts w:ascii="Arial" w:hAnsi="Arial" w:cs="Arial"/>
        </w:rPr>
      </w:pPr>
      <w:r w:rsidRPr="00E1705D">
        <w:rPr>
          <w:rFonts w:ascii="Arial" w:hAnsi="Arial" w:cs="Arial"/>
        </w:rPr>
        <w:t xml:space="preserve">Any issues that need to be raised at the Board of Examiners meeting. </w:t>
      </w:r>
    </w:p>
    <w:p w:rsidRPr="00E1705D" w:rsidR="006D26AB" w:rsidP="00BE519A" w:rsidRDefault="006D26AB" w14:paraId="7A82A0E1" w14:textId="77777777">
      <w:pPr>
        <w:pStyle w:val="ListParagraph"/>
        <w:numPr>
          <w:ilvl w:val="1"/>
          <w:numId w:val="11"/>
        </w:numPr>
        <w:spacing w:after="120"/>
        <w:ind w:left="993" w:right="284" w:hanging="426"/>
        <w:contextualSpacing w:val="0"/>
        <w:rPr>
          <w:rFonts w:ascii="Arial" w:hAnsi="Arial" w:cs="Arial"/>
        </w:rPr>
      </w:pPr>
      <w:r w:rsidRPr="00E1705D">
        <w:rPr>
          <w:rFonts w:ascii="Arial" w:hAnsi="Arial" w:cs="Arial"/>
        </w:rPr>
        <w:t xml:space="preserve">Any other matters of relevance to the design and delivery of modules and courses and the maintenance of quality and standards. </w:t>
      </w:r>
    </w:p>
    <w:p w:rsidRPr="00E1705D" w:rsidR="006D26AB" w:rsidP="00BE519A" w:rsidRDefault="006D26AB" w14:paraId="0062DB04" w14:textId="77777777">
      <w:pPr>
        <w:pStyle w:val="ListParagraph"/>
        <w:numPr>
          <w:ilvl w:val="1"/>
          <w:numId w:val="9"/>
        </w:numPr>
        <w:spacing w:after="120"/>
        <w:ind w:left="567" w:right="284" w:hanging="567"/>
        <w:contextualSpacing w:val="0"/>
        <w:rPr>
          <w:rFonts w:ascii="Arial" w:hAnsi="Arial" w:cs="Arial"/>
        </w:rPr>
      </w:pPr>
      <w:r w:rsidRPr="00E1705D">
        <w:rPr>
          <w:rFonts w:ascii="Arial" w:hAnsi="Arial" w:cs="Arial"/>
        </w:rPr>
        <w:t xml:space="preserve">Where applicable, sections of the Assessment Review Board may be carried out through break-out meetings, for example to discuss specific modules with specific teaching team members and External Examiners.  </w:t>
      </w:r>
    </w:p>
    <w:p w:rsidRPr="00E1705D" w:rsidR="006D26AB" w:rsidP="00BE519A" w:rsidRDefault="006D26AB" w14:paraId="6B78E4EB" w14:textId="77777777">
      <w:pPr>
        <w:pStyle w:val="ListParagraph"/>
        <w:numPr>
          <w:ilvl w:val="1"/>
          <w:numId w:val="9"/>
        </w:numPr>
        <w:spacing w:after="120"/>
        <w:ind w:left="567" w:right="284" w:hanging="567"/>
        <w:contextualSpacing w:val="0"/>
        <w:rPr>
          <w:rFonts w:ascii="Arial" w:hAnsi="Arial" w:cs="Arial"/>
        </w:rPr>
      </w:pPr>
      <w:r w:rsidRPr="00E1705D">
        <w:rPr>
          <w:rFonts w:ascii="Arial" w:hAnsi="Arial" w:cs="Arial"/>
        </w:rPr>
        <w:t xml:space="preserve">External Examiners should be provided with samples of work in line with the requirements of Annex K of the Code of Practice for Taught Courses. There is no prescribed method of providing such samples and the Assessment Review Board may, if the External Examiner is in agreement, present an opportunity for facilitating this. </w:t>
      </w:r>
    </w:p>
    <w:p w:rsidRPr="00E1705D" w:rsidR="006D26AB" w:rsidP="00AC6F40" w:rsidRDefault="006D26AB" w14:paraId="17F2FB9E" w14:textId="77777777">
      <w:pPr>
        <w:pStyle w:val="ListParagraph"/>
        <w:spacing w:after="120"/>
        <w:ind w:left="993" w:right="284" w:hanging="709"/>
        <w:contextualSpacing w:val="0"/>
        <w:rPr>
          <w:rFonts w:ascii="Arial" w:hAnsi="Arial" w:cs="Arial"/>
        </w:rPr>
      </w:pPr>
    </w:p>
    <w:p w:rsidRPr="00E1705D" w:rsidR="006D26AB" w:rsidP="00AC6F40" w:rsidRDefault="006D26AB" w14:paraId="76FCBB70" w14:textId="77777777">
      <w:pPr>
        <w:spacing w:after="120" w:line="240" w:lineRule="auto"/>
        <w:ind w:left="993" w:hanging="709"/>
        <w:jc w:val="left"/>
        <w:rPr>
          <w:sz w:val="24"/>
          <w:szCs w:val="24"/>
        </w:rPr>
      </w:pPr>
    </w:p>
    <w:sectPr w:rsidRPr="00E1705D" w:rsidR="006D26AB" w:rsidSect="002750C2">
      <w:headerReference w:type="default" r:id="rId19"/>
      <w:footerReference w:type="default" r:id="rId20"/>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C50" w:rsidP="002750C2" w:rsidRDefault="00051C50" w14:paraId="280E93FE" w14:textId="77777777">
      <w:pPr>
        <w:spacing w:after="0" w:line="240" w:lineRule="auto"/>
      </w:pPr>
      <w:r>
        <w:separator/>
      </w:r>
    </w:p>
  </w:endnote>
  <w:endnote w:type="continuationSeparator" w:id="0">
    <w:p w:rsidR="00051C50" w:rsidP="002750C2" w:rsidRDefault="00051C50" w14:paraId="6BBAF46F" w14:textId="77777777">
      <w:pPr>
        <w:spacing w:after="0" w:line="240" w:lineRule="auto"/>
      </w:pPr>
      <w:r>
        <w:continuationSeparator/>
      </w:r>
    </w:p>
  </w:endnote>
  <w:endnote w:type="continuationNotice" w:id="1">
    <w:p w:rsidR="005E3E8A" w:rsidRDefault="005E3E8A" w14:paraId="1225B1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5C2B5CAF" w14:textId="77777777">
    <w:pPr>
      <w:pStyle w:val="Header"/>
      <w:jc w:val="left"/>
      <w:rPr>
        <w:rStyle w:val="eop"/>
        <w:sz w:val="20"/>
        <w:szCs w:val="20"/>
      </w:rPr>
    </w:pPr>
    <w:r>
      <w:rPr>
        <w:rStyle w:val="normaltextrun"/>
        <w:sz w:val="20"/>
        <w:szCs w:val="20"/>
      </w:rPr>
      <w:t>Author: QACO</w:t>
    </w:r>
    <w:r>
      <w:rPr>
        <w:rStyle w:val="eop"/>
        <w:sz w:val="20"/>
        <w:szCs w:val="20"/>
      </w:rPr>
      <w:t> </w:t>
    </w:r>
  </w:p>
  <w:p w:rsidR="00280218" w:rsidP="002F7E36" w:rsidRDefault="00280218" w14:paraId="4381668A" w14:textId="09F20C7B">
    <w:pPr>
      <w:pStyle w:val="Header"/>
      <w:jc w:val="left"/>
      <w:rPr>
        <w:rFonts w:ascii="Segoe UI" w:hAnsi="Segoe UI" w:cs="Segoe UI"/>
        <w:sz w:val="18"/>
        <w:szCs w:val="18"/>
      </w:rPr>
    </w:pPr>
    <w:r>
      <w:rPr>
        <w:rStyle w:val="eop"/>
        <w:sz w:val="20"/>
        <w:szCs w:val="20"/>
      </w:rPr>
      <w:t>Applies to: 202</w:t>
    </w:r>
    <w:r w:rsidR="00115E17">
      <w:rPr>
        <w:rStyle w:val="eop"/>
        <w:sz w:val="20"/>
        <w:szCs w:val="20"/>
      </w:rPr>
      <w:t>2</w:t>
    </w:r>
    <w:r>
      <w:rPr>
        <w:rStyle w:val="eop"/>
        <w:sz w:val="20"/>
        <w:szCs w:val="20"/>
      </w:rPr>
      <w:t>/2</w:t>
    </w:r>
    <w:r w:rsidR="00115E17">
      <w:rPr>
        <w:rStyle w:val="eop"/>
        <w:sz w:val="20"/>
        <w:szCs w:val="20"/>
      </w:rPr>
      <w:t>3</w:t>
    </w:r>
  </w:p>
  <w:p w:rsidR="002F7E36" w:rsidP="002F7E36" w:rsidRDefault="002750C2" w14:paraId="068F95BF"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06BA871" w:rsidRDefault="002750C2" w14:paraId="4D7070A4" w14:textId="274CCC72">
    <w:pPr>
      <w:pStyle w:val="paragraph"/>
      <w:spacing w:before="0" w:beforeAutospacing="off" w:after="0" w:afterAutospacing="off"/>
      <w:jc w:val="left"/>
      <w:textAlignment w:val="baseline"/>
      <w:rPr>
        <w:rStyle w:val="normaltextrun"/>
        <w:rFonts w:ascii="Arial" w:hAnsi="Arial" w:cs="Arial"/>
        <w:sz w:val="20"/>
        <w:szCs w:val="20"/>
      </w:rPr>
    </w:pPr>
    <w:r w:rsidRPr="106BA871" w:rsidR="106BA871">
      <w:rPr>
        <w:rStyle w:val="normaltextrun"/>
        <w:rFonts w:ascii="Arial" w:hAnsi="Arial" w:cs="Arial"/>
        <w:sz w:val="20"/>
        <w:szCs w:val="20"/>
      </w:rPr>
      <w:t xml:space="preserve">Last Revised: </w:t>
    </w:r>
    <w:r w:rsidRPr="106BA871" w:rsidR="106BA871">
      <w:rPr>
        <w:rStyle w:val="normaltextrun"/>
        <w:rFonts w:ascii="Arial" w:hAnsi="Arial" w:cs="Arial"/>
        <w:sz w:val="20"/>
        <w:szCs w:val="20"/>
      </w:rPr>
      <w:t>November 2023</w:t>
    </w:r>
  </w:p>
  <w:p w:rsidR="002750C2" w:rsidP="106BA871" w:rsidRDefault="002750C2" w14:paraId="6D9E1C84" w14:textId="17B5BC86">
    <w:pPr>
      <w:pStyle w:val="paragraph"/>
      <w:spacing w:before="0" w:beforeAutospacing="off" w:after="0" w:afterAutospacing="off"/>
      <w:jc w:val="left"/>
      <w:textAlignment w:val="baseline"/>
      <w:rPr>
        <w:rStyle w:val="normaltextrun"/>
        <w:rFonts w:ascii="Arial" w:hAnsi="Arial" w:cs="Arial"/>
        <w:sz w:val="20"/>
        <w:szCs w:val="20"/>
        <w:lang w:val="en-US"/>
      </w:rPr>
    </w:pPr>
    <w:r w:rsidRPr="106BA871" w:rsidR="106BA871">
      <w:rPr>
        <w:rStyle w:val="normaltextrun"/>
        <w:rFonts w:ascii="Arial" w:hAnsi="Arial" w:cs="Arial"/>
        <w:sz w:val="20"/>
        <w:szCs w:val="20"/>
      </w:rPr>
      <w:t>Next review: September 202</w:t>
    </w:r>
    <w:r w:rsidRPr="106BA871" w:rsidR="106BA871">
      <w:rPr>
        <w:rStyle w:val="normaltextrun"/>
        <w:rFonts w:ascii="Arial" w:hAnsi="Arial" w:cs="Arial"/>
        <w:sz w:val="20"/>
        <w:szCs w:val="20"/>
      </w:rPr>
      <w:t>4</w:t>
    </w:r>
  </w:p>
  <w:p w:rsidR="002750C2" w:rsidP="002750C2" w:rsidRDefault="002750C2" w14:paraId="65B8E518" w14:textId="2ACF4AB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C41C65">
      <w:rPr>
        <w:rStyle w:val="PageNumber"/>
        <w:noProof/>
        <w:sz w:val="20"/>
      </w:rPr>
      <w:t>10</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C41C65">
      <w:rPr>
        <w:rStyle w:val="PageNumber"/>
        <w:noProof/>
        <w:sz w:val="20"/>
      </w:rPr>
      <w:t>11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C50" w:rsidP="002750C2" w:rsidRDefault="00051C50" w14:paraId="24E03A5B" w14:textId="77777777">
      <w:pPr>
        <w:spacing w:after="0" w:line="240" w:lineRule="auto"/>
      </w:pPr>
      <w:r>
        <w:separator/>
      </w:r>
    </w:p>
  </w:footnote>
  <w:footnote w:type="continuationSeparator" w:id="0">
    <w:p w:rsidR="00051C50" w:rsidP="002750C2" w:rsidRDefault="00051C50" w14:paraId="236CC964" w14:textId="77777777">
      <w:pPr>
        <w:spacing w:after="0" w:line="240" w:lineRule="auto"/>
      </w:pPr>
      <w:r>
        <w:continuationSeparator/>
      </w:r>
    </w:p>
  </w:footnote>
  <w:footnote w:type="continuationNotice" w:id="1">
    <w:p w:rsidR="005E3E8A" w:rsidRDefault="005E3E8A" w14:paraId="6109F88C" w14:textId="77777777">
      <w:pPr>
        <w:spacing w:after="0" w:line="240" w:lineRule="auto"/>
      </w:pPr>
    </w:p>
  </w:footnote>
  <w:footnote w:id="2">
    <w:p w:rsidRPr="00BE519A" w:rsidR="006D26AB" w:rsidP="00BE519A" w:rsidRDefault="006D26AB" w14:paraId="1370FD4B" w14:textId="08AD94B5">
      <w:pPr>
        <w:pStyle w:val="FootnoteText"/>
        <w:spacing w:before="60" w:after="60"/>
        <w:ind w:right="284"/>
        <w:rPr>
          <w:rFonts w:ascii="Arial" w:hAnsi="Arial" w:cs="Arial"/>
          <w:sz w:val="22"/>
          <w:szCs w:val="22"/>
        </w:rPr>
      </w:pPr>
      <w:r w:rsidRPr="00BE519A">
        <w:rPr>
          <w:rStyle w:val="FootnoteReference"/>
          <w:rFonts w:ascii="Arial" w:hAnsi="Arial" w:cs="Arial" w:eastAsiaTheme="majorEastAsia"/>
          <w:sz w:val="22"/>
          <w:szCs w:val="22"/>
        </w:rPr>
        <w:footnoteRef/>
      </w:r>
      <w:r w:rsidRPr="00BE519A">
        <w:rPr>
          <w:rFonts w:ascii="Arial" w:hAnsi="Arial" w:cs="Arial"/>
          <w:sz w:val="22"/>
          <w:szCs w:val="22"/>
        </w:rPr>
        <w:t xml:space="preserve"> Scripts, extended essays and dissertations should be stored in line with the University’s </w:t>
      </w:r>
      <w:hyperlink w:history="1" r:id="rId1">
        <w:r w:rsidRPr="00BE519A">
          <w:rPr>
            <w:rStyle w:val="Hyperlink"/>
            <w:rFonts w:ascii="Arial" w:hAnsi="Arial" w:cs="Arial"/>
            <w:sz w:val="22"/>
            <w:szCs w:val="22"/>
          </w:rPr>
          <w:t>Documentation Retention and Archiving Policy</w:t>
        </w:r>
      </w:hyperlink>
      <w:r w:rsidRPr="00BE519A" w:rsidR="009219BB">
        <w:rPr>
          <w:rFonts w:ascii="Arial" w:hAnsi="Arial" w:cs="Arial"/>
          <w:sz w:val="22"/>
          <w:szCs w:val="22"/>
        </w:rPr>
        <w:t xml:space="preserve">. </w:t>
      </w:r>
      <w:r w:rsidRPr="00BE519A">
        <w:rPr>
          <w:rFonts w:ascii="Arial" w:hAnsi="Arial"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115E17" w14:paraId="69DD7280" w14:textId="28E996F1">
    <w:pPr>
      <w:pStyle w:val="Header"/>
      <w:jc w:val="right"/>
    </w:pPr>
    <w:r>
      <w:rPr>
        <w:noProof/>
      </w:rPr>
      <w:drawing>
        <wp:anchor distT="0" distB="0" distL="114300" distR="114300" simplePos="0" relativeHeight="251658240" behindDoc="0" locked="0" layoutInCell="1" allowOverlap="1" wp14:anchorId="24505EB0" wp14:editId="1106BF2F">
          <wp:simplePos x="0" y="0"/>
          <wp:positionH relativeFrom="column">
            <wp:posOffset>-913765</wp:posOffset>
          </wp:positionH>
          <wp:positionV relativeFrom="paragraph">
            <wp:posOffset>-447040</wp:posOffset>
          </wp:positionV>
          <wp:extent cx="7560000" cy="111731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1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2C090824">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2330"/>
    <w:multiLevelType w:val="hybridMultilevel"/>
    <w:tmpl w:val="AE78B7A8"/>
    <w:lvl w:ilvl="0" w:tplc="5052E4D0">
      <w:start w:val="1"/>
      <w:numFmt w:val="decimal"/>
      <w:lvlText w:val="7.%1"/>
      <w:lvlJc w:val="left"/>
      <w:pPr>
        <w:ind w:left="1296" w:hanging="360"/>
      </w:pPr>
      <w:rPr>
        <w:rFonts w:hint="default"/>
        <w:b w:val="0"/>
        <w:i w:val="0"/>
        <w:sz w:val="24"/>
        <w:szCs w:val="22"/>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 w15:restartNumberingAfterBreak="0">
    <w:nsid w:val="1469363F"/>
    <w:multiLevelType w:val="hybridMultilevel"/>
    <w:tmpl w:val="64767996"/>
    <w:lvl w:ilvl="0" w:tplc="99E08BD2">
      <w:start w:val="1"/>
      <w:numFmt w:val="decimal"/>
      <w:lvlText w:val="12.%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6CA6EF6"/>
    <w:multiLevelType w:val="multilevel"/>
    <w:tmpl w:val="29446C9C"/>
    <w:lvl w:ilvl="0">
      <w:start w:val="1"/>
      <w:numFmt w:val="decimal"/>
      <w:lvlText w:val="%1."/>
      <w:lvlJc w:val="left"/>
      <w:pPr>
        <w:tabs>
          <w:tab w:val="num" w:pos="576"/>
        </w:tabs>
        <w:ind w:left="576" w:hanging="576"/>
      </w:pPr>
      <w:rPr>
        <w:rFonts w:hint="default" w:ascii="Arial" w:hAnsi="Arial" w:cs="Arial"/>
        <w:b/>
        <w:i w:val="0"/>
        <w:sz w:val="24"/>
      </w:rPr>
    </w:lvl>
    <w:lvl w:ilvl="1">
      <w:start w:val="1"/>
      <w:numFmt w:val="decimal"/>
      <w:lvlText w:val="%1.%2"/>
      <w:lvlJc w:val="left"/>
      <w:pPr>
        <w:tabs>
          <w:tab w:val="num" w:pos="576"/>
        </w:tabs>
        <w:ind w:left="576" w:hanging="576"/>
      </w:pPr>
      <w:rPr>
        <w:rFonts w:hint="default" w:ascii="Arial" w:hAnsi="Arial" w:cs="Arial"/>
        <w:b w:val="0"/>
        <w:i w:val="0"/>
        <w:sz w:val="24"/>
        <w:szCs w:val="22"/>
      </w:rPr>
    </w:lvl>
    <w:lvl w:ilvl="2">
      <w:start w:val="1"/>
      <w:numFmt w:val="decimal"/>
      <w:lvlText w:val="2.1.%3"/>
      <w:lvlJc w:val="left"/>
      <w:pPr>
        <w:tabs>
          <w:tab w:val="num" w:pos="2420"/>
        </w:tabs>
        <w:ind w:left="2420" w:hanging="576"/>
      </w:pPr>
      <w:rPr>
        <w:rFonts w:hint="default"/>
        <w:b w:val="0"/>
        <w:sz w:val="24"/>
        <w:szCs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9895DB2"/>
    <w:multiLevelType w:val="hybridMultilevel"/>
    <w:tmpl w:val="8ADE047E"/>
    <w:lvl w:ilvl="0" w:tplc="72165732">
      <w:start w:val="1"/>
      <w:numFmt w:val="decimal"/>
      <w:lvlText w:val="8.%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20B31AB8"/>
    <w:multiLevelType w:val="hybridMultilevel"/>
    <w:tmpl w:val="920A119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5" w15:restartNumberingAfterBreak="0">
    <w:nsid w:val="2BCD242A"/>
    <w:multiLevelType w:val="hybridMultilevel"/>
    <w:tmpl w:val="CC0EAF8C"/>
    <w:lvl w:ilvl="0" w:tplc="EBA8130A">
      <w:start w:val="1"/>
      <w:numFmt w:val="decimal"/>
      <w:lvlText w:val="3.%1"/>
      <w:lvlJc w:val="left"/>
      <w:pPr>
        <w:ind w:left="72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B21E7"/>
    <w:multiLevelType w:val="hybridMultilevel"/>
    <w:tmpl w:val="8E2EFBBA"/>
    <w:lvl w:ilvl="0" w:tplc="3ECC7F7E">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84C76C7"/>
    <w:multiLevelType w:val="hybridMultilevel"/>
    <w:tmpl w:val="0666D0EE"/>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8" w15:restartNumberingAfterBreak="0">
    <w:nsid w:val="39F70411"/>
    <w:multiLevelType w:val="hybridMultilevel"/>
    <w:tmpl w:val="D3EC7D0C"/>
    <w:lvl w:ilvl="0" w:tplc="BA3C3168">
      <w:start w:val="1"/>
      <w:numFmt w:val="decimal"/>
      <w:lvlText w:val="10.%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0D56607"/>
    <w:multiLevelType w:val="hybridMultilevel"/>
    <w:tmpl w:val="CD82699C"/>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10" w15:restartNumberingAfterBreak="0">
    <w:nsid w:val="4359752B"/>
    <w:multiLevelType w:val="hybridMultilevel"/>
    <w:tmpl w:val="1E2AB746"/>
    <w:lvl w:ilvl="0" w:tplc="BD32C5D0">
      <w:start w:val="1"/>
      <w:numFmt w:val="decimal"/>
      <w:lvlText w:val="11.%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3FB255B"/>
    <w:multiLevelType w:val="hybridMultilevel"/>
    <w:tmpl w:val="D5A6E6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6893A82"/>
    <w:multiLevelType w:val="hybridMultilevel"/>
    <w:tmpl w:val="317CE24A"/>
    <w:lvl w:ilvl="0" w:tplc="48F42CC0">
      <w:start w:val="1"/>
      <w:numFmt w:val="decimal"/>
      <w:lvlText w:val="5.%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B6234DB"/>
    <w:multiLevelType w:val="multilevel"/>
    <w:tmpl w:val="67B2B96A"/>
    <w:lvl w:ilvl="0">
      <w:start w:val="1"/>
      <w:numFmt w:val="decimal"/>
      <w:pStyle w:val="Heading1"/>
      <w:lvlText w:val="%1."/>
      <w:lvlJc w:val="left"/>
      <w:pPr>
        <w:ind w:left="566"/>
      </w:pPr>
      <w:rPr>
        <w:rFonts w:ascii="Arial" w:hAnsi="Arial" w:eastAsiaTheme="majorEastAsia" w:cstheme="majorBidi"/>
        <w:b w:val="0"/>
        <w:bCs w:val="0"/>
        <w:i w:val="0"/>
        <w:strike w:val="0"/>
        <w:dstrike w:val="0"/>
        <w:color w:val="000000"/>
        <w:sz w:val="24"/>
        <w:szCs w:val="28"/>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4D03249C"/>
    <w:multiLevelType w:val="hybridMultilevel"/>
    <w:tmpl w:val="E21A8286"/>
    <w:lvl w:ilvl="0" w:tplc="08090001">
      <w:start w:val="1"/>
      <w:numFmt w:val="bullet"/>
      <w:lvlText w:val=""/>
      <w:lvlJc w:val="left"/>
      <w:pPr>
        <w:ind w:left="1296" w:hanging="360"/>
      </w:pPr>
      <w:rPr>
        <w:rFonts w:hint="default" w:ascii="Symbol" w:hAnsi="Symbol"/>
      </w:rPr>
    </w:lvl>
    <w:lvl w:ilvl="1" w:tplc="08090001">
      <w:start w:val="1"/>
      <w:numFmt w:val="bullet"/>
      <w:lvlText w:val=""/>
      <w:lvlJc w:val="left"/>
      <w:pPr>
        <w:ind w:left="2016" w:hanging="360"/>
      </w:pPr>
      <w:rPr>
        <w:rFonts w:hint="default" w:ascii="Symbol" w:hAnsi="Symbol"/>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5" w15:restartNumberingAfterBreak="0">
    <w:nsid w:val="525B3F9B"/>
    <w:multiLevelType w:val="multilevel"/>
    <w:tmpl w:val="1CE864C4"/>
    <w:lvl w:ilvl="0">
      <w:start w:val="9"/>
      <w:numFmt w:val="decimal"/>
      <w:lvlText w:val="%1."/>
      <w:lvlJc w:val="left"/>
      <w:pPr>
        <w:tabs>
          <w:tab w:val="num" w:pos="576"/>
        </w:tabs>
        <w:ind w:left="576" w:hanging="576"/>
      </w:pPr>
      <w:rPr>
        <w:rFonts w:hint="default"/>
        <w:b/>
        <w:i w:val="0"/>
        <w:sz w:val="24"/>
      </w:rPr>
    </w:lvl>
    <w:lvl w:ilvl="1">
      <w:start w:val="1"/>
      <w:numFmt w:val="decimal"/>
      <w:lvlText w:val="11.%2"/>
      <w:lvlJc w:val="left"/>
      <w:pPr>
        <w:tabs>
          <w:tab w:val="num" w:pos="576"/>
        </w:tabs>
        <w:ind w:left="576" w:hanging="576"/>
      </w:pPr>
      <w:rPr>
        <w:rFonts w:hint="default"/>
        <w:b w:val="0"/>
        <w:i w:val="0"/>
        <w:sz w:val="24"/>
        <w:szCs w:val="24"/>
      </w:rPr>
    </w:lvl>
    <w:lvl w:ilvl="2">
      <w:start w:val="1"/>
      <w:numFmt w:val="decimal"/>
      <w:lvlText w:val="12.1.%3"/>
      <w:lvlJc w:val="left"/>
      <w:pPr>
        <w:tabs>
          <w:tab w:val="num" w:pos="576"/>
        </w:tabs>
        <w:ind w:left="576" w:hanging="576"/>
      </w:pPr>
      <w:rPr>
        <w:rFonts w:hint="default"/>
        <w:b w:val="0"/>
        <w:sz w:val="22"/>
        <w:szCs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89E6A14"/>
    <w:multiLevelType w:val="hybridMultilevel"/>
    <w:tmpl w:val="EFE2544E"/>
    <w:lvl w:ilvl="0" w:tplc="FA4AB5DA">
      <w:start w:val="1"/>
      <w:numFmt w:val="decimal"/>
      <w:lvlText w:val="4.%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C3B05EB"/>
    <w:multiLevelType w:val="multilevel"/>
    <w:tmpl w:val="317EFFEA"/>
    <w:lvl w:ilvl="0">
      <w:start w:val="9"/>
      <w:numFmt w:val="decimal"/>
      <w:lvlText w:val="%1."/>
      <w:lvlJc w:val="left"/>
      <w:pPr>
        <w:tabs>
          <w:tab w:val="num" w:pos="576"/>
        </w:tabs>
        <w:ind w:left="576" w:hanging="576"/>
      </w:pPr>
      <w:rPr>
        <w:rFonts w:hint="default"/>
        <w:b/>
        <w:i w:val="0"/>
        <w:sz w:val="24"/>
      </w:rPr>
    </w:lvl>
    <w:lvl w:ilvl="1">
      <w:start w:val="1"/>
      <w:numFmt w:val="decimal"/>
      <w:lvlText w:val="13.%2"/>
      <w:lvlJc w:val="left"/>
      <w:pPr>
        <w:tabs>
          <w:tab w:val="num" w:pos="576"/>
        </w:tabs>
        <w:ind w:left="576" w:hanging="576"/>
      </w:pPr>
      <w:rPr>
        <w:rFonts w:hint="default"/>
        <w:b w:val="0"/>
        <w:i w:val="0"/>
        <w:sz w:val="24"/>
        <w:szCs w:val="24"/>
      </w:rPr>
    </w:lvl>
    <w:lvl w:ilvl="2">
      <w:start w:val="1"/>
      <w:numFmt w:val="decimal"/>
      <w:lvlText w:val="12.1.%3"/>
      <w:lvlJc w:val="left"/>
      <w:pPr>
        <w:tabs>
          <w:tab w:val="num" w:pos="576"/>
        </w:tabs>
        <w:ind w:left="576" w:hanging="576"/>
      </w:pPr>
      <w:rPr>
        <w:rFonts w:hint="default"/>
        <w:b w:val="0"/>
        <w:sz w:val="20"/>
        <w:szCs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4A13777"/>
    <w:multiLevelType w:val="multilevel"/>
    <w:tmpl w:val="A286576A"/>
    <w:lvl w:ilvl="0">
      <w:start w:val="14"/>
      <w:numFmt w:val="decimal"/>
      <w:lvlText w:val="%1."/>
      <w:lvlJc w:val="left"/>
      <w:pPr>
        <w:tabs>
          <w:tab w:val="num" w:pos="576"/>
        </w:tabs>
        <w:ind w:left="576" w:hanging="576"/>
      </w:pPr>
      <w:rPr>
        <w:rFonts w:hint="default" w:ascii="Arial" w:hAnsi="Arial" w:cs="Arial"/>
        <w:b/>
        <w:i w:val="0"/>
        <w:sz w:val="24"/>
      </w:rPr>
    </w:lvl>
    <w:lvl w:ilvl="1">
      <w:start w:val="1"/>
      <w:numFmt w:val="decimal"/>
      <w:lvlText w:val="15.%2"/>
      <w:lvlJc w:val="left"/>
      <w:pPr>
        <w:tabs>
          <w:tab w:val="num" w:pos="576"/>
        </w:tabs>
        <w:ind w:left="576" w:hanging="576"/>
      </w:pPr>
      <w:rPr>
        <w:rFonts w:hint="default"/>
        <w:b w:val="0"/>
        <w:i w:val="0"/>
        <w:sz w:val="24"/>
        <w:szCs w:val="24"/>
      </w:rPr>
    </w:lvl>
    <w:lvl w:ilvl="2">
      <w:start w:val="1"/>
      <w:numFmt w:val="decimal"/>
      <w:lvlText w:val="%1.%2.%3"/>
      <w:lvlJc w:val="left"/>
      <w:pPr>
        <w:tabs>
          <w:tab w:val="num" w:pos="576"/>
        </w:tabs>
        <w:ind w:left="576" w:hanging="576"/>
      </w:pPr>
      <w:rPr>
        <w:rFonts w:hint="default" w:ascii="Arial" w:hAnsi="Arial" w:cs="Arial"/>
        <w:sz w:val="22"/>
        <w:szCs w:val="22"/>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F6A7ACC"/>
    <w:multiLevelType w:val="multilevel"/>
    <w:tmpl w:val="FD72C3CC"/>
    <w:lvl w:ilvl="0">
      <w:start w:val="1"/>
      <w:numFmt w:val="bullet"/>
      <w:lvlText w:val=""/>
      <w:lvlJc w:val="left"/>
      <w:pPr>
        <w:tabs>
          <w:tab w:val="num" w:pos="1872"/>
        </w:tabs>
        <w:ind w:left="1872" w:hanging="576"/>
      </w:pPr>
      <w:rPr>
        <w:rFonts w:hint="default" w:ascii="Symbol" w:hAnsi="Symbol"/>
        <w:b/>
        <w:i w:val="0"/>
        <w:sz w:val="20"/>
      </w:rPr>
    </w:lvl>
    <w:lvl w:ilvl="1">
      <w:start w:val="1"/>
      <w:numFmt w:val="bullet"/>
      <w:lvlText w:val=""/>
      <w:lvlJc w:val="left"/>
      <w:pPr>
        <w:tabs>
          <w:tab w:val="num" w:pos="1872"/>
        </w:tabs>
        <w:ind w:left="1872" w:hanging="576"/>
      </w:pPr>
      <w:rPr>
        <w:rFonts w:hint="default" w:ascii="Symbol" w:hAnsi="Symbol"/>
        <w:b w:val="0"/>
        <w:i w:val="0"/>
        <w:sz w:val="20"/>
        <w:szCs w:val="22"/>
      </w:rPr>
    </w:lvl>
    <w:lvl w:ilvl="2">
      <w:start w:val="1"/>
      <w:numFmt w:val="decimal"/>
      <w:lvlText w:val="%1.%2.%3"/>
      <w:lvlJc w:val="left"/>
      <w:pPr>
        <w:tabs>
          <w:tab w:val="num" w:pos="1872"/>
        </w:tabs>
        <w:ind w:left="1872" w:hanging="576"/>
      </w:pPr>
      <w:rPr>
        <w:rFonts w:hint="default" w:ascii="Plantin" w:hAnsi="Plantin"/>
        <w:sz w:val="20"/>
      </w:rPr>
    </w:lvl>
    <w:lvl w:ilvl="3">
      <w:start w:val="1"/>
      <w:numFmt w:val="decimal"/>
      <w:lvlText w:val="%1.%2.%3.%4"/>
      <w:lvlJc w:val="left"/>
      <w:pPr>
        <w:tabs>
          <w:tab w:val="num" w:pos="2448"/>
        </w:tabs>
        <w:ind w:left="2448" w:hanging="1152"/>
      </w:pPr>
      <w:rPr>
        <w:rFonts w:hint="default" w:ascii="Plantin" w:hAnsi="Plantin"/>
        <w:sz w:val="20"/>
      </w:rPr>
    </w:lvl>
    <w:lvl w:ilvl="4">
      <w:start w:val="1"/>
      <w:numFmt w:val="decimal"/>
      <w:lvlText w:val="%1.%2.%3.%4.%5"/>
      <w:lvlJc w:val="left"/>
      <w:pPr>
        <w:tabs>
          <w:tab w:val="num" w:pos="2304"/>
        </w:tabs>
        <w:ind w:left="2304" w:hanging="1008"/>
      </w:pPr>
    </w:lvl>
    <w:lvl w:ilvl="5">
      <w:start w:val="1"/>
      <w:numFmt w:val="decimal"/>
      <w:lvlText w:val="%1.%2.%3.%4.%5.%6"/>
      <w:lvlJc w:val="left"/>
      <w:pPr>
        <w:tabs>
          <w:tab w:val="num" w:pos="2448"/>
        </w:tabs>
        <w:ind w:left="2448" w:hanging="1152"/>
      </w:pPr>
    </w:lvl>
    <w:lvl w:ilvl="6">
      <w:start w:val="1"/>
      <w:numFmt w:val="decimal"/>
      <w:lvlText w:val="%1.%2.%3.%4.%5.%6.%7"/>
      <w:lvlJc w:val="left"/>
      <w:pPr>
        <w:tabs>
          <w:tab w:val="num" w:pos="2592"/>
        </w:tabs>
        <w:ind w:left="2592" w:hanging="1296"/>
      </w:pPr>
    </w:lvl>
    <w:lvl w:ilvl="7">
      <w:start w:val="1"/>
      <w:numFmt w:val="decimal"/>
      <w:lvlText w:val="%1.%2.%3.%4.%5.%6.%7.%8"/>
      <w:lvlJc w:val="left"/>
      <w:pPr>
        <w:tabs>
          <w:tab w:val="num" w:pos="2736"/>
        </w:tabs>
        <w:ind w:left="2736" w:hanging="1440"/>
      </w:pPr>
    </w:lvl>
    <w:lvl w:ilvl="8">
      <w:start w:val="1"/>
      <w:numFmt w:val="decimal"/>
      <w:lvlText w:val="%1.%2.%3.%4.%5.%6.%7.%8.%9"/>
      <w:lvlJc w:val="left"/>
      <w:pPr>
        <w:tabs>
          <w:tab w:val="num" w:pos="2880"/>
        </w:tabs>
        <w:ind w:left="2880" w:hanging="1584"/>
      </w:pPr>
    </w:lvl>
  </w:abstractNum>
  <w:abstractNum w:abstractNumId="20" w15:restartNumberingAfterBreak="0">
    <w:nsid w:val="6FF30C5C"/>
    <w:multiLevelType w:val="hybridMultilevel"/>
    <w:tmpl w:val="D01EBDC8"/>
    <w:lvl w:ilvl="0" w:tplc="2130A37A">
      <w:start w:val="1"/>
      <w:numFmt w:val="decimal"/>
      <w:lvlText w:val="2.%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0F70F5B"/>
    <w:multiLevelType w:val="multilevel"/>
    <w:tmpl w:val="384ABE7E"/>
    <w:lvl w:ilvl="0">
      <w:start w:val="9"/>
      <w:numFmt w:val="decimal"/>
      <w:lvlText w:val="%1."/>
      <w:lvlJc w:val="left"/>
      <w:pPr>
        <w:tabs>
          <w:tab w:val="num" w:pos="576"/>
        </w:tabs>
        <w:ind w:left="576" w:hanging="576"/>
      </w:pPr>
      <w:rPr>
        <w:rFonts w:hint="default"/>
        <w:b/>
        <w:i w:val="0"/>
        <w:sz w:val="24"/>
      </w:rPr>
    </w:lvl>
    <w:lvl w:ilvl="1">
      <w:start w:val="1"/>
      <w:numFmt w:val="decimal"/>
      <w:lvlText w:val="%1.%2"/>
      <w:lvlJc w:val="left"/>
      <w:pPr>
        <w:tabs>
          <w:tab w:val="num" w:pos="576"/>
        </w:tabs>
        <w:ind w:left="576" w:hanging="576"/>
      </w:pPr>
      <w:rPr>
        <w:rFonts w:hint="default" w:ascii="Arial" w:hAnsi="Arial" w:cs="Arial"/>
        <w:b w:val="0"/>
        <w:i w:val="0"/>
        <w:sz w:val="24"/>
        <w:szCs w:val="22"/>
      </w:rPr>
    </w:lvl>
    <w:lvl w:ilvl="2">
      <w:start w:val="9"/>
      <w:numFmt w:val="decimal"/>
      <w:lvlText w:val="12.1.%3"/>
      <w:lvlJc w:val="left"/>
      <w:pPr>
        <w:tabs>
          <w:tab w:val="num" w:pos="576"/>
        </w:tabs>
        <w:ind w:left="576" w:hanging="576"/>
      </w:pPr>
      <w:rPr>
        <w:rFonts w:hint="default"/>
        <w:b w:val="0"/>
        <w:sz w:val="24"/>
        <w:szCs w:val="24"/>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31A07FC"/>
    <w:multiLevelType w:val="hybridMultilevel"/>
    <w:tmpl w:val="D0A294CA"/>
    <w:lvl w:ilvl="0" w:tplc="271A69EA">
      <w:start w:val="1"/>
      <w:numFmt w:val="decimal"/>
      <w:lvlText w:val="6.%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5271C53"/>
    <w:multiLevelType w:val="hybridMultilevel"/>
    <w:tmpl w:val="8440EDAC"/>
    <w:lvl w:ilvl="0" w:tplc="3ECC7F7E">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789735352">
    <w:abstractNumId w:val="13"/>
  </w:num>
  <w:num w:numId="2" w16cid:durableId="1773936060">
    <w:abstractNumId w:val="24"/>
  </w:num>
  <w:num w:numId="3" w16cid:durableId="2122261726">
    <w:abstractNumId w:val="2"/>
  </w:num>
  <w:num w:numId="4" w16cid:durableId="59526875">
    <w:abstractNumId w:val="23"/>
  </w:num>
  <w:num w:numId="5" w16cid:durableId="867832978">
    <w:abstractNumId w:val="6"/>
  </w:num>
  <w:num w:numId="6" w16cid:durableId="1841121078">
    <w:abstractNumId w:val="21"/>
  </w:num>
  <w:num w:numId="7" w16cid:durableId="496269277">
    <w:abstractNumId w:val="0"/>
  </w:num>
  <w:num w:numId="8" w16cid:durableId="1023020552">
    <w:abstractNumId w:val="19"/>
  </w:num>
  <w:num w:numId="9" w16cid:durableId="2123960922">
    <w:abstractNumId w:val="18"/>
  </w:num>
  <w:num w:numId="10" w16cid:durableId="215090743">
    <w:abstractNumId w:val="9"/>
  </w:num>
  <w:num w:numId="11" w16cid:durableId="1056123324">
    <w:abstractNumId w:val="14"/>
  </w:num>
  <w:num w:numId="12" w16cid:durableId="1800874080">
    <w:abstractNumId w:val="7"/>
  </w:num>
  <w:num w:numId="13" w16cid:durableId="1362124849">
    <w:abstractNumId w:val="11"/>
  </w:num>
  <w:num w:numId="14" w16cid:durableId="1766414890">
    <w:abstractNumId w:val="20"/>
  </w:num>
  <w:num w:numId="15" w16cid:durableId="852035122">
    <w:abstractNumId w:val="5"/>
  </w:num>
  <w:num w:numId="16" w16cid:durableId="861014375">
    <w:abstractNumId w:val="16"/>
  </w:num>
  <w:num w:numId="17" w16cid:durableId="1191718966">
    <w:abstractNumId w:val="4"/>
  </w:num>
  <w:num w:numId="18" w16cid:durableId="418605581">
    <w:abstractNumId w:val="12"/>
  </w:num>
  <w:num w:numId="19" w16cid:durableId="1757705610">
    <w:abstractNumId w:val="22"/>
  </w:num>
  <w:num w:numId="20" w16cid:durableId="1673294377">
    <w:abstractNumId w:val="3"/>
  </w:num>
  <w:num w:numId="21" w16cid:durableId="1461874887">
    <w:abstractNumId w:val="8"/>
  </w:num>
  <w:num w:numId="22" w16cid:durableId="1650019846">
    <w:abstractNumId w:val="10"/>
  </w:num>
  <w:num w:numId="23" w16cid:durableId="611784586">
    <w:abstractNumId w:val="1"/>
  </w:num>
  <w:num w:numId="24" w16cid:durableId="1876887946">
    <w:abstractNumId w:val="15"/>
  </w:num>
  <w:num w:numId="25" w16cid:durableId="6314485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51C50"/>
    <w:rsid w:val="000A78C1"/>
    <w:rsid w:val="00115E17"/>
    <w:rsid w:val="00146B68"/>
    <w:rsid w:val="00197038"/>
    <w:rsid w:val="001A795D"/>
    <w:rsid w:val="001E3812"/>
    <w:rsid w:val="002750C2"/>
    <w:rsid w:val="00280218"/>
    <w:rsid w:val="002E2660"/>
    <w:rsid w:val="002F7E36"/>
    <w:rsid w:val="00321A75"/>
    <w:rsid w:val="00377DF5"/>
    <w:rsid w:val="004F4CCF"/>
    <w:rsid w:val="00516BB0"/>
    <w:rsid w:val="00560DDB"/>
    <w:rsid w:val="005B561D"/>
    <w:rsid w:val="005C6705"/>
    <w:rsid w:val="005E3E8A"/>
    <w:rsid w:val="006428C2"/>
    <w:rsid w:val="006942C1"/>
    <w:rsid w:val="006D26AB"/>
    <w:rsid w:val="006F54C1"/>
    <w:rsid w:val="006F60A4"/>
    <w:rsid w:val="00703313"/>
    <w:rsid w:val="0087692F"/>
    <w:rsid w:val="009219BB"/>
    <w:rsid w:val="00977D7C"/>
    <w:rsid w:val="009F6533"/>
    <w:rsid w:val="00A27108"/>
    <w:rsid w:val="00A41218"/>
    <w:rsid w:val="00A41888"/>
    <w:rsid w:val="00A8004A"/>
    <w:rsid w:val="00AC6F40"/>
    <w:rsid w:val="00B77451"/>
    <w:rsid w:val="00BE519A"/>
    <w:rsid w:val="00C24AF8"/>
    <w:rsid w:val="00C41C65"/>
    <w:rsid w:val="00C74BE3"/>
    <w:rsid w:val="00CB4145"/>
    <w:rsid w:val="00CB7ABE"/>
    <w:rsid w:val="00CE16EF"/>
    <w:rsid w:val="00DC28AF"/>
    <w:rsid w:val="00DC786E"/>
    <w:rsid w:val="00E1705D"/>
    <w:rsid w:val="00E227FE"/>
    <w:rsid w:val="00E30215"/>
    <w:rsid w:val="00E46BC5"/>
    <w:rsid w:val="00EE7692"/>
    <w:rsid w:val="00FF467D"/>
    <w:rsid w:val="106BA871"/>
    <w:rsid w:val="222772B9"/>
    <w:rsid w:val="2255B7AC"/>
    <w:rsid w:val="3A146F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C5852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CE16EF"/>
    <w:pPr>
      <w:keepNext/>
      <w:keepLines/>
      <w:numPr>
        <w:numId w:val="1"/>
      </w:numPr>
      <w:tabs>
        <w:tab w:val="left" w:pos="993"/>
      </w:tabs>
      <w:spacing w:after="120" w:line="240" w:lineRule="auto"/>
      <w:ind w:left="567" w:right="0" w:hanging="567"/>
      <w:jc w:val="left"/>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A2710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710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7108"/>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6">
    <w:name w:val="heading 6"/>
    <w:basedOn w:val="Normal"/>
    <w:next w:val="Normal"/>
    <w:link w:val="Heading6Char"/>
    <w:uiPriority w:val="9"/>
    <w:semiHidden/>
    <w:unhideWhenUsed/>
    <w:qFormat/>
    <w:rsid w:val="006D26AB"/>
    <w:pPr>
      <w:keepNext/>
      <w:keepLines/>
      <w:spacing w:before="40" w:after="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16EF"/>
    <w:rPr>
      <w:rFonts w:ascii="Arial" w:hAnsi="Arial" w:eastAsiaTheme="majorEastAsia" w:cstheme="majorBidi"/>
      <w:b/>
      <w:bCs/>
      <w:color w:val="000000"/>
      <w:sz w:val="24"/>
      <w:szCs w:val="28"/>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TQACO" w:customStyle="1">
    <w:name w:val="T QACO"/>
    <w:basedOn w:val="Title"/>
    <w:link w:val="TQACOChar"/>
    <w:qFormat/>
    <w:rsid w:val="00A27108"/>
    <w:pPr>
      <w:tabs>
        <w:tab w:val="left" w:pos="992"/>
      </w:tabs>
      <w:spacing w:after="120"/>
      <w:ind w:left="1146" w:right="0"/>
      <w:jc w:val="left"/>
    </w:pPr>
    <w:rPr>
      <w:rFonts w:ascii="Arial" w:hAnsi="Arial"/>
      <w:sz w:val="32"/>
    </w:rPr>
  </w:style>
  <w:style w:type="paragraph" w:styleId="1QACO" w:customStyle="1">
    <w:name w:val="1 QACO"/>
    <w:basedOn w:val="Heading1"/>
    <w:next w:val="Normal"/>
    <w:link w:val="1QACOChar"/>
    <w:autoRedefine/>
    <w:qFormat/>
    <w:rsid w:val="00A27108"/>
    <w:pPr>
      <w:tabs>
        <w:tab w:val="clear" w:pos="993"/>
        <w:tab w:val="left" w:pos="992"/>
      </w:tabs>
      <w:ind w:left="851"/>
      <w:outlineLvl w:val="9"/>
    </w:pPr>
    <w:rPr>
      <w:b w:val="0"/>
    </w:rPr>
  </w:style>
  <w:style w:type="character" w:styleId="TQACOChar" w:customStyle="1">
    <w:name w:val="T QACO Char"/>
    <w:basedOn w:val="DefaultParagraphFont"/>
    <w:link w:val="TQACO"/>
    <w:rsid w:val="00A27108"/>
    <w:rPr>
      <w:rFonts w:ascii="Arial" w:hAnsi="Arial" w:eastAsiaTheme="majorEastAsia" w:cstheme="majorBidi"/>
      <w:spacing w:val="-10"/>
      <w:kern w:val="28"/>
      <w:sz w:val="32"/>
      <w:szCs w:val="56"/>
      <w:lang w:eastAsia="en-GB"/>
    </w:rPr>
  </w:style>
  <w:style w:type="paragraph" w:styleId="Title">
    <w:name w:val="Title"/>
    <w:basedOn w:val="Normal"/>
    <w:next w:val="Normal"/>
    <w:link w:val="TitleChar"/>
    <w:uiPriority w:val="10"/>
    <w:qFormat/>
    <w:rsid w:val="00A27108"/>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A27108"/>
    <w:rPr>
      <w:rFonts w:asciiTheme="majorHAnsi" w:hAnsiTheme="majorHAnsi" w:eastAsiaTheme="majorEastAsia" w:cstheme="majorBidi"/>
      <w:spacing w:val="-10"/>
      <w:kern w:val="28"/>
      <w:sz w:val="56"/>
      <w:szCs w:val="56"/>
      <w:lang w:eastAsia="en-GB"/>
    </w:rPr>
  </w:style>
  <w:style w:type="paragraph" w:styleId="21QACO" w:customStyle="1">
    <w:name w:val="2.1 QACO"/>
    <w:basedOn w:val="Heading2"/>
    <w:next w:val="Normal"/>
    <w:link w:val="21QACOChar"/>
    <w:qFormat/>
    <w:rsid w:val="00A27108"/>
    <w:pPr>
      <w:spacing w:before="0" w:after="120" w:line="240" w:lineRule="auto"/>
      <w:ind w:left="284" w:right="0" w:firstLine="0"/>
      <w:jc w:val="left"/>
      <w:outlineLvl w:val="9"/>
    </w:pPr>
    <w:rPr>
      <w:rFonts w:ascii="Arial" w:hAnsi="Arial"/>
      <w:color w:val="auto"/>
      <w:sz w:val="24"/>
    </w:rPr>
  </w:style>
  <w:style w:type="character" w:styleId="1QACOChar" w:customStyle="1">
    <w:name w:val="1 QACO Char"/>
    <w:basedOn w:val="DefaultParagraphFont"/>
    <w:link w:val="1QACO"/>
    <w:rsid w:val="00A27108"/>
    <w:rPr>
      <w:rFonts w:ascii="Arial" w:hAnsi="Arial" w:eastAsiaTheme="majorEastAsia" w:cstheme="majorBidi"/>
      <w:color w:val="000000"/>
      <w:sz w:val="28"/>
      <w:szCs w:val="32"/>
      <w:lang w:eastAsia="en-GB"/>
    </w:rPr>
  </w:style>
  <w:style w:type="paragraph" w:styleId="311QACO" w:customStyle="1">
    <w:name w:val="3.1.1 QACO"/>
    <w:basedOn w:val="Heading3"/>
    <w:next w:val="Normal"/>
    <w:link w:val="311QACOChar"/>
    <w:qFormat/>
    <w:rsid w:val="00A27108"/>
    <w:pPr>
      <w:spacing w:before="0" w:after="120" w:line="240" w:lineRule="auto"/>
      <w:ind w:left="284" w:right="0" w:firstLine="0"/>
      <w:jc w:val="left"/>
      <w:outlineLvl w:val="9"/>
    </w:pPr>
    <w:rPr>
      <w:rFonts w:ascii="Arial" w:hAnsi="Arial"/>
      <w:color w:val="auto"/>
    </w:rPr>
  </w:style>
  <w:style w:type="character" w:styleId="21QACOChar" w:customStyle="1">
    <w:name w:val="2.1 QACO Char"/>
    <w:basedOn w:val="DefaultParagraphFont"/>
    <w:link w:val="21QACO"/>
    <w:rsid w:val="00A27108"/>
    <w:rPr>
      <w:rFonts w:ascii="Arial" w:hAnsi="Arial" w:eastAsiaTheme="majorEastAsia" w:cstheme="majorBidi"/>
      <w:sz w:val="24"/>
      <w:szCs w:val="26"/>
      <w:lang w:eastAsia="en-GB"/>
    </w:rPr>
  </w:style>
  <w:style w:type="character" w:styleId="Heading2Char" w:customStyle="1">
    <w:name w:val="Heading 2 Char"/>
    <w:basedOn w:val="DefaultParagraphFont"/>
    <w:link w:val="Heading2"/>
    <w:uiPriority w:val="9"/>
    <w:semiHidden/>
    <w:rsid w:val="00A27108"/>
    <w:rPr>
      <w:rFonts w:asciiTheme="majorHAnsi" w:hAnsiTheme="majorHAnsi" w:eastAsiaTheme="majorEastAsia" w:cstheme="majorBidi"/>
      <w:color w:val="2E74B5" w:themeColor="accent1" w:themeShade="BF"/>
      <w:sz w:val="26"/>
      <w:szCs w:val="26"/>
      <w:lang w:eastAsia="en-GB"/>
    </w:rPr>
  </w:style>
  <w:style w:type="paragraph" w:styleId="4111QACO" w:customStyle="1">
    <w:name w:val="4.1.1.1 QACO"/>
    <w:basedOn w:val="Heading4"/>
    <w:next w:val="Normal"/>
    <w:link w:val="4111QACOChar"/>
    <w:qFormat/>
    <w:rsid w:val="004F4CCF"/>
    <w:pPr>
      <w:tabs>
        <w:tab w:val="left" w:pos="992"/>
      </w:tabs>
      <w:spacing w:before="0" w:after="120" w:line="240" w:lineRule="auto"/>
      <w:ind w:left="284" w:right="0" w:firstLine="0"/>
      <w:jc w:val="left"/>
      <w:outlineLvl w:val="9"/>
    </w:pPr>
    <w:rPr>
      <w:rFonts w:ascii="Arial" w:hAnsi="Arial"/>
      <w:i w:val="0"/>
      <w:color w:val="auto"/>
      <w:sz w:val="24"/>
    </w:rPr>
  </w:style>
  <w:style w:type="character" w:styleId="311QACOChar" w:customStyle="1">
    <w:name w:val="3.1.1 QACO Char"/>
    <w:basedOn w:val="DefaultParagraphFont"/>
    <w:link w:val="311QACO"/>
    <w:rsid w:val="00A27108"/>
    <w:rPr>
      <w:rFonts w:ascii="Arial" w:hAnsi="Arial" w:eastAsiaTheme="majorEastAsia" w:cstheme="majorBidi"/>
      <w:sz w:val="24"/>
      <w:szCs w:val="24"/>
      <w:lang w:eastAsia="en-GB"/>
    </w:rPr>
  </w:style>
  <w:style w:type="character" w:styleId="Heading3Char" w:customStyle="1">
    <w:name w:val="Heading 3 Char"/>
    <w:basedOn w:val="DefaultParagraphFont"/>
    <w:link w:val="Heading3"/>
    <w:uiPriority w:val="9"/>
    <w:semiHidden/>
    <w:rsid w:val="00A27108"/>
    <w:rPr>
      <w:rFonts w:asciiTheme="majorHAnsi" w:hAnsiTheme="majorHAnsi" w:eastAsiaTheme="majorEastAsia" w:cstheme="majorBidi"/>
      <w:color w:val="1F4D78" w:themeColor="accent1" w:themeShade="7F"/>
      <w:sz w:val="24"/>
      <w:szCs w:val="24"/>
      <w:lang w:eastAsia="en-GB"/>
    </w:rPr>
  </w:style>
  <w:style w:type="character" w:styleId="4111QACOChar" w:customStyle="1">
    <w:name w:val="4.1.1.1 QACO Char"/>
    <w:basedOn w:val="DefaultParagraphFont"/>
    <w:link w:val="4111QACO"/>
    <w:rsid w:val="004F4CCF"/>
    <w:rPr>
      <w:rFonts w:ascii="Arial" w:hAnsi="Arial" w:eastAsiaTheme="majorEastAsia" w:cstheme="majorBidi"/>
      <w:iCs/>
      <w:sz w:val="24"/>
      <w:lang w:eastAsia="en-GB"/>
    </w:rPr>
  </w:style>
  <w:style w:type="character" w:styleId="Heading4Char" w:customStyle="1">
    <w:name w:val="Heading 4 Char"/>
    <w:basedOn w:val="DefaultParagraphFont"/>
    <w:link w:val="Heading4"/>
    <w:uiPriority w:val="9"/>
    <w:semiHidden/>
    <w:rsid w:val="00A27108"/>
    <w:rPr>
      <w:rFonts w:asciiTheme="majorHAnsi" w:hAnsiTheme="majorHAnsi" w:eastAsiaTheme="majorEastAsia" w:cstheme="majorBidi"/>
      <w:i/>
      <w:iCs/>
      <w:color w:val="2E74B5" w:themeColor="accent1" w:themeShade="BF"/>
      <w:lang w:eastAsia="en-GB"/>
    </w:rPr>
  </w:style>
  <w:style w:type="character" w:styleId="Heading6Char" w:customStyle="1">
    <w:name w:val="Heading 6 Char"/>
    <w:basedOn w:val="DefaultParagraphFont"/>
    <w:link w:val="Heading6"/>
    <w:uiPriority w:val="9"/>
    <w:semiHidden/>
    <w:rsid w:val="006D26AB"/>
    <w:rPr>
      <w:rFonts w:asciiTheme="majorHAnsi" w:hAnsiTheme="majorHAnsi" w:eastAsiaTheme="majorEastAsia" w:cstheme="majorBidi"/>
      <w:color w:val="1F4D78" w:themeColor="accent1" w:themeShade="7F"/>
      <w:lang w:eastAsia="en-GB"/>
    </w:rPr>
  </w:style>
  <w:style w:type="paragraph" w:styleId="Blockquote" w:customStyle="1">
    <w:name w:val="Blockquote"/>
    <w:basedOn w:val="Normal"/>
    <w:rsid w:val="006D26AB"/>
    <w:pPr>
      <w:spacing w:before="100" w:after="100" w:line="240" w:lineRule="auto"/>
      <w:ind w:left="360" w:right="360" w:firstLine="0"/>
      <w:jc w:val="left"/>
    </w:pPr>
    <w:rPr>
      <w:rFonts w:ascii="Times New Roman" w:hAnsi="Times New Roman" w:eastAsia="Times New Roman" w:cs="Times New Roman"/>
      <w:snapToGrid w:val="0"/>
      <w:color w:val="auto"/>
      <w:sz w:val="24"/>
      <w:szCs w:val="20"/>
      <w:lang w:eastAsia="en-US"/>
    </w:rPr>
  </w:style>
  <w:style w:type="paragraph" w:styleId="H3" w:customStyle="1">
    <w:name w:val="H3"/>
    <w:basedOn w:val="Normal"/>
    <w:next w:val="Normal"/>
    <w:rsid w:val="006D26AB"/>
    <w:pPr>
      <w:keepNext/>
      <w:spacing w:before="100" w:after="100" w:line="240" w:lineRule="auto"/>
      <w:ind w:left="0" w:right="0" w:firstLine="0"/>
      <w:jc w:val="left"/>
      <w:outlineLvl w:val="3"/>
    </w:pPr>
    <w:rPr>
      <w:rFonts w:ascii="Times New Roman" w:hAnsi="Times New Roman" w:eastAsia="Times New Roman" w:cs="Times New Roman"/>
      <w:b/>
      <w:snapToGrid w:val="0"/>
      <w:color w:val="auto"/>
      <w:sz w:val="28"/>
      <w:szCs w:val="20"/>
      <w:lang w:eastAsia="en-US"/>
    </w:rPr>
  </w:style>
  <w:style w:type="paragraph" w:styleId="ListParagraph">
    <w:name w:val="List Paragraph"/>
    <w:basedOn w:val="Normal"/>
    <w:uiPriority w:val="34"/>
    <w:qFormat/>
    <w:rsid w:val="006D26AB"/>
    <w:pPr>
      <w:spacing w:after="0" w:line="240" w:lineRule="auto"/>
      <w:ind w:left="720" w:right="0" w:firstLine="0"/>
      <w:contextualSpacing/>
      <w:jc w:val="left"/>
    </w:pPr>
    <w:rPr>
      <w:rFonts w:ascii="Times New Roman" w:hAnsi="Times New Roman" w:eastAsia="Calibri" w:cs="Times New Roman"/>
      <w:color w:val="auto"/>
      <w:sz w:val="24"/>
      <w:szCs w:val="24"/>
      <w:lang w:val="en-US" w:eastAsia="en-US"/>
    </w:rPr>
  </w:style>
  <w:style w:type="paragraph" w:styleId="FootnoteText">
    <w:name w:val="footnote text"/>
    <w:basedOn w:val="Normal"/>
    <w:link w:val="FootnoteTextChar"/>
    <w:uiPriority w:val="99"/>
    <w:semiHidden/>
    <w:unhideWhenUsed/>
    <w:rsid w:val="006D26AB"/>
    <w:pPr>
      <w:spacing w:after="0" w:line="240" w:lineRule="auto"/>
      <w:ind w:left="0" w:right="0" w:firstLine="0"/>
      <w:jc w:val="left"/>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uiPriority w:val="99"/>
    <w:semiHidden/>
    <w:rsid w:val="006D26AB"/>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6D26AB"/>
    <w:rPr>
      <w:vertAlign w:val="superscript"/>
    </w:rPr>
  </w:style>
  <w:style w:type="character" w:styleId="UnresolvedMention1" w:customStyle="1">
    <w:name w:val="Unresolved Mention1"/>
    <w:basedOn w:val="DefaultParagraphFont"/>
    <w:uiPriority w:val="99"/>
    <w:semiHidden/>
    <w:unhideWhenUsed/>
    <w:rsid w:val="009219BB"/>
    <w:rPr>
      <w:color w:val="605E5C"/>
      <w:shd w:val="clear" w:color="auto" w:fill="E1DFDD"/>
    </w:rPr>
  </w:style>
  <w:style w:type="paragraph" w:styleId="TOCHeading">
    <w:name w:val="TOC Heading"/>
    <w:basedOn w:val="Heading1"/>
    <w:next w:val="Normal"/>
    <w:uiPriority w:val="39"/>
    <w:unhideWhenUsed/>
    <w:qFormat/>
    <w:rsid w:val="005C6705"/>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197038"/>
    <w:pPr>
      <w:tabs>
        <w:tab w:val="right" w:leader="dot" w:pos="9016"/>
      </w:tabs>
      <w:spacing w:after="100"/>
      <w:ind w:left="0"/>
    </w:pPr>
  </w:style>
  <w:style w:type="character" w:styleId="UnresolvedMention">
    <w:name w:val="Unresolved Mention"/>
    <w:basedOn w:val="DefaultParagraphFont"/>
    <w:uiPriority w:val="99"/>
    <w:semiHidden/>
    <w:unhideWhenUsed/>
    <w:rsid w:val="00DC2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odes-of-practice-for-taught-courses" TargetMode="External" Id="rId13" /><Relationship Type="http://schemas.openxmlformats.org/officeDocument/2006/relationships/hyperlink" Target="https://www.kent.ac.uk/education/regulatory-framework/credit-framewor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hyperlink" Target="https://www.kent.ac.uk/education/documents/policies-procedures-examination-guidance/qa-retention-archiving-policy.docx" TargetMode="External" Id="rId1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hyperlink" Target="https://www.kent.ac.uk/education/regulatory-framework/credit-framework"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redit-framework" TargetMode="External" Id="rId14" /><Relationship Type="http://schemas.openxmlformats.org/officeDocument/2006/relationships/theme" Target="theme/theme1.xml" Id="rId22" /><Relationship Type="http://schemas.openxmlformats.org/officeDocument/2006/relationships/hyperlink" Target="https://www.kent.ac.uk/education/regulatory-framework/policies-and-procedures-examinations-guidance/policies" TargetMode="External" Id="R6e8d4c6a6d774430" /><Relationship Type="http://schemas.openxmlformats.org/officeDocument/2006/relationships/hyperlink" Target="https://www.kent.ac.uk/education/regulatory-framework/policies-and-procedures-examinations-guidance/policies" TargetMode="External" Id="R782d0993c15b47f3" /></Relationships>
</file>

<file path=word/_rels/footnotes.xml.rels><?xml version="1.0" encoding="UTF-8" standalone="yes"?>
<Relationships xmlns="http://schemas.openxmlformats.org/package/2006/relationships"><Relationship Id="rId1" Type="http://schemas.openxmlformats.org/officeDocument/2006/relationships/hyperlink" Target="https://www.kent.ac.uk/education/documents/policies-procedures-examination-guidance/qa-retention-archiving-policy.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9FCF-22A4-4092-83A1-15573E63F642}">
  <ds:schemaRefs>
    <ds:schemaRef ds:uri="http://schemas.microsoft.com/sharepoint/v3/contenttype/forms"/>
  </ds:schemaRefs>
</ds:datastoreItem>
</file>

<file path=customXml/itemProps2.xml><?xml version="1.0" encoding="utf-8"?>
<ds:datastoreItem xmlns:ds="http://schemas.openxmlformats.org/officeDocument/2006/customXml" ds:itemID="{F4FDB402-5914-4DEA-B218-AE00C461DF0F}"/>
</file>

<file path=customXml/itemProps3.xml><?xml version="1.0" encoding="utf-8"?>
<ds:datastoreItem xmlns:ds="http://schemas.openxmlformats.org/officeDocument/2006/customXml" ds:itemID="{33BB07E4-33C7-4326-8022-3ECB9D380EE3}">
  <ds:schemaRefs>
    <ds:schemaRef ds:uri="http://schemas.microsoft.com/office/2006/metadata/properties"/>
    <ds:schemaRef ds:uri="72950014-329e-4a27-bc61-1434010e9bc4"/>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8b17af1-5e59-4af2-a04a-b30e1df0a2aa"/>
    <ds:schemaRef ds:uri="http://www.w3.org/XML/1998/namespace"/>
    <ds:schemaRef ds:uri="http://purl.org/dc/dcmitype/"/>
    <ds:schemaRef ds:uri="4844a565-d903-479b-8f5d-e7c9db0d7e7d"/>
  </ds:schemaRefs>
</ds:datastoreItem>
</file>

<file path=customXml/itemProps4.xml><?xml version="1.0" encoding="utf-8"?>
<ds:datastoreItem xmlns:ds="http://schemas.openxmlformats.org/officeDocument/2006/customXml" ds:itemID="{1E706B9E-EA8B-476B-9596-630F2DF91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16</cp:revision>
  <dcterms:created xsi:type="dcterms:W3CDTF">2021-09-24T13:26:00Z</dcterms:created>
  <dcterms:modified xsi:type="dcterms:W3CDTF">2023-11-10T10:49:04Z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