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BC4" w:rsidP="00F42BC4" w:rsidRDefault="00F42BC4" w14:paraId="43E5467C" w14:textId="77777777">
      <w:pPr>
        <w:spacing w:after="120" w:line="240" w:lineRule="auto"/>
        <w:ind w:right="238"/>
        <w:jc w:val="left"/>
        <w:rPr>
          <w:b/>
          <w:sz w:val="32"/>
          <w:szCs w:val="32"/>
        </w:rPr>
      </w:pPr>
      <w:r>
        <w:rPr>
          <w:b/>
          <w:sz w:val="32"/>
          <w:szCs w:val="32"/>
        </w:rPr>
        <w:t>Annex C</w:t>
      </w:r>
    </w:p>
    <w:p w:rsidRPr="00F42BC4" w:rsidR="008852EB" w:rsidP="00F42BC4" w:rsidRDefault="008852EB" w14:paraId="4DCDCBA7" w14:textId="77777777">
      <w:pPr>
        <w:spacing w:after="120" w:line="240" w:lineRule="auto"/>
        <w:ind w:left="0" w:right="238" w:firstLine="0"/>
        <w:jc w:val="left"/>
        <w:rPr>
          <w:b/>
          <w:sz w:val="32"/>
          <w:szCs w:val="32"/>
        </w:rPr>
      </w:pPr>
      <w:r w:rsidRPr="00F42BC4">
        <w:rPr>
          <w:b/>
          <w:sz w:val="32"/>
          <w:szCs w:val="32"/>
        </w:rPr>
        <w:t>Appendix J</w:t>
      </w:r>
      <w:r w:rsidR="00F42BC4">
        <w:rPr>
          <w:b/>
          <w:sz w:val="32"/>
          <w:szCs w:val="32"/>
        </w:rPr>
        <w:t xml:space="preserve">: </w:t>
      </w:r>
      <w:r w:rsidRPr="00F42BC4">
        <w:rPr>
          <w:b/>
          <w:sz w:val="32"/>
          <w:szCs w:val="32"/>
        </w:rPr>
        <w:t>Business Case Committee – Terms of Reference</w:t>
      </w:r>
    </w:p>
    <w:p w:rsidRPr="001D478D" w:rsidR="008852EB" w:rsidP="008852EB" w:rsidRDefault="008852EB" w14:paraId="6B0A9FE1" w14:textId="77777777">
      <w:pPr>
        <w:ind w:right="237"/>
        <w:rPr>
          <w:sz w:val="24"/>
        </w:rPr>
      </w:pPr>
    </w:p>
    <w:p w:rsidRPr="001D478D" w:rsidR="008852EB" w:rsidP="00F42BC4" w:rsidRDefault="008852EB" w14:paraId="11A46F41" w14:textId="77777777">
      <w:pPr>
        <w:pStyle w:val="Heading1"/>
        <w:numPr>
          <w:ilvl w:val="0"/>
          <w:numId w:val="0"/>
        </w:numPr>
        <w:ind w:left="567" w:hanging="567"/>
      </w:pPr>
      <w:r w:rsidRPr="001D478D">
        <w:t xml:space="preserve">The Business Case </w:t>
      </w:r>
      <w:r w:rsidRPr="00F42BC4">
        <w:t>Committee</w:t>
      </w:r>
      <w:r w:rsidRPr="001D478D">
        <w:t xml:space="preserve"> will:</w:t>
      </w:r>
    </w:p>
    <w:p w:rsidRPr="001D478D" w:rsidR="008852EB" w:rsidP="00F42BC4" w:rsidRDefault="008852EB" w14:paraId="6C4CD578" w14:textId="77777777">
      <w:pPr>
        <w:pStyle w:val="ListParagraph"/>
        <w:numPr>
          <w:ilvl w:val="0"/>
          <w:numId w:val="3"/>
        </w:numPr>
        <w:ind w:left="567" w:right="237" w:hanging="567"/>
        <w:rPr>
          <w:rFonts w:ascii="Arial" w:hAnsi="Arial" w:cs="Arial"/>
          <w:sz w:val="24"/>
        </w:rPr>
      </w:pPr>
      <w:r w:rsidRPr="001D478D">
        <w:rPr>
          <w:rFonts w:ascii="Arial" w:hAnsi="Arial" w:cs="Arial"/>
          <w:sz w:val="24"/>
        </w:rPr>
        <w:t>Consider submissions from Schools</w:t>
      </w:r>
      <w:r w:rsidR="00F42BC4">
        <w:rPr>
          <w:rFonts w:ascii="Arial" w:hAnsi="Arial" w:cs="Arial"/>
          <w:sz w:val="24"/>
        </w:rPr>
        <w:t>/Divisions</w:t>
      </w:r>
      <w:r w:rsidRPr="001D478D">
        <w:rPr>
          <w:rFonts w:ascii="Arial" w:hAnsi="Arial" w:cs="Arial"/>
          <w:sz w:val="24"/>
        </w:rPr>
        <w:t xml:space="preserve"> setting out the business case for undertaking the development of a new </w:t>
      </w:r>
      <w:r>
        <w:rPr>
          <w:rFonts w:ascii="Arial" w:hAnsi="Arial" w:cs="Arial"/>
          <w:sz w:val="24"/>
        </w:rPr>
        <w:t>course</w:t>
      </w:r>
      <w:r w:rsidRPr="001D478D">
        <w:rPr>
          <w:rFonts w:ascii="Arial" w:hAnsi="Arial" w:cs="Arial"/>
          <w:sz w:val="24"/>
        </w:rPr>
        <w:t xml:space="preserve"> or </w:t>
      </w:r>
      <w:r>
        <w:rPr>
          <w:rFonts w:ascii="Arial" w:hAnsi="Arial" w:cs="Arial"/>
          <w:sz w:val="24"/>
        </w:rPr>
        <w:t>course</w:t>
      </w:r>
      <w:r w:rsidRPr="001D478D">
        <w:rPr>
          <w:rFonts w:ascii="Arial" w:hAnsi="Arial" w:cs="Arial"/>
          <w:sz w:val="24"/>
        </w:rPr>
        <w:t>s of study</w:t>
      </w:r>
      <w:r w:rsidR="00F42BC4">
        <w:rPr>
          <w:rFonts w:ascii="Arial" w:hAnsi="Arial" w:cs="Arial"/>
          <w:sz w:val="24"/>
        </w:rPr>
        <w:t>.</w:t>
      </w:r>
    </w:p>
    <w:p w:rsidRPr="001D478D" w:rsidR="008852EB" w:rsidP="00F42BC4" w:rsidRDefault="008852EB" w14:paraId="5AA65A06" w14:textId="77777777">
      <w:pPr>
        <w:pStyle w:val="ListParagraph"/>
        <w:ind w:left="567" w:right="237" w:hanging="567"/>
        <w:rPr>
          <w:rFonts w:ascii="Arial" w:hAnsi="Arial" w:cs="Arial"/>
          <w:sz w:val="24"/>
        </w:rPr>
      </w:pPr>
    </w:p>
    <w:p w:rsidRPr="001D478D" w:rsidR="008852EB" w:rsidP="00F42BC4" w:rsidRDefault="008852EB" w14:paraId="3AD874B7" w14:textId="77777777">
      <w:pPr>
        <w:pStyle w:val="ListParagraph"/>
        <w:numPr>
          <w:ilvl w:val="0"/>
          <w:numId w:val="3"/>
        </w:numPr>
        <w:ind w:left="567" w:right="237" w:hanging="567"/>
        <w:rPr>
          <w:rFonts w:ascii="Arial" w:hAnsi="Arial" w:cs="Arial"/>
          <w:sz w:val="24"/>
        </w:rPr>
      </w:pPr>
      <w:r w:rsidRPr="001D478D">
        <w:rPr>
          <w:rFonts w:ascii="Arial" w:hAnsi="Arial" w:cs="Arial"/>
          <w:sz w:val="24"/>
        </w:rPr>
        <w:t xml:space="preserve">Only consider submissions made </w:t>
      </w:r>
      <w:r w:rsidR="00F42BC4">
        <w:rPr>
          <w:rFonts w:ascii="Arial" w:hAnsi="Arial" w:cs="Arial"/>
          <w:sz w:val="24"/>
        </w:rPr>
        <w:t>via the Business Case Template.</w:t>
      </w:r>
    </w:p>
    <w:p w:rsidRPr="001D478D" w:rsidR="008852EB" w:rsidP="00F42BC4" w:rsidRDefault="008852EB" w14:paraId="1D0276D6" w14:textId="77777777">
      <w:pPr>
        <w:pStyle w:val="ListParagraph"/>
        <w:ind w:left="567" w:right="237" w:hanging="567"/>
        <w:rPr>
          <w:rFonts w:ascii="Arial" w:hAnsi="Arial" w:cs="Arial"/>
          <w:sz w:val="24"/>
        </w:rPr>
      </w:pPr>
    </w:p>
    <w:p w:rsidRPr="001D478D" w:rsidR="008852EB" w:rsidP="00F42BC4" w:rsidRDefault="008852EB" w14:paraId="0295A7DE" w14:textId="77777777">
      <w:pPr>
        <w:pStyle w:val="ListParagraph"/>
        <w:numPr>
          <w:ilvl w:val="0"/>
          <w:numId w:val="3"/>
        </w:numPr>
        <w:ind w:left="567" w:right="237" w:hanging="567"/>
        <w:rPr>
          <w:rFonts w:ascii="Arial" w:hAnsi="Arial" w:cs="Arial"/>
          <w:sz w:val="24"/>
        </w:rPr>
      </w:pPr>
      <w:r w:rsidRPr="001D478D">
        <w:rPr>
          <w:rFonts w:ascii="Arial" w:hAnsi="Arial" w:cs="Arial"/>
          <w:sz w:val="24"/>
        </w:rPr>
        <w:t xml:space="preserve">Where it considers it has sufficient information on which to base a </w:t>
      </w:r>
      <w:r w:rsidR="00F42BC4">
        <w:rPr>
          <w:rFonts w:ascii="Arial" w:hAnsi="Arial" w:cs="Arial"/>
          <w:sz w:val="24"/>
        </w:rPr>
        <w:t xml:space="preserve">decision, it will determine whether or </w:t>
      </w:r>
      <w:r w:rsidRPr="001D478D">
        <w:rPr>
          <w:rFonts w:ascii="Arial" w:hAnsi="Arial" w:cs="Arial"/>
          <w:sz w:val="24"/>
        </w:rPr>
        <w:t>not a proposal should be allowed to proceed to the School/</w:t>
      </w:r>
      <w:r>
        <w:rPr>
          <w:rFonts w:ascii="Arial" w:hAnsi="Arial" w:cs="Arial"/>
          <w:sz w:val="24"/>
        </w:rPr>
        <w:t>Divisional</w:t>
      </w:r>
      <w:r w:rsidRPr="001D478D">
        <w:rPr>
          <w:rFonts w:ascii="Arial" w:hAnsi="Arial" w:cs="Arial"/>
          <w:sz w:val="24"/>
        </w:rPr>
        <w:t xml:space="preserve"> stage of the </w:t>
      </w:r>
      <w:r>
        <w:rPr>
          <w:rFonts w:ascii="Arial" w:hAnsi="Arial" w:cs="Arial"/>
          <w:sz w:val="24"/>
        </w:rPr>
        <w:t>course</w:t>
      </w:r>
      <w:r w:rsidRPr="001D478D">
        <w:rPr>
          <w:rFonts w:ascii="Arial" w:hAnsi="Arial" w:cs="Arial"/>
          <w:sz w:val="24"/>
        </w:rPr>
        <w:t xml:space="preserve"> approval procedure and be developed in </w:t>
      </w:r>
      <w:proofErr w:type="gramStart"/>
      <w:r w:rsidRPr="001D478D">
        <w:rPr>
          <w:rFonts w:ascii="Arial" w:hAnsi="Arial" w:cs="Arial"/>
          <w:sz w:val="24"/>
        </w:rPr>
        <w:t>full</w:t>
      </w:r>
      <w:r w:rsidR="00F42BC4">
        <w:rPr>
          <w:rFonts w:ascii="Arial" w:hAnsi="Arial" w:cs="Arial"/>
          <w:sz w:val="24"/>
        </w:rPr>
        <w:t>, or</w:t>
      </w:r>
      <w:proofErr w:type="gramEnd"/>
      <w:r w:rsidR="00F42BC4">
        <w:rPr>
          <w:rFonts w:ascii="Arial" w:hAnsi="Arial" w:cs="Arial"/>
          <w:sz w:val="24"/>
        </w:rPr>
        <w:t xml:space="preserve"> be rejected.</w:t>
      </w:r>
    </w:p>
    <w:p w:rsidRPr="001D478D" w:rsidR="008852EB" w:rsidP="00F42BC4" w:rsidRDefault="008852EB" w14:paraId="4255A4FF" w14:textId="77777777">
      <w:pPr>
        <w:pStyle w:val="ListParagraph"/>
        <w:ind w:left="567" w:right="237" w:hanging="567"/>
        <w:rPr>
          <w:rFonts w:ascii="Arial" w:hAnsi="Arial" w:cs="Arial"/>
          <w:sz w:val="24"/>
        </w:rPr>
      </w:pPr>
    </w:p>
    <w:p w:rsidRPr="001D478D" w:rsidR="008852EB" w:rsidP="00F42BC4" w:rsidRDefault="008852EB" w14:paraId="6AA7B110" w14:textId="77777777">
      <w:pPr>
        <w:pStyle w:val="ListParagraph"/>
        <w:numPr>
          <w:ilvl w:val="0"/>
          <w:numId w:val="3"/>
        </w:numPr>
        <w:ind w:left="567" w:right="237" w:hanging="567"/>
        <w:rPr>
          <w:rFonts w:ascii="Arial" w:hAnsi="Arial" w:cs="Arial"/>
          <w:sz w:val="24"/>
        </w:rPr>
      </w:pPr>
      <w:r w:rsidRPr="001D478D">
        <w:rPr>
          <w:rFonts w:ascii="Arial" w:hAnsi="Arial" w:cs="Arial"/>
          <w:sz w:val="24"/>
        </w:rPr>
        <w:t xml:space="preserve">Where it considers it has insufficient information on which to base a decision, </w:t>
      </w:r>
      <w:r w:rsidR="00F42BC4">
        <w:rPr>
          <w:rFonts w:ascii="Arial" w:hAnsi="Arial" w:cs="Arial"/>
          <w:sz w:val="24"/>
        </w:rPr>
        <w:t xml:space="preserve">it will </w:t>
      </w:r>
      <w:r w:rsidRPr="001D478D">
        <w:rPr>
          <w:rFonts w:ascii="Arial" w:hAnsi="Arial" w:cs="Arial"/>
          <w:sz w:val="24"/>
        </w:rPr>
        <w:t>refer the proposal back to the School</w:t>
      </w:r>
      <w:r w:rsidR="00F42BC4">
        <w:rPr>
          <w:rFonts w:ascii="Arial" w:hAnsi="Arial" w:cs="Arial"/>
          <w:sz w:val="24"/>
        </w:rPr>
        <w:t>/Division</w:t>
      </w:r>
      <w:r w:rsidRPr="001D478D">
        <w:rPr>
          <w:rFonts w:ascii="Arial" w:hAnsi="Arial" w:cs="Arial"/>
          <w:sz w:val="24"/>
        </w:rPr>
        <w:t xml:space="preserve"> for furthe</w:t>
      </w:r>
      <w:r w:rsidR="00F42BC4">
        <w:rPr>
          <w:rFonts w:ascii="Arial" w:hAnsi="Arial" w:cs="Arial"/>
          <w:sz w:val="24"/>
        </w:rPr>
        <w:t>r development in specific areas.</w:t>
      </w:r>
    </w:p>
    <w:p w:rsidRPr="001D478D" w:rsidR="008852EB" w:rsidP="00F42BC4" w:rsidRDefault="008852EB" w14:paraId="3E40AF45" w14:textId="77777777">
      <w:pPr>
        <w:pStyle w:val="ListParagraph"/>
        <w:ind w:left="567" w:right="237" w:hanging="567"/>
        <w:rPr>
          <w:rFonts w:ascii="Arial" w:hAnsi="Arial" w:cs="Arial"/>
          <w:sz w:val="24"/>
        </w:rPr>
      </w:pPr>
    </w:p>
    <w:p w:rsidRPr="001D478D" w:rsidR="008852EB" w:rsidP="00F42BC4" w:rsidRDefault="008852EB" w14:paraId="5290B897" w14:textId="77777777">
      <w:pPr>
        <w:pStyle w:val="ListParagraph"/>
        <w:numPr>
          <w:ilvl w:val="0"/>
          <w:numId w:val="3"/>
        </w:numPr>
        <w:ind w:left="567" w:right="237" w:hanging="567"/>
        <w:rPr>
          <w:rFonts w:ascii="Arial" w:hAnsi="Arial" w:cs="Arial"/>
          <w:sz w:val="24"/>
        </w:rPr>
      </w:pPr>
      <w:r w:rsidRPr="001D478D">
        <w:rPr>
          <w:rFonts w:ascii="Arial" w:hAnsi="Arial" w:cs="Arial"/>
          <w:sz w:val="24"/>
        </w:rPr>
        <w:t xml:space="preserve">Where it considers that the proposal should be considered first by the Executive Group (EG), for example, in such cases where the proposal would require the provision of unallocated significant new resource, </w:t>
      </w:r>
      <w:r w:rsidR="00F42BC4">
        <w:rPr>
          <w:rFonts w:ascii="Arial" w:hAnsi="Arial" w:cs="Arial"/>
          <w:sz w:val="24"/>
        </w:rPr>
        <w:t xml:space="preserve">it will </w:t>
      </w:r>
      <w:r w:rsidRPr="001D478D">
        <w:rPr>
          <w:rFonts w:ascii="Arial" w:hAnsi="Arial" w:cs="Arial"/>
          <w:sz w:val="24"/>
        </w:rPr>
        <w:t>refer the proposal to</w:t>
      </w:r>
      <w:r w:rsidR="00F42BC4">
        <w:rPr>
          <w:rFonts w:ascii="Arial" w:hAnsi="Arial" w:cs="Arial"/>
          <w:sz w:val="24"/>
        </w:rPr>
        <w:t xml:space="preserve"> EG for its prior consideration.</w:t>
      </w:r>
    </w:p>
    <w:p w:rsidRPr="001D478D" w:rsidR="008852EB" w:rsidP="00F42BC4" w:rsidRDefault="008852EB" w14:paraId="1506607C" w14:textId="77777777">
      <w:pPr>
        <w:pStyle w:val="ListParagraph"/>
        <w:ind w:left="567" w:right="237" w:hanging="567"/>
        <w:rPr>
          <w:rFonts w:ascii="Arial" w:hAnsi="Arial" w:cs="Arial"/>
          <w:sz w:val="24"/>
        </w:rPr>
      </w:pPr>
    </w:p>
    <w:p w:rsidRPr="001D478D" w:rsidR="008852EB" w:rsidP="00F42BC4" w:rsidRDefault="00F42BC4" w14:paraId="30B0308B" w14:textId="77777777">
      <w:pPr>
        <w:pStyle w:val="ListParagraph"/>
        <w:numPr>
          <w:ilvl w:val="0"/>
          <w:numId w:val="3"/>
        </w:numPr>
        <w:ind w:left="567" w:right="237" w:hanging="567"/>
        <w:rPr>
          <w:rFonts w:ascii="Arial" w:hAnsi="Arial" w:cs="Arial"/>
          <w:sz w:val="24"/>
        </w:rPr>
      </w:pPr>
      <w:r>
        <w:rPr>
          <w:rFonts w:ascii="Arial" w:hAnsi="Arial" w:cs="Arial"/>
          <w:sz w:val="24"/>
        </w:rPr>
        <w:t>It will t</w:t>
      </w:r>
      <w:r w:rsidRPr="001D478D" w:rsidR="008852EB">
        <w:rPr>
          <w:rFonts w:ascii="Arial" w:hAnsi="Arial" w:cs="Arial"/>
          <w:sz w:val="24"/>
        </w:rPr>
        <w:t xml:space="preserve">ake into account the following principles in making its decisions:  </w:t>
      </w:r>
    </w:p>
    <w:p w:rsidRPr="001D478D" w:rsidR="008852EB" w:rsidP="00F42BC4" w:rsidRDefault="008852EB" w14:paraId="72430083" w14:textId="77777777">
      <w:pPr>
        <w:ind w:left="567" w:right="237" w:firstLine="0"/>
        <w:jc w:val="left"/>
        <w:rPr>
          <w:sz w:val="24"/>
        </w:rPr>
      </w:pPr>
      <w:r w:rsidRPr="001D478D">
        <w:rPr>
          <w:sz w:val="24"/>
        </w:rPr>
        <w:t xml:space="preserve">That the resulting </w:t>
      </w:r>
      <w:r>
        <w:rPr>
          <w:sz w:val="24"/>
        </w:rPr>
        <w:t>course</w:t>
      </w:r>
      <w:r w:rsidRPr="001D478D">
        <w:rPr>
          <w:sz w:val="24"/>
        </w:rPr>
        <w:t>s of study should</w:t>
      </w:r>
      <w:r w:rsidR="00F42BC4">
        <w:rPr>
          <w:sz w:val="24"/>
        </w:rPr>
        <w:t xml:space="preserve"> normally</w:t>
      </w:r>
      <w:r w:rsidRPr="001D478D">
        <w:rPr>
          <w:sz w:val="24"/>
        </w:rPr>
        <w:t xml:space="preserve">: </w:t>
      </w:r>
    </w:p>
    <w:p w:rsidRPr="001D478D" w:rsidR="008852EB" w:rsidP="00F42BC4" w:rsidRDefault="008852EB" w14:paraId="0F778E64" w14:textId="77777777">
      <w:pPr>
        <w:numPr>
          <w:ilvl w:val="0"/>
          <w:numId w:val="5"/>
        </w:numPr>
        <w:spacing w:after="120" w:line="240" w:lineRule="auto"/>
        <w:ind w:left="567" w:right="237" w:hanging="567"/>
        <w:jc w:val="left"/>
        <w:rPr>
          <w:sz w:val="24"/>
        </w:rPr>
      </w:pPr>
      <w:r w:rsidRPr="001D478D">
        <w:rPr>
          <w:sz w:val="24"/>
        </w:rPr>
        <w:t xml:space="preserve">be consonant with University policy as set out in the Mission Statement, the University Plan, the Education and Student Experience Strategy, the Internationalisation Strategy, School and </w:t>
      </w:r>
      <w:r>
        <w:rPr>
          <w:sz w:val="24"/>
        </w:rPr>
        <w:t xml:space="preserve">Divisional </w:t>
      </w:r>
      <w:r w:rsidRPr="001D478D">
        <w:rPr>
          <w:sz w:val="24"/>
        </w:rPr>
        <w:t>Plans and, where relevant, the Graduate</w:t>
      </w:r>
      <w:r>
        <w:rPr>
          <w:sz w:val="24"/>
        </w:rPr>
        <w:t xml:space="preserve"> and Researcher College</w:t>
      </w:r>
      <w:r w:rsidRPr="001D478D">
        <w:rPr>
          <w:sz w:val="24"/>
        </w:rPr>
        <w:t xml:space="preserve"> Strategy;</w:t>
      </w:r>
    </w:p>
    <w:p w:rsidRPr="001D478D" w:rsidR="008852EB" w:rsidP="00F42BC4" w:rsidRDefault="008852EB" w14:paraId="789E3BE9" w14:textId="77777777">
      <w:pPr>
        <w:pStyle w:val="ListParagraph"/>
        <w:numPr>
          <w:ilvl w:val="0"/>
          <w:numId w:val="5"/>
        </w:numPr>
        <w:spacing w:after="120" w:line="240" w:lineRule="auto"/>
        <w:ind w:left="567" w:right="237" w:hanging="567"/>
        <w:contextualSpacing w:val="0"/>
        <w:rPr>
          <w:rFonts w:ascii="Arial" w:hAnsi="Arial" w:cs="Arial"/>
          <w:sz w:val="24"/>
        </w:rPr>
      </w:pPr>
      <w:r w:rsidRPr="001D478D">
        <w:rPr>
          <w:rFonts w:ascii="Arial" w:hAnsi="Arial" w:cs="Arial"/>
          <w:sz w:val="24"/>
        </w:rPr>
        <w:t>deliver planned targets and be financially sustainable;</w:t>
      </w:r>
    </w:p>
    <w:p w:rsidRPr="001D478D" w:rsidR="008852EB" w:rsidP="00F42BC4" w:rsidRDefault="008852EB" w14:paraId="696D5294" w14:textId="77777777">
      <w:pPr>
        <w:numPr>
          <w:ilvl w:val="0"/>
          <w:numId w:val="5"/>
        </w:numPr>
        <w:spacing w:after="120" w:line="240" w:lineRule="auto"/>
        <w:ind w:left="567" w:right="237" w:hanging="567"/>
        <w:jc w:val="left"/>
        <w:rPr>
          <w:sz w:val="24"/>
        </w:rPr>
      </w:pPr>
      <w:r w:rsidRPr="001D478D">
        <w:rPr>
          <w:sz w:val="24"/>
        </w:rPr>
        <w:t>have available human and physical resources such as will ensure achievement of aims and learning outcomes;</w:t>
      </w:r>
    </w:p>
    <w:p w:rsidRPr="001D478D" w:rsidR="008852EB" w:rsidP="00F42BC4" w:rsidRDefault="008852EB" w14:paraId="2205D833" w14:textId="77777777">
      <w:pPr>
        <w:numPr>
          <w:ilvl w:val="0"/>
          <w:numId w:val="5"/>
        </w:numPr>
        <w:spacing w:after="120" w:line="240" w:lineRule="auto"/>
        <w:ind w:left="567" w:right="237" w:hanging="567"/>
        <w:jc w:val="left"/>
        <w:rPr>
          <w:sz w:val="24"/>
        </w:rPr>
      </w:pPr>
      <w:r w:rsidRPr="001D478D">
        <w:rPr>
          <w:sz w:val="24"/>
        </w:rPr>
        <w:t>reflect Kent’s research expertise (where proposed by University Schools</w:t>
      </w:r>
      <w:r w:rsidR="00F42BC4">
        <w:rPr>
          <w:sz w:val="24"/>
        </w:rPr>
        <w:t>/ Divisions</w:t>
      </w:r>
      <w:r w:rsidRPr="001D478D">
        <w:rPr>
          <w:sz w:val="24"/>
        </w:rPr>
        <w:t xml:space="preserve">), are inclusive, be responsive and attractive to the core student </w:t>
      </w:r>
      <w:r w:rsidRPr="001D478D">
        <w:rPr>
          <w:sz w:val="24"/>
        </w:rPr>
        <w:lastRenderedPageBreak/>
        <w:t>population that Kent wishes to attract to fulfil the University’s strategic plan (including any new and alternative markets);</w:t>
      </w:r>
    </w:p>
    <w:p w:rsidRPr="001D478D" w:rsidR="008852EB" w:rsidP="00F42BC4" w:rsidRDefault="008852EB" w14:paraId="5543ED99" w14:textId="77777777">
      <w:pPr>
        <w:pStyle w:val="ListParagraph"/>
        <w:numPr>
          <w:ilvl w:val="0"/>
          <w:numId w:val="5"/>
        </w:numPr>
        <w:spacing w:after="120" w:line="240" w:lineRule="auto"/>
        <w:ind w:left="567" w:right="237" w:hanging="567"/>
        <w:contextualSpacing w:val="0"/>
        <w:rPr>
          <w:rFonts w:ascii="Arial" w:hAnsi="Arial" w:cs="Arial"/>
          <w:sz w:val="24"/>
        </w:rPr>
      </w:pPr>
      <w:r w:rsidRPr="001D478D">
        <w:rPr>
          <w:rFonts w:ascii="Arial" w:hAnsi="Arial" w:cs="Arial"/>
          <w:sz w:val="24"/>
        </w:rPr>
        <w:t>avoid the over-exploitation of core markets and reduce internal competition for the same students;</w:t>
      </w:r>
    </w:p>
    <w:p w:rsidRPr="001D478D" w:rsidR="008852EB" w:rsidP="00F42BC4" w:rsidRDefault="008852EB" w14:paraId="29FEF4F4" w14:textId="77777777">
      <w:pPr>
        <w:pStyle w:val="ListParagraph"/>
        <w:numPr>
          <w:ilvl w:val="0"/>
          <w:numId w:val="5"/>
        </w:numPr>
        <w:spacing w:after="120" w:line="240" w:lineRule="auto"/>
        <w:ind w:left="567" w:right="237" w:hanging="567"/>
        <w:contextualSpacing w:val="0"/>
        <w:rPr>
          <w:rFonts w:ascii="Arial" w:hAnsi="Arial" w:cs="Arial"/>
          <w:sz w:val="24"/>
        </w:rPr>
      </w:pPr>
      <w:r w:rsidRPr="001D478D">
        <w:rPr>
          <w:rFonts w:ascii="Arial" w:hAnsi="Arial" w:cs="Arial"/>
          <w:sz w:val="24"/>
        </w:rPr>
        <w:t xml:space="preserve">be launched in </w:t>
      </w:r>
      <w:r>
        <w:rPr>
          <w:rFonts w:ascii="Arial" w:hAnsi="Arial" w:cs="Arial"/>
          <w:sz w:val="24"/>
        </w:rPr>
        <w:t>an effective and timely fashion.</w:t>
      </w:r>
    </w:p>
    <w:p w:rsidRPr="00146B68" w:rsidR="002750C2" w:rsidP="00F42BC4" w:rsidRDefault="002750C2" w14:paraId="3507FD79" w14:textId="77777777">
      <w:pPr>
        <w:jc w:val="left"/>
      </w:pPr>
    </w:p>
    <w:sectPr w:rsidRPr="00146B68" w:rsidR="002750C2" w:rsidSect="002750C2">
      <w:headerReference w:type="default" r:id="rId10"/>
      <w:footerReference w:type="default" r:id="rId11"/>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40605D1D" w14:textId="77777777">
      <w:pPr>
        <w:spacing w:after="0" w:line="240" w:lineRule="auto"/>
      </w:pPr>
      <w:r>
        <w:separator/>
      </w:r>
    </w:p>
  </w:endnote>
  <w:endnote w:type="continuationSeparator" w:id="0">
    <w:p w:rsidR="002750C2" w:rsidP="002750C2" w:rsidRDefault="002750C2" w14:paraId="11AAFC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2750C2" w14:paraId="602203B5" w14:textId="77777777">
    <w:pPr>
      <w:pStyle w:val="Header"/>
      <w:jc w:val="left"/>
      <w:rPr>
        <w:rStyle w:val="eop"/>
        <w:sz w:val="20"/>
        <w:szCs w:val="20"/>
      </w:rPr>
    </w:pPr>
    <w:r>
      <w:rPr>
        <w:rStyle w:val="normaltextrun"/>
        <w:sz w:val="20"/>
        <w:szCs w:val="20"/>
      </w:rPr>
      <w:t>Author: QACO</w:t>
    </w:r>
    <w:r>
      <w:rPr>
        <w:rStyle w:val="eop"/>
        <w:sz w:val="20"/>
        <w:szCs w:val="20"/>
      </w:rPr>
      <w:t> </w:t>
    </w:r>
  </w:p>
  <w:p w:rsidR="008B05AE" w:rsidP="002F7E36" w:rsidRDefault="008B05AE" w14:paraId="12DDB116" w14:textId="3C0485FC">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894255">
      <w:rPr>
        <w:rStyle w:val="eop"/>
        <w:sz w:val="20"/>
        <w:szCs w:val="20"/>
      </w:rPr>
      <w:t>2</w:t>
    </w:r>
    <w:r>
      <w:rPr>
        <w:rStyle w:val="eop"/>
        <w:sz w:val="20"/>
        <w:szCs w:val="20"/>
      </w:rPr>
      <w:t>/2</w:t>
    </w:r>
    <w:r w:rsidR="00894255">
      <w:rPr>
        <w:rStyle w:val="eop"/>
        <w:sz w:val="20"/>
        <w:szCs w:val="20"/>
      </w:rPr>
      <w:t>3</w:t>
    </w:r>
  </w:p>
  <w:p w:rsidR="002F7E36" w:rsidP="002F7E36" w:rsidRDefault="002750C2" w14:paraId="13F53131"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200DE81F" w:rsidRDefault="002750C2" w14:paraId="406CD0A2" w14:textId="27C2FD5E">
    <w:pPr>
      <w:pStyle w:val="paragraph"/>
      <w:spacing w:before="0" w:beforeAutospacing="off" w:after="0" w:afterAutospacing="off"/>
      <w:jc w:val="left"/>
      <w:textAlignment w:val="baseline"/>
      <w:rPr>
        <w:rStyle w:val="normaltextrun"/>
        <w:rFonts w:ascii="Arial" w:hAnsi="Arial" w:cs="Arial"/>
        <w:sz w:val="20"/>
        <w:szCs w:val="20"/>
      </w:rPr>
    </w:pPr>
    <w:r w:rsidRPr="200DE81F" w:rsidR="200DE81F">
      <w:rPr>
        <w:rStyle w:val="normaltextrun"/>
        <w:rFonts w:ascii="Arial" w:hAnsi="Arial" w:cs="Arial"/>
        <w:sz w:val="20"/>
        <w:szCs w:val="20"/>
      </w:rPr>
      <w:t xml:space="preserve">Last Revised: </w:t>
    </w:r>
    <w:r w:rsidRPr="200DE81F" w:rsidR="200DE81F">
      <w:rPr>
        <w:rStyle w:val="normaltextrun"/>
        <w:rFonts w:ascii="Arial" w:hAnsi="Arial" w:cs="Arial"/>
        <w:sz w:val="20"/>
        <w:szCs w:val="20"/>
      </w:rPr>
      <w:t>November 2023</w:t>
    </w:r>
  </w:p>
  <w:p w:rsidR="002750C2" w:rsidP="200DE81F" w:rsidRDefault="002750C2" w14:paraId="298CBAA8" w14:textId="7634F51F">
    <w:pPr>
      <w:pStyle w:val="paragraph"/>
      <w:spacing w:before="0" w:beforeAutospacing="off" w:after="0" w:afterAutospacing="off"/>
      <w:jc w:val="left"/>
      <w:textAlignment w:val="baseline"/>
      <w:rPr>
        <w:rStyle w:val="normaltextrun"/>
        <w:rFonts w:ascii="Arial" w:hAnsi="Arial" w:cs="Arial"/>
        <w:sz w:val="20"/>
        <w:szCs w:val="20"/>
        <w:lang w:val="en-US"/>
      </w:rPr>
    </w:pPr>
    <w:r w:rsidRPr="200DE81F" w:rsidR="200DE81F">
      <w:rPr>
        <w:rStyle w:val="normaltextrun"/>
        <w:rFonts w:ascii="Arial" w:hAnsi="Arial" w:cs="Arial"/>
        <w:sz w:val="20"/>
        <w:szCs w:val="20"/>
      </w:rPr>
      <w:t>Next review: September 202</w:t>
    </w:r>
    <w:r w:rsidRPr="200DE81F" w:rsidR="200DE81F">
      <w:rPr>
        <w:rStyle w:val="normaltextrun"/>
        <w:rFonts w:ascii="Arial" w:hAnsi="Arial" w:cs="Arial"/>
        <w:sz w:val="20"/>
        <w:szCs w:val="20"/>
      </w:rPr>
      <w:t>4</w:t>
    </w:r>
  </w:p>
  <w:p w:rsidR="002750C2" w:rsidP="002750C2" w:rsidRDefault="002750C2" w14:paraId="16E196C6"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F42BC4">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F42BC4">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0E93D3B7" w14:textId="77777777">
      <w:pPr>
        <w:spacing w:after="0" w:line="240" w:lineRule="auto"/>
      </w:pPr>
      <w:r>
        <w:separator/>
      </w:r>
    </w:p>
  </w:footnote>
  <w:footnote w:type="continuationSeparator" w:id="0">
    <w:p w:rsidR="002750C2" w:rsidP="002750C2" w:rsidRDefault="002750C2" w14:paraId="715B7D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894255" w14:paraId="6E491ED0" w14:textId="398F3578">
    <w:pPr>
      <w:pStyle w:val="Header"/>
      <w:jc w:val="right"/>
    </w:pPr>
    <w:r>
      <w:rPr>
        <w:noProof/>
      </w:rPr>
      <w:drawing>
        <wp:anchor distT="0" distB="0" distL="114300" distR="114300" simplePos="0" relativeHeight="251658240" behindDoc="0" locked="0" layoutInCell="1" allowOverlap="1" wp14:anchorId="46030A5F" wp14:editId="55FB8C85">
          <wp:simplePos x="0" y="0"/>
          <wp:positionH relativeFrom="margin">
            <wp:posOffset>-914400</wp:posOffset>
          </wp:positionH>
          <wp:positionV relativeFrom="paragraph">
            <wp:posOffset>-447040</wp:posOffset>
          </wp:positionV>
          <wp:extent cx="7560000" cy="111696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962"/>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06300FE5" w14:textId="5344D222">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7CDE81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5C6"/>
    <w:multiLevelType w:val="hybridMultilevel"/>
    <w:tmpl w:val="363263A2"/>
    <w:lvl w:ilvl="0" w:tplc="FCBAFA88">
      <w:start w:val="1"/>
      <w:numFmt w:val="bullet"/>
      <w:lvlText w:val="-"/>
      <w:lvlJc w:val="left"/>
      <w:pPr>
        <w:ind w:left="2520" w:hanging="360"/>
      </w:pPr>
      <w:rPr>
        <w:rFonts w:hint="default" w:ascii="Calibri" w:hAnsi="Calibri" w:eastAsiaTheme="minorHAnsi" w:cstheme="minorBidi"/>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2C142998"/>
    <w:multiLevelType w:val="hybridMultilevel"/>
    <w:tmpl w:val="89A88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34DB"/>
    <w:multiLevelType w:val="multilevel"/>
    <w:tmpl w:val="04744634"/>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6E910BE2"/>
    <w:multiLevelType w:val="hybridMultilevel"/>
    <w:tmpl w:val="F9667D38"/>
    <w:lvl w:ilvl="0" w:tplc="D22A1B66">
      <w:start w:val="1"/>
      <w:numFmt w:val="decimal"/>
      <w:lvlText w:val="6.%1"/>
      <w:lvlJc w:val="left"/>
      <w:pPr>
        <w:ind w:left="2520" w:hanging="360"/>
      </w:pPr>
      <w:rPr>
        <w:rFonts w:hint="default"/>
        <w:b w:val="0"/>
        <w:sz w:val="24"/>
        <w:szCs w:val="22"/>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318004260">
    <w:abstractNumId w:val="2"/>
  </w:num>
  <w:num w:numId="2" w16cid:durableId="1236431293">
    <w:abstractNumId w:val="4"/>
  </w:num>
  <w:num w:numId="3" w16cid:durableId="747920528">
    <w:abstractNumId w:val="1"/>
  </w:num>
  <w:num w:numId="4" w16cid:durableId="2028753711">
    <w:abstractNumId w:val="0"/>
  </w:num>
  <w:num w:numId="5" w16cid:durableId="1000229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17506"/>
    <w:rsid w:val="00146B68"/>
    <w:rsid w:val="001C4823"/>
    <w:rsid w:val="002750C2"/>
    <w:rsid w:val="002E2660"/>
    <w:rsid w:val="002F7E36"/>
    <w:rsid w:val="00516BB0"/>
    <w:rsid w:val="006F60A4"/>
    <w:rsid w:val="008852EB"/>
    <w:rsid w:val="00894255"/>
    <w:rsid w:val="008B05AE"/>
    <w:rsid w:val="009F3A1C"/>
    <w:rsid w:val="00CC2D47"/>
    <w:rsid w:val="00EE7692"/>
    <w:rsid w:val="00F42BC4"/>
    <w:rsid w:val="200DE8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A621B2"/>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F42BC4"/>
    <w:pPr>
      <w:keepNext/>
      <w:keepLines/>
      <w:numPr>
        <w:numId w:val="1"/>
      </w:numPr>
      <w:tabs>
        <w:tab w:val="left" w:pos="567"/>
      </w:tabs>
      <w:spacing w:after="120" w:line="240" w:lineRule="auto"/>
      <w:ind w:left="567" w:right="0" w:hanging="567"/>
      <w:jc w:val="left"/>
      <w:outlineLvl w:val="0"/>
    </w:pPr>
    <w:rPr>
      <w:rFonts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42BC4"/>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ListParagraph">
    <w:name w:val="List Paragraph"/>
    <w:basedOn w:val="Normal"/>
    <w:uiPriority w:val="34"/>
    <w:qFormat/>
    <w:rsid w:val="008852EB"/>
    <w:pPr>
      <w:spacing w:after="160" w:line="259" w:lineRule="auto"/>
      <w:ind w:left="720" w:right="0" w:firstLine="0"/>
      <w:contextualSpacing/>
      <w:jc w:val="left"/>
    </w:pPr>
    <w:rPr>
      <w:rFonts w:asciiTheme="minorHAnsi" w:hAnsiTheme="minorHAnsi" w:eastAsiaTheme="minorHAnsi" w:cstheme="minorBidi"/>
      <w:color w:val="auto"/>
      <w:lang w:eastAsia="en-US"/>
    </w:rPr>
  </w:style>
  <w:style w:type="character" w:styleId="UnresolvedMention">
    <w:name w:val="Unresolved Mention"/>
    <w:basedOn w:val="DefaultParagraphFont"/>
    <w:uiPriority w:val="99"/>
    <w:semiHidden/>
    <w:unhideWhenUsed/>
    <w:rsid w:val="00CC2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D0EEC-B8E4-4D9F-9769-B21611277325}"/>
</file>

<file path=customXml/itemProps2.xml><?xml version="1.0" encoding="utf-8"?>
<ds:datastoreItem xmlns:ds="http://schemas.openxmlformats.org/officeDocument/2006/customXml" ds:itemID="{91B5F3F2-A1B0-47E0-8D1E-09156E504AD0}">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F763C301-2300-425A-970D-3E6786CA729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10</cp:revision>
  <dcterms:created xsi:type="dcterms:W3CDTF">2021-08-12T10:46:00Z</dcterms:created>
  <dcterms:modified xsi:type="dcterms:W3CDTF">2023-11-10T10:36:38Z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