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10BF" w:rsidR="002565CC" w:rsidP="008E10BF" w:rsidRDefault="002565CC" w14:paraId="14161460" w14:textId="77777777">
      <w:pPr>
        <w:tabs>
          <w:tab w:val="left" w:pos="567"/>
        </w:tabs>
        <w:spacing w:after="120"/>
        <w:ind w:right="281"/>
        <w:jc w:val="left"/>
        <w:rPr>
          <w:b/>
          <w:sz w:val="32"/>
          <w:szCs w:val="24"/>
        </w:rPr>
      </w:pPr>
      <w:r w:rsidRPr="008E10BF">
        <w:rPr>
          <w:b/>
          <w:sz w:val="32"/>
          <w:szCs w:val="24"/>
        </w:rPr>
        <w:t>Annex C</w:t>
      </w:r>
    </w:p>
    <w:p w:rsidRPr="008E10BF" w:rsidR="002565CC" w:rsidP="008E10BF" w:rsidRDefault="002565CC" w14:paraId="2E186870" w14:textId="77777777">
      <w:pPr>
        <w:tabs>
          <w:tab w:val="left" w:pos="567"/>
        </w:tabs>
        <w:spacing w:after="120"/>
        <w:ind w:left="0" w:right="281" w:firstLine="0"/>
        <w:jc w:val="left"/>
        <w:rPr>
          <w:b/>
          <w:sz w:val="32"/>
          <w:szCs w:val="24"/>
        </w:rPr>
      </w:pPr>
      <w:r w:rsidRPr="008E10BF">
        <w:rPr>
          <w:b/>
          <w:sz w:val="32"/>
          <w:szCs w:val="24"/>
        </w:rPr>
        <w:t>A</w:t>
      </w:r>
      <w:r w:rsidR="008E10BF">
        <w:rPr>
          <w:b/>
          <w:sz w:val="32"/>
          <w:szCs w:val="24"/>
        </w:rPr>
        <w:t>ppendix</w:t>
      </w:r>
      <w:r w:rsidRPr="008E10BF">
        <w:rPr>
          <w:b/>
          <w:sz w:val="32"/>
          <w:szCs w:val="24"/>
        </w:rPr>
        <w:t xml:space="preserve"> G: Developing Course Specifications – Design Principles</w:t>
      </w:r>
    </w:p>
    <w:p w:rsidRPr="005A6460" w:rsidR="002565CC" w:rsidP="002565CC" w:rsidRDefault="002565CC" w14:paraId="796B680D" w14:textId="77777777">
      <w:pPr>
        <w:tabs>
          <w:tab w:val="left" w:pos="567"/>
        </w:tabs>
        <w:spacing w:after="120"/>
        <w:ind w:right="281"/>
        <w:jc w:val="center"/>
        <w:rPr>
          <w:b/>
          <w:sz w:val="24"/>
          <w:szCs w:val="24"/>
          <w:u w:val="single"/>
        </w:rPr>
      </w:pPr>
    </w:p>
    <w:p w:rsidR="008E10BF" w:rsidP="008E10BF" w:rsidRDefault="008E10BF" w14:paraId="2883B2FC" w14:textId="77777777">
      <w:pPr>
        <w:pStyle w:val="Heading1"/>
      </w:pPr>
      <w:r>
        <w:t>Introduction</w:t>
      </w:r>
    </w:p>
    <w:p w:rsidRPr="005A6460" w:rsidR="002565CC" w:rsidP="008E10BF" w:rsidRDefault="002565CC" w14:paraId="5F76358D"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t xml:space="preserve">This appendix indicates key areas that need to be considered whenever a new </w:t>
      </w:r>
      <w:r>
        <w:rPr>
          <w:rFonts w:ascii="Arial" w:hAnsi="Arial" w:cs="Arial"/>
        </w:rPr>
        <w:t>course</w:t>
      </w:r>
      <w:r w:rsidRPr="005A6460">
        <w:rPr>
          <w:rFonts w:ascii="Arial" w:hAnsi="Arial" w:cs="Arial"/>
        </w:rPr>
        <w:t xml:space="preserve"> specification is developed. It also suggests a number of questions and associated explanations that are intended to be of use to staff who are involved in developing </w:t>
      </w:r>
      <w:r>
        <w:rPr>
          <w:rFonts w:ascii="Arial" w:hAnsi="Arial" w:cs="Arial"/>
        </w:rPr>
        <w:t>course</w:t>
      </w:r>
      <w:r w:rsidRPr="005A6460">
        <w:rPr>
          <w:rFonts w:ascii="Arial" w:hAnsi="Arial" w:cs="Arial"/>
        </w:rPr>
        <w:t xml:space="preserve"> specifications. The list of questions is not definitive, nor comprehensive, but seeks to indicate areas that might normally be regarded as relevant in discussions linked to the development of </w:t>
      </w:r>
      <w:r>
        <w:rPr>
          <w:rFonts w:ascii="Arial" w:hAnsi="Arial" w:cs="Arial"/>
        </w:rPr>
        <w:t>course</w:t>
      </w:r>
      <w:r w:rsidRPr="005A6460">
        <w:rPr>
          <w:rFonts w:ascii="Arial" w:hAnsi="Arial" w:cs="Arial"/>
        </w:rPr>
        <w:t xml:space="preserve"> specifications. </w:t>
      </w:r>
    </w:p>
    <w:p w:rsidRPr="005A6460" w:rsidR="002565CC" w:rsidP="002565CC" w:rsidRDefault="002565CC" w14:paraId="54F1516A" w14:textId="77777777">
      <w:pPr>
        <w:pStyle w:val="NormalWeb"/>
        <w:shd w:val="clear" w:color="auto" w:fill="FFFFFF"/>
        <w:tabs>
          <w:tab w:val="left" w:pos="567"/>
        </w:tabs>
        <w:spacing w:before="0" w:beforeAutospacing="0" w:after="120" w:afterAutospacing="0"/>
        <w:ind w:right="281"/>
        <w:jc w:val="both"/>
        <w:rPr>
          <w:rFonts w:ascii="Arial" w:hAnsi="Arial" w:cs="Arial"/>
        </w:rPr>
      </w:pPr>
    </w:p>
    <w:p w:rsidRPr="005A6460" w:rsidR="002565CC" w:rsidP="008E10BF" w:rsidRDefault="002565CC" w14:paraId="48CD3EA0" w14:textId="77777777">
      <w:pPr>
        <w:pStyle w:val="Heading1"/>
      </w:pPr>
      <w:r w:rsidRPr="005A6460">
        <w:t>What do we want our students to achieve?</w:t>
      </w:r>
    </w:p>
    <w:p w:rsidRPr="005A6460" w:rsidR="002565CC" w:rsidP="008E10BF" w:rsidRDefault="002565CC" w14:paraId="04E86847"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t xml:space="preserve">'What' may include subject knowledge and understanding, a range of intellectual, subject-based and transferable skills, and their application in a range of contexts. It may also include competency to practise, values and other qualities. </w:t>
      </w:r>
      <w:r>
        <w:rPr>
          <w:rFonts w:ascii="Arial" w:hAnsi="Arial" w:cs="Arial"/>
        </w:rPr>
        <w:t>Course</w:t>
      </w:r>
      <w:r w:rsidRPr="005A6460">
        <w:rPr>
          <w:rFonts w:ascii="Arial" w:hAnsi="Arial" w:cs="Arial"/>
        </w:rPr>
        <w:t xml:space="preserve"> outcome statements can be created by completing sentences like:</w:t>
      </w:r>
    </w:p>
    <w:p w:rsidRPr="005A6460" w:rsidR="002565CC" w:rsidP="008E10BF" w:rsidRDefault="002565CC" w14:paraId="62F531B3"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This </w:t>
      </w:r>
      <w:r>
        <w:rPr>
          <w:sz w:val="24"/>
          <w:szCs w:val="24"/>
        </w:rPr>
        <w:t>course</w:t>
      </w:r>
      <w:r w:rsidRPr="005A6460">
        <w:rPr>
          <w:sz w:val="24"/>
          <w:szCs w:val="24"/>
        </w:rPr>
        <w:t xml:space="preserve"> is distinctive because it develops... </w:t>
      </w:r>
    </w:p>
    <w:p w:rsidRPr="005A6460" w:rsidR="002565CC" w:rsidP="008E10BF" w:rsidRDefault="002565CC" w14:paraId="73808BEC"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The most important values which inform this </w:t>
      </w:r>
      <w:r>
        <w:rPr>
          <w:sz w:val="24"/>
          <w:szCs w:val="24"/>
        </w:rPr>
        <w:t>course</w:t>
      </w:r>
      <w:r w:rsidRPr="005A6460">
        <w:rPr>
          <w:sz w:val="24"/>
          <w:szCs w:val="24"/>
        </w:rPr>
        <w:t xml:space="preserve"> are... </w:t>
      </w:r>
    </w:p>
    <w:p w:rsidRPr="005A6460" w:rsidR="002565CC" w:rsidP="008E10BF" w:rsidRDefault="002565CC" w14:paraId="2584CC28"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The academic content of this </w:t>
      </w:r>
      <w:r>
        <w:rPr>
          <w:sz w:val="24"/>
          <w:szCs w:val="24"/>
        </w:rPr>
        <w:t>course</w:t>
      </w:r>
      <w:r w:rsidRPr="005A6460">
        <w:rPr>
          <w:sz w:val="24"/>
          <w:szCs w:val="24"/>
        </w:rPr>
        <w:t xml:space="preserve"> concentrates on... </w:t>
      </w:r>
    </w:p>
    <w:p w:rsidRPr="005A6460" w:rsidR="002565CC" w:rsidP="008E10BF" w:rsidRDefault="002565CC" w14:paraId="7298D1E7"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The most important intellectual skills developed in the </w:t>
      </w:r>
      <w:r>
        <w:rPr>
          <w:sz w:val="24"/>
          <w:szCs w:val="24"/>
        </w:rPr>
        <w:t>course</w:t>
      </w:r>
      <w:r w:rsidRPr="005A6460">
        <w:rPr>
          <w:sz w:val="24"/>
          <w:szCs w:val="24"/>
        </w:rPr>
        <w:t xml:space="preserve"> are... </w:t>
      </w:r>
    </w:p>
    <w:p w:rsidRPr="005A6460" w:rsidR="002565CC" w:rsidP="00DB6389" w:rsidRDefault="002565CC" w14:paraId="6BB96DAC" w14:textId="77777777">
      <w:pPr>
        <w:numPr>
          <w:ilvl w:val="0"/>
          <w:numId w:val="3"/>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 xml:space="preserve">The most useful practical skills, techniques and capabilities developed are... </w:t>
      </w:r>
    </w:p>
    <w:p w:rsidRPr="005A6460" w:rsidR="002565CC" w:rsidP="008E10BF" w:rsidRDefault="002565CC" w14:paraId="43B148E9"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Competency will be developed in... </w:t>
      </w:r>
    </w:p>
    <w:p w:rsidRPr="005A6460" w:rsidR="002565CC" w:rsidP="008E10BF" w:rsidRDefault="002565CC" w14:paraId="0346DC01"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The most important ways in which a student will learn are... </w:t>
      </w:r>
    </w:p>
    <w:p w:rsidRPr="005A6460" w:rsidR="002565CC" w:rsidP="008E10BF" w:rsidRDefault="002565CC" w14:paraId="5072BF2B"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On completing the </w:t>
      </w:r>
      <w:r>
        <w:rPr>
          <w:sz w:val="24"/>
          <w:szCs w:val="24"/>
        </w:rPr>
        <w:t>course</w:t>
      </w:r>
      <w:r w:rsidRPr="005A6460">
        <w:rPr>
          <w:sz w:val="24"/>
          <w:szCs w:val="24"/>
        </w:rPr>
        <w:t xml:space="preserve"> we want students to know and understand... </w:t>
      </w:r>
    </w:p>
    <w:p w:rsidRPr="005A6460" w:rsidR="002565CC" w:rsidP="008E10BF" w:rsidRDefault="002565CC" w14:paraId="5D1CC64A" w14:textId="77777777">
      <w:pPr>
        <w:numPr>
          <w:ilvl w:val="0"/>
          <w:numId w:val="3"/>
        </w:numPr>
        <w:shd w:val="clear" w:color="auto" w:fill="FFFFFF"/>
        <w:tabs>
          <w:tab w:val="clear" w:pos="720"/>
          <w:tab w:val="left" w:pos="567"/>
          <w:tab w:val="num" w:pos="993"/>
        </w:tabs>
        <w:spacing w:after="120" w:line="240" w:lineRule="auto"/>
        <w:ind w:left="1134" w:right="281" w:hanging="567"/>
        <w:jc w:val="left"/>
        <w:rPr>
          <w:sz w:val="24"/>
          <w:szCs w:val="24"/>
        </w:rPr>
      </w:pPr>
      <w:r w:rsidRPr="005A6460">
        <w:rPr>
          <w:sz w:val="24"/>
          <w:szCs w:val="24"/>
        </w:rPr>
        <w:t xml:space="preserve">On completing the </w:t>
      </w:r>
      <w:r>
        <w:rPr>
          <w:sz w:val="24"/>
          <w:szCs w:val="24"/>
        </w:rPr>
        <w:t>course</w:t>
      </w:r>
      <w:r w:rsidRPr="005A6460">
        <w:rPr>
          <w:sz w:val="24"/>
          <w:szCs w:val="24"/>
        </w:rPr>
        <w:t xml:space="preserve"> we want students to be able to.... </w:t>
      </w:r>
    </w:p>
    <w:p w:rsidRPr="005A6460" w:rsidR="002565CC" w:rsidP="002565CC" w:rsidRDefault="002565CC" w14:paraId="33EFE46B" w14:textId="77777777">
      <w:pPr>
        <w:shd w:val="clear" w:color="auto" w:fill="FFFFFF"/>
        <w:tabs>
          <w:tab w:val="left" w:pos="567"/>
        </w:tabs>
        <w:spacing w:after="120"/>
        <w:ind w:left="1134" w:right="281"/>
        <w:rPr>
          <w:sz w:val="24"/>
          <w:szCs w:val="24"/>
        </w:rPr>
      </w:pPr>
    </w:p>
    <w:p w:rsidRPr="005A6460" w:rsidR="002565CC" w:rsidP="008E10BF" w:rsidRDefault="002565CC" w14:paraId="151AA70E" w14:textId="77777777">
      <w:pPr>
        <w:pStyle w:val="Heading1"/>
      </w:pPr>
      <w:r w:rsidRPr="005A6460">
        <w:lastRenderedPageBreak/>
        <w:t>What reference points can we use to show that what we want students to achieve has currency within the academic, professional or employer communities?</w:t>
      </w:r>
    </w:p>
    <w:p w:rsidRPr="005A6460" w:rsidR="002565CC" w:rsidP="002565CC" w:rsidRDefault="002565CC" w14:paraId="3A8770D2" w14:textId="77777777">
      <w:pPr>
        <w:pStyle w:val="NormalWeb"/>
        <w:shd w:val="clear" w:color="auto" w:fill="FFFFFF"/>
        <w:tabs>
          <w:tab w:val="left" w:pos="567"/>
        </w:tabs>
        <w:spacing w:before="0" w:beforeAutospacing="0" w:after="120" w:afterAutospacing="0"/>
        <w:ind w:left="567" w:right="281"/>
        <w:jc w:val="both"/>
        <w:rPr>
          <w:rFonts w:ascii="Arial" w:hAnsi="Arial" w:cs="Arial"/>
        </w:rPr>
      </w:pPr>
      <w:r w:rsidRPr="005A6460">
        <w:rPr>
          <w:rFonts w:ascii="Arial" w:hAnsi="Arial" w:cs="Arial"/>
        </w:rPr>
        <w:t>Possible reference points might include, as appropriate:</w:t>
      </w:r>
    </w:p>
    <w:p w:rsidRPr="005A6460" w:rsidR="002565CC" w:rsidP="008E10BF" w:rsidRDefault="00DB6389" w14:paraId="78FFEC9F" w14:textId="77777777">
      <w:pPr>
        <w:numPr>
          <w:ilvl w:val="0"/>
          <w:numId w:val="4"/>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Institutional</w:t>
      </w:r>
      <w:r w:rsidRPr="005A6460" w:rsidR="002565CC">
        <w:rPr>
          <w:sz w:val="24"/>
          <w:szCs w:val="24"/>
        </w:rPr>
        <w:t xml:space="preserve"> mission statements and any institutional policies on the development of general skills in fields such as communication, information technology, tea</w:t>
      </w:r>
      <w:r w:rsidR="008E10BF">
        <w:rPr>
          <w:sz w:val="24"/>
          <w:szCs w:val="24"/>
        </w:rPr>
        <w:t>m working and career management.</w:t>
      </w:r>
    </w:p>
    <w:p w:rsidRPr="005A6460" w:rsidR="002565CC" w:rsidP="008E10BF" w:rsidRDefault="008E10BF" w14:paraId="0D2582C8" w14:textId="77777777">
      <w:pPr>
        <w:numPr>
          <w:ilvl w:val="0"/>
          <w:numId w:val="4"/>
        </w:numPr>
        <w:shd w:val="clear" w:color="auto" w:fill="FFFFFF"/>
        <w:tabs>
          <w:tab w:val="clear" w:pos="720"/>
          <w:tab w:val="left" w:pos="567"/>
          <w:tab w:val="num" w:pos="993"/>
        </w:tabs>
        <w:spacing w:after="120" w:line="240" w:lineRule="auto"/>
        <w:ind w:left="993" w:right="281" w:hanging="426"/>
        <w:jc w:val="left"/>
        <w:rPr>
          <w:sz w:val="24"/>
          <w:szCs w:val="24"/>
        </w:rPr>
      </w:pPr>
      <w:r>
        <w:rPr>
          <w:sz w:val="24"/>
          <w:szCs w:val="24"/>
        </w:rPr>
        <w:t xml:space="preserve">The </w:t>
      </w:r>
      <w:r w:rsidRPr="005A6460" w:rsidR="002565CC">
        <w:rPr>
          <w:sz w:val="24"/>
          <w:szCs w:val="24"/>
        </w:rPr>
        <w:t>appropriate</w:t>
      </w:r>
      <w:r w:rsidRPr="00E7027C" w:rsidR="002565CC">
        <w:rPr>
          <w:sz w:val="24"/>
          <w:szCs w:val="24"/>
        </w:rPr>
        <w:t xml:space="preserve"> </w:t>
      </w:r>
      <w:hyperlink w:history="1" r:id="rId10">
        <w:r w:rsidRPr="00E7027C" w:rsidR="002565CC">
          <w:rPr>
            <w:rStyle w:val="Hyperlink"/>
            <w:sz w:val="24"/>
            <w:szCs w:val="24"/>
          </w:rPr>
          <w:t>QAA subject benchmark statement</w:t>
        </w:r>
      </w:hyperlink>
      <w:r>
        <w:rPr>
          <w:sz w:val="24"/>
          <w:szCs w:val="24"/>
        </w:rPr>
        <w:t>.</w:t>
      </w:r>
      <w:r w:rsidRPr="005A6460" w:rsidR="002565CC">
        <w:rPr>
          <w:sz w:val="24"/>
          <w:szCs w:val="24"/>
        </w:rPr>
        <w:t xml:space="preserve"> </w:t>
      </w:r>
    </w:p>
    <w:p w:rsidRPr="008E10BF" w:rsidR="002565CC" w:rsidP="008E10BF" w:rsidRDefault="008E10BF" w14:paraId="7316DF3C" w14:textId="77777777">
      <w:pPr>
        <w:numPr>
          <w:ilvl w:val="0"/>
          <w:numId w:val="4"/>
        </w:numPr>
        <w:shd w:val="clear" w:color="auto" w:fill="FFFFFF"/>
        <w:tabs>
          <w:tab w:val="clear" w:pos="720"/>
          <w:tab w:val="left" w:pos="567"/>
          <w:tab w:val="num" w:pos="993"/>
        </w:tabs>
        <w:spacing w:after="120" w:line="240" w:lineRule="auto"/>
        <w:ind w:left="993" w:right="281" w:hanging="426"/>
        <w:jc w:val="left"/>
        <w:rPr>
          <w:sz w:val="24"/>
          <w:szCs w:val="24"/>
        </w:rPr>
      </w:pPr>
      <w:r>
        <w:rPr>
          <w:sz w:val="24"/>
          <w:szCs w:val="24"/>
        </w:rPr>
        <w:t xml:space="preserve">The </w:t>
      </w:r>
      <w:hyperlink w:history="1" r:id="rId11">
        <w:r w:rsidRPr="008E10BF" w:rsidR="002565CC">
          <w:rPr>
            <w:rStyle w:val="Hyperlink"/>
            <w:sz w:val="24"/>
            <w:szCs w:val="24"/>
          </w:rPr>
          <w:t xml:space="preserve">QAA </w:t>
        </w:r>
        <w:r w:rsidRPr="008E10BF" w:rsidR="002565CC">
          <w:rPr>
            <w:rStyle w:val="Hyperlink"/>
            <w:iCs/>
            <w:sz w:val="24"/>
            <w:szCs w:val="24"/>
          </w:rPr>
          <w:t>Foundation Degree qualification benchmark</w:t>
        </w:r>
      </w:hyperlink>
      <w:r w:rsidRPr="005A6460" w:rsidR="002565CC">
        <w:rPr>
          <w:iCs/>
          <w:color w:val="221E1F"/>
          <w:sz w:val="24"/>
          <w:szCs w:val="24"/>
        </w:rPr>
        <w:t>, where relevant</w:t>
      </w:r>
      <w:r w:rsidR="00DB6389">
        <w:rPr>
          <w:color w:val="221E1F"/>
          <w:sz w:val="24"/>
          <w:szCs w:val="24"/>
        </w:rPr>
        <w:t>.</w:t>
      </w:r>
    </w:p>
    <w:p w:rsidRPr="008E10BF" w:rsidR="008E10BF" w:rsidP="00DB6389" w:rsidRDefault="008E10BF" w14:paraId="4F7F03EC" w14:textId="77777777">
      <w:pPr>
        <w:spacing w:after="120" w:line="240" w:lineRule="auto"/>
        <w:ind w:left="993" w:right="237" w:firstLine="0"/>
        <w:jc w:val="left"/>
        <w:rPr>
          <w:sz w:val="24"/>
        </w:rPr>
      </w:pPr>
      <w:r w:rsidRPr="008E10BF">
        <w:rPr>
          <w:b/>
          <w:sz w:val="24"/>
        </w:rPr>
        <w:t xml:space="preserve">Note 1: </w:t>
      </w:r>
      <w:r w:rsidRPr="008E10BF">
        <w:rPr>
          <w:sz w:val="24"/>
        </w:rPr>
        <w:t xml:space="preserve">The </w:t>
      </w:r>
      <w:r w:rsidRPr="00DB6389">
        <w:rPr>
          <w:iCs/>
          <w:sz w:val="24"/>
        </w:rPr>
        <w:t>Foundation Degree qualification benchmark</w:t>
      </w:r>
      <w:r w:rsidRPr="008E10BF">
        <w:rPr>
          <w:i/>
          <w:iCs/>
          <w:sz w:val="24"/>
        </w:rPr>
        <w:t xml:space="preserve"> </w:t>
      </w:r>
      <w:r w:rsidRPr="008E10BF">
        <w:rPr>
          <w:sz w:val="24"/>
        </w:rPr>
        <w:t xml:space="preserve">identifies the distinctive features of Foundation Degrees that are not necessarily present in other qualifications at that level. It describes the qualification in terms of its particular purpose, general characteristics and generic outcomes. </w:t>
      </w:r>
    </w:p>
    <w:p w:rsidRPr="005A6460" w:rsidR="002565CC" w:rsidP="008E10BF" w:rsidRDefault="002565CC" w14:paraId="56C649C7" w14:textId="77777777">
      <w:pPr>
        <w:numPr>
          <w:ilvl w:val="0"/>
          <w:numId w:val="4"/>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 xml:space="preserve">QAA qualification characteristics, </w:t>
      </w:r>
      <w:r w:rsidRPr="005A6460">
        <w:rPr>
          <w:iCs/>
          <w:color w:val="221E1F"/>
          <w:sz w:val="24"/>
          <w:szCs w:val="24"/>
        </w:rPr>
        <w:t>where relevant</w:t>
      </w:r>
      <w:r w:rsidRPr="005A6460">
        <w:rPr>
          <w:i/>
          <w:iCs/>
          <w:color w:val="221E1F"/>
          <w:sz w:val="24"/>
          <w:szCs w:val="24"/>
        </w:rPr>
        <w:t xml:space="preserve"> </w:t>
      </w:r>
      <w:r w:rsidRPr="005A6460">
        <w:rPr>
          <w:iCs/>
          <w:color w:val="221E1F"/>
          <w:sz w:val="24"/>
          <w:szCs w:val="24"/>
        </w:rPr>
        <w:t>(see note 2 below)</w:t>
      </w:r>
      <w:r w:rsidRPr="005A6460">
        <w:rPr>
          <w:sz w:val="24"/>
          <w:szCs w:val="24"/>
        </w:rPr>
        <w:t xml:space="preserve">: </w:t>
      </w:r>
    </w:p>
    <w:p w:rsidRPr="005A6460" w:rsidR="002565CC" w:rsidP="008E10BF" w:rsidRDefault="00E42F70" w14:paraId="1009375B" w14:textId="77777777">
      <w:pPr>
        <w:pStyle w:val="Pa2"/>
        <w:spacing w:after="120" w:line="240" w:lineRule="auto"/>
        <w:ind w:left="992" w:right="281"/>
        <w:rPr>
          <w:rFonts w:ascii="Arial" w:hAnsi="Arial" w:cs="Arial"/>
        </w:rPr>
      </w:pPr>
      <w:hyperlink w:history="1" r:id="rId12">
        <w:r w:rsidRPr="00DB6389" w:rsidR="002565CC">
          <w:rPr>
            <w:rStyle w:val="Hyperlink"/>
            <w:rFonts w:ascii="Arial" w:hAnsi="Arial" w:cs="Arial"/>
            <w:iCs/>
          </w:rPr>
          <w:t>Doctoral degree characteristics</w:t>
        </w:r>
      </w:hyperlink>
      <w:r w:rsidRPr="005A6460" w:rsidR="002565CC">
        <w:rPr>
          <w:rFonts w:ascii="Arial" w:hAnsi="Arial" w:cs="Arial"/>
          <w:i/>
          <w:iCs/>
          <w:color w:val="221E1F"/>
        </w:rPr>
        <w:t xml:space="preserve"> </w:t>
      </w:r>
    </w:p>
    <w:p w:rsidRPr="00DB6389" w:rsidR="002565CC" w:rsidP="008E10BF" w:rsidRDefault="00E42F70" w14:paraId="4C9D4C4A" w14:textId="77777777">
      <w:pPr>
        <w:pStyle w:val="Pa2"/>
        <w:spacing w:after="120" w:line="240" w:lineRule="auto"/>
        <w:ind w:left="992" w:right="281"/>
        <w:rPr>
          <w:rFonts w:ascii="Arial" w:hAnsi="Arial" w:cs="Arial"/>
        </w:rPr>
      </w:pPr>
      <w:hyperlink w:history="1" r:id="rId13">
        <w:r w:rsidRPr="00DB6389" w:rsidR="002565CC">
          <w:rPr>
            <w:rStyle w:val="Hyperlink"/>
            <w:rFonts w:ascii="Arial" w:hAnsi="Arial" w:cs="Arial"/>
            <w:iCs/>
          </w:rPr>
          <w:t>Master's degree characteristics</w:t>
        </w:r>
      </w:hyperlink>
      <w:r w:rsidRPr="00DB6389" w:rsidR="002565CC">
        <w:rPr>
          <w:rFonts w:ascii="Arial" w:hAnsi="Arial" w:cs="Arial"/>
          <w:iCs/>
          <w:color w:val="221E1F"/>
        </w:rPr>
        <w:t xml:space="preserve"> </w:t>
      </w:r>
    </w:p>
    <w:p w:rsidRPr="005A6460" w:rsidR="00DB6389" w:rsidP="00DB6389" w:rsidRDefault="00DB6389" w14:paraId="49848F7E" w14:textId="77777777">
      <w:pPr>
        <w:shd w:val="clear" w:color="auto" w:fill="FFFFFF"/>
        <w:tabs>
          <w:tab w:val="left" w:pos="993"/>
        </w:tabs>
        <w:spacing w:after="120"/>
        <w:ind w:left="993" w:right="281" w:firstLine="0"/>
        <w:jc w:val="left"/>
        <w:rPr>
          <w:color w:val="221E1F"/>
          <w:sz w:val="24"/>
          <w:szCs w:val="24"/>
        </w:rPr>
      </w:pPr>
      <w:r w:rsidRPr="005A6460">
        <w:rPr>
          <w:b/>
          <w:sz w:val="24"/>
          <w:szCs w:val="24"/>
        </w:rPr>
        <w:t xml:space="preserve">Note 2: </w:t>
      </w:r>
      <w:r w:rsidRPr="00DB6389">
        <w:rPr>
          <w:iCs/>
          <w:color w:val="221E1F"/>
          <w:sz w:val="24"/>
          <w:szCs w:val="24"/>
        </w:rPr>
        <w:t xml:space="preserve">Doctoral degree characteristics </w:t>
      </w:r>
      <w:r w:rsidRPr="00DB6389">
        <w:rPr>
          <w:color w:val="221E1F"/>
          <w:sz w:val="24"/>
          <w:szCs w:val="24"/>
        </w:rPr>
        <w:t xml:space="preserve">and </w:t>
      </w:r>
      <w:r w:rsidRPr="00DB6389">
        <w:rPr>
          <w:iCs/>
          <w:color w:val="221E1F"/>
          <w:sz w:val="24"/>
          <w:szCs w:val="24"/>
        </w:rPr>
        <w:t xml:space="preserve">Master's degree characteristics </w:t>
      </w:r>
      <w:r w:rsidRPr="00DB6389">
        <w:rPr>
          <w:color w:val="221E1F"/>
          <w:sz w:val="24"/>
          <w:szCs w:val="24"/>
        </w:rPr>
        <w:t>provi</w:t>
      </w:r>
      <w:r w:rsidRPr="005A6460">
        <w:rPr>
          <w:color w:val="221E1F"/>
          <w:sz w:val="24"/>
          <w:szCs w:val="24"/>
        </w:rPr>
        <w:t>de information about the purposes, content, assessment methods and titles of doctoral and master's degrees. They are additional reference points to provide advice and guidance for thos</w:t>
      </w:r>
      <w:r>
        <w:rPr>
          <w:color w:val="221E1F"/>
          <w:sz w:val="24"/>
          <w:szCs w:val="24"/>
        </w:rPr>
        <w:t>e responsible for doctoral and M</w:t>
      </w:r>
      <w:r w:rsidRPr="005A6460">
        <w:rPr>
          <w:color w:val="221E1F"/>
          <w:sz w:val="24"/>
          <w:szCs w:val="24"/>
        </w:rPr>
        <w:t xml:space="preserve">aster's </w:t>
      </w:r>
      <w:r>
        <w:rPr>
          <w:color w:val="221E1F"/>
          <w:sz w:val="24"/>
          <w:szCs w:val="24"/>
        </w:rPr>
        <w:t>course</w:t>
      </w:r>
      <w:r w:rsidRPr="005A6460">
        <w:rPr>
          <w:color w:val="221E1F"/>
          <w:sz w:val="24"/>
          <w:szCs w:val="24"/>
        </w:rPr>
        <w:t xml:space="preserve">s. </w:t>
      </w:r>
    </w:p>
    <w:p w:rsidRPr="005A6460" w:rsidR="002565CC" w:rsidP="002565CC" w:rsidRDefault="00DB6389" w14:paraId="7D81C217" w14:textId="77777777">
      <w:pPr>
        <w:numPr>
          <w:ilvl w:val="0"/>
          <w:numId w:val="4"/>
        </w:numPr>
        <w:shd w:val="clear" w:color="auto" w:fill="FFFFFF"/>
        <w:tabs>
          <w:tab w:val="clear" w:pos="720"/>
          <w:tab w:val="left" w:pos="567"/>
          <w:tab w:val="num" w:pos="993"/>
        </w:tabs>
        <w:spacing w:after="120" w:line="240" w:lineRule="auto"/>
        <w:ind w:left="993" w:right="281" w:hanging="426"/>
        <w:rPr>
          <w:sz w:val="24"/>
          <w:szCs w:val="24"/>
        </w:rPr>
      </w:pPr>
      <w:r>
        <w:rPr>
          <w:sz w:val="24"/>
          <w:szCs w:val="24"/>
        </w:rPr>
        <w:t>C</w:t>
      </w:r>
      <w:r w:rsidRPr="005A6460" w:rsidR="002565CC">
        <w:rPr>
          <w:sz w:val="24"/>
          <w:szCs w:val="24"/>
        </w:rPr>
        <w:t>urrent research or other advanced scholarshi</w:t>
      </w:r>
      <w:r>
        <w:rPr>
          <w:sz w:val="24"/>
          <w:szCs w:val="24"/>
        </w:rPr>
        <w:t>p carried out by academic staff.</w:t>
      </w:r>
    </w:p>
    <w:p w:rsidRPr="005A6460" w:rsidR="002565CC" w:rsidP="002565CC" w:rsidRDefault="00DB6389" w14:paraId="75FFED14" w14:textId="1676CF8E">
      <w:pPr>
        <w:numPr>
          <w:ilvl w:val="0"/>
          <w:numId w:val="4"/>
        </w:numPr>
        <w:shd w:val="clear" w:color="auto" w:fill="FFFFFF"/>
        <w:tabs>
          <w:tab w:val="clear" w:pos="720"/>
          <w:tab w:val="left" w:pos="567"/>
          <w:tab w:val="num" w:pos="993"/>
        </w:tabs>
        <w:spacing w:after="120" w:line="240" w:lineRule="auto"/>
        <w:ind w:left="993" w:right="281" w:hanging="426"/>
        <w:rPr>
          <w:sz w:val="24"/>
          <w:szCs w:val="24"/>
        </w:rPr>
      </w:pPr>
      <w:r>
        <w:rPr>
          <w:sz w:val="24"/>
          <w:szCs w:val="24"/>
        </w:rPr>
        <w:t>R</w:t>
      </w:r>
      <w:r w:rsidRPr="005A6460" w:rsidR="002565CC">
        <w:rPr>
          <w:sz w:val="24"/>
          <w:szCs w:val="24"/>
        </w:rPr>
        <w:t xml:space="preserve">equirements of PSRBs (refer to </w:t>
      </w:r>
      <w:hyperlink w:history="1" w:anchor="annex-s" r:id="rId14">
        <w:r w:rsidRPr="00DB6389" w:rsidR="002565CC">
          <w:rPr>
            <w:rStyle w:val="Hyperlink"/>
            <w:sz w:val="24"/>
            <w:szCs w:val="24"/>
          </w:rPr>
          <w:t>Annex S</w:t>
        </w:r>
      </w:hyperlink>
      <w:r w:rsidRPr="005A6460" w:rsidR="002565CC">
        <w:rPr>
          <w:sz w:val="24"/>
          <w:szCs w:val="24"/>
        </w:rPr>
        <w:t xml:space="preserve"> of the Code of Practice for Taught </w:t>
      </w:r>
      <w:r w:rsidR="002565CC">
        <w:rPr>
          <w:sz w:val="24"/>
          <w:szCs w:val="24"/>
        </w:rPr>
        <w:t>Courses</w:t>
      </w:r>
      <w:r>
        <w:rPr>
          <w:sz w:val="24"/>
          <w:szCs w:val="24"/>
        </w:rPr>
        <w:t xml:space="preserve"> of Study).</w:t>
      </w:r>
    </w:p>
    <w:p w:rsidRPr="005A6460" w:rsidR="002565CC" w:rsidP="002565CC" w:rsidRDefault="00DB6389" w14:paraId="76371ADD" w14:textId="77777777">
      <w:pPr>
        <w:numPr>
          <w:ilvl w:val="0"/>
          <w:numId w:val="4"/>
        </w:numPr>
        <w:shd w:val="clear" w:color="auto" w:fill="FFFFFF"/>
        <w:tabs>
          <w:tab w:val="clear" w:pos="720"/>
          <w:tab w:val="left" w:pos="567"/>
          <w:tab w:val="num" w:pos="993"/>
        </w:tabs>
        <w:spacing w:after="120" w:line="240" w:lineRule="auto"/>
        <w:ind w:left="993" w:right="281" w:hanging="426"/>
        <w:rPr>
          <w:sz w:val="24"/>
          <w:szCs w:val="24"/>
        </w:rPr>
      </w:pPr>
      <w:r>
        <w:rPr>
          <w:sz w:val="24"/>
          <w:szCs w:val="24"/>
        </w:rPr>
        <w:t>O</w:t>
      </w:r>
      <w:r w:rsidRPr="005A6460" w:rsidR="002565CC">
        <w:rPr>
          <w:sz w:val="24"/>
          <w:szCs w:val="24"/>
        </w:rPr>
        <w:t>ccupational standards in fields or disciplines</w:t>
      </w:r>
      <w:r>
        <w:rPr>
          <w:sz w:val="24"/>
          <w:szCs w:val="24"/>
        </w:rPr>
        <w:t xml:space="preserve"> where these are relevant.</w:t>
      </w:r>
    </w:p>
    <w:p w:rsidRPr="005A6460" w:rsidR="002565CC" w:rsidP="002565CC" w:rsidRDefault="00DB6389" w14:paraId="3B0E8134" w14:textId="77777777">
      <w:pPr>
        <w:numPr>
          <w:ilvl w:val="0"/>
          <w:numId w:val="4"/>
        </w:numPr>
        <w:shd w:val="clear" w:color="auto" w:fill="FFFFFF"/>
        <w:tabs>
          <w:tab w:val="clear" w:pos="720"/>
          <w:tab w:val="left" w:pos="567"/>
          <w:tab w:val="num" w:pos="993"/>
        </w:tabs>
        <w:spacing w:after="120" w:line="240" w:lineRule="auto"/>
        <w:ind w:left="993" w:right="281" w:hanging="426"/>
        <w:rPr>
          <w:sz w:val="24"/>
          <w:szCs w:val="24"/>
        </w:rPr>
      </w:pPr>
      <w:r>
        <w:rPr>
          <w:sz w:val="24"/>
          <w:szCs w:val="24"/>
        </w:rPr>
        <w:t>Q</w:t>
      </w:r>
      <w:r w:rsidRPr="005A6460" w:rsidR="002565CC">
        <w:rPr>
          <w:sz w:val="24"/>
          <w:szCs w:val="24"/>
        </w:rPr>
        <w:t>ualification descriptors used in the nat</w:t>
      </w:r>
      <w:r>
        <w:rPr>
          <w:sz w:val="24"/>
          <w:szCs w:val="24"/>
        </w:rPr>
        <w:t>ional qualifications frameworks.</w:t>
      </w:r>
    </w:p>
    <w:p w:rsidRPr="005A6460" w:rsidR="002565CC" w:rsidP="002565CC" w:rsidRDefault="00DB6389" w14:paraId="367F778A" w14:textId="77777777">
      <w:pPr>
        <w:numPr>
          <w:ilvl w:val="0"/>
          <w:numId w:val="4"/>
        </w:numPr>
        <w:shd w:val="clear" w:color="auto" w:fill="FFFFFF"/>
        <w:tabs>
          <w:tab w:val="clear" w:pos="720"/>
          <w:tab w:val="left" w:pos="567"/>
          <w:tab w:val="num" w:pos="993"/>
        </w:tabs>
        <w:spacing w:after="120" w:line="240" w:lineRule="auto"/>
        <w:ind w:left="993" w:right="281" w:hanging="426"/>
        <w:rPr>
          <w:sz w:val="24"/>
          <w:szCs w:val="24"/>
        </w:rPr>
      </w:pPr>
      <w:r>
        <w:rPr>
          <w:sz w:val="24"/>
          <w:szCs w:val="24"/>
        </w:rPr>
        <w:t>R</w:t>
      </w:r>
      <w:r w:rsidRPr="005A6460" w:rsidR="002565CC">
        <w:rPr>
          <w:sz w:val="24"/>
          <w:szCs w:val="24"/>
        </w:rPr>
        <w:t xml:space="preserve">elevant European or international reference points. </w:t>
      </w:r>
    </w:p>
    <w:p w:rsidRPr="005A6460" w:rsidR="002565CC" w:rsidP="002565CC" w:rsidRDefault="002565CC" w14:paraId="5319C631" w14:textId="77777777">
      <w:pPr>
        <w:shd w:val="clear" w:color="auto" w:fill="FFFFFF"/>
        <w:tabs>
          <w:tab w:val="left" w:pos="567"/>
        </w:tabs>
        <w:spacing w:after="120"/>
        <w:ind w:left="993" w:right="281"/>
        <w:rPr>
          <w:sz w:val="24"/>
          <w:szCs w:val="24"/>
        </w:rPr>
      </w:pPr>
    </w:p>
    <w:p w:rsidRPr="005A6460" w:rsidR="002565CC" w:rsidP="00DB6389" w:rsidRDefault="002565CC" w14:paraId="1ED53692" w14:textId="77777777">
      <w:pPr>
        <w:pStyle w:val="Heading1"/>
      </w:pPr>
      <w:r w:rsidRPr="005A6460">
        <w:t>How should we use subject benchmark statements?</w:t>
      </w:r>
    </w:p>
    <w:p w:rsidRPr="005A6460" w:rsidR="002565CC" w:rsidP="00DE565C" w:rsidRDefault="002565CC" w14:paraId="749B40AC"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t xml:space="preserve">QAA subject benchmark statements provide a helpful starting point when designing a new </w:t>
      </w:r>
      <w:r>
        <w:rPr>
          <w:rFonts w:ascii="Arial" w:hAnsi="Arial" w:cs="Arial"/>
        </w:rPr>
        <w:t>course</w:t>
      </w:r>
      <w:r w:rsidRPr="005A6460">
        <w:rPr>
          <w:rFonts w:ascii="Arial" w:hAnsi="Arial" w:cs="Arial"/>
        </w:rPr>
        <w:t xml:space="preserve"> or reviewing an existing </w:t>
      </w:r>
      <w:r>
        <w:rPr>
          <w:rFonts w:ascii="Arial" w:hAnsi="Arial" w:cs="Arial"/>
        </w:rPr>
        <w:t>course</w:t>
      </w:r>
      <w:r w:rsidRPr="005A6460">
        <w:rPr>
          <w:rFonts w:ascii="Arial" w:hAnsi="Arial" w:cs="Arial"/>
        </w:rPr>
        <w:t xml:space="preserve">. However, they are not the sole point of reference, particularly for </w:t>
      </w:r>
      <w:r>
        <w:rPr>
          <w:rFonts w:ascii="Arial" w:hAnsi="Arial" w:cs="Arial"/>
        </w:rPr>
        <w:t>course</w:t>
      </w:r>
      <w:r w:rsidRPr="005A6460">
        <w:rPr>
          <w:rFonts w:ascii="Arial" w:hAnsi="Arial" w:cs="Arial"/>
        </w:rPr>
        <w:t>s that do not coincide with the subject definitions used within the subject benchmark statements.</w:t>
      </w:r>
    </w:p>
    <w:p w:rsidRPr="005A6460" w:rsidR="002565CC" w:rsidP="00DE565C" w:rsidRDefault="002565CC" w14:paraId="030D0B30"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lastRenderedPageBreak/>
        <w:t xml:space="preserve">Staff should not simply transpose outcomes from subject benchmark statements into their </w:t>
      </w:r>
      <w:r>
        <w:rPr>
          <w:rFonts w:ascii="Arial" w:hAnsi="Arial" w:cs="Arial"/>
        </w:rPr>
        <w:t>course</w:t>
      </w:r>
      <w:r w:rsidRPr="005A6460">
        <w:rPr>
          <w:rFonts w:ascii="Arial" w:hAnsi="Arial" w:cs="Arial"/>
        </w:rPr>
        <w:t xml:space="preserve"> specifications – the statements are not intended to be draft specifications. Rather, they should be used as a point of comparison, a stimulus to reflection and a reference against which individual </w:t>
      </w:r>
      <w:r>
        <w:rPr>
          <w:rFonts w:ascii="Arial" w:hAnsi="Arial" w:cs="Arial"/>
        </w:rPr>
        <w:t>course</w:t>
      </w:r>
      <w:r w:rsidRPr="005A6460">
        <w:rPr>
          <w:rFonts w:ascii="Arial" w:hAnsi="Arial" w:cs="Arial"/>
        </w:rPr>
        <w:t xml:space="preserve"> specifications may be justified.</w:t>
      </w:r>
    </w:p>
    <w:p w:rsidRPr="005A6460" w:rsidR="002565CC" w:rsidP="00DE565C" w:rsidRDefault="002565CC" w14:paraId="2672D7ED"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t xml:space="preserve">If a Master’s degree </w:t>
      </w:r>
      <w:r>
        <w:rPr>
          <w:rFonts w:ascii="Arial" w:hAnsi="Arial" w:cs="Arial"/>
        </w:rPr>
        <w:t>course</w:t>
      </w:r>
      <w:r w:rsidRPr="005A6460">
        <w:rPr>
          <w:rFonts w:ascii="Arial" w:hAnsi="Arial" w:cs="Arial"/>
        </w:rPr>
        <w:t xml:space="preserve"> of study is being developed, but there is a subject benchmark statement for Honours degree-level only, staff are strongly encouraged to use the Honours degree benchmark statement as a starting point, but to make appropriate adjustments for the knowledge and abilities required at masters-level. Where a benchmark statement is so used, this should be referenced as such in the </w:t>
      </w:r>
      <w:r>
        <w:rPr>
          <w:rFonts w:ascii="Arial" w:hAnsi="Arial" w:cs="Arial"/>
        </w:rPr>
        <w:t>course</w:t>
      </w:r>
      <w:r w:rsidRPr="005A6460">
        <w:rPr>
          <w:rFonts w:ascii="Arial" w:hAnsi="Arial" w:cs="Arial"/>
        </w:rPr>
        <w:t xml:space="preserve"> specification. </w:t>
      </w:r>
    </w:p>
    <w:p w:rsidRPr="005A6460" w:rsidR="002565CC" w:rsidP="002565CC" w:rsidRDefault="002565CC" w14:paraId="1ED26E60" w14:textId="77777777">
      <w:pPr>
        <w:pStyle w:val="NormalWeb"/>
        <w:shd w:val="clear" w:color="auto" w:fill="FFFFFF"/>
        <w:tabs>
          <w:tab w:val="left" w:pos="567"/>
        </w:tabs>
        <w:spacing w:before="0" w:beforeAutospacing="0" w:after="120" w:afterAutospacing="0"/>
        <w:ind w:left="567" w:right="281"/>
        <w:jc w:val="both"/>
        <w:rPr>
          <w:rFonts w:ascii="Arial" w:hAnsi="Arial" w:cs="Arial"/>
        </w:rPr>
      </w:pPr>
    </w:p>
    <w:p w:rsidRPr="005A6460" w:rsidR="002565CC" w:rsidP="00DE565C" w:rsidRDefault="002565CC" w14:paraId="09E12A1A" w14:textId="77777777">
      <w:pPr>
        <w:pStyle w:val="Heading1"/>
      </w:pPr>
      <w:r w:rsidRPr="005A6460">
        <w:t>How do we expect our students to achieve and demonstrate the intended outcomes?</w:t>
      </w:r>
    </w:p>
    <w:p w:rsidRPr="005A6460" w:rsidR="002565CC" w:rsidP="00DE565C" w:rsidRDefault="002565CC" w14:paraId="1E18D707" w14:textId="77777777">
      <w:pPr>
        <w:pStyle w:val="NormalWeb"/>
        <w:shd w:val="clear" w:color="auto" w:fill="FFFFFF"/>
        <w:tabs>
          <w:tab w:val="left" w:pos="567"/>
        </w:tabs>
        <w:spacing w:before="0" w:beforeAutospacing="0" w:after="120" w:afterAutospacing="0"/>
        <w:ind w:left="567" w:right="281"/>
        <w:rPr>
          <w:rFonts w:ascii="Arial" w:hAnsi="Arial" w:cs="Arial"/>
        </w:rPr>
      </w:pPr>
      <w:r w:rsidRPr="005A6460">
        <w:rPr>
          <w:rFonts w:ascii="Arial" w:hAnsi="Arial" w:cs="Arial"/>
        </w:rPr>
        <w:t>Consider the teaching, study and assessment methods used to promote learning. Some methods are more appropriate than others for developing particular types of learning outcome. For example:</w:t>
      </w:r>
    </w:p>
    <w:p w:rsidRPr="005A6460" w:rsidR="002565CC" w:rsidP="00DE565C" w:rsidRDefault="002565CC" w14:paraId="39FDE822" w14:textId="77777777">
      <w:pPr>
        <w:numPr>
          <w:ilvl w:val="0"/>
          <w:numId w:val="5"/>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Knowledge and understanding of a subject is often developed through lectures and seminars. Such direct teaching methods are usually supported by directed study of textbooks and journal articles (hard copy or electronic) and by assignment or project work. Knowledge and understanding is often assessed through unseen written examinations, but most</w:t>
      </w:r>
      <w:r w:rsidR="00DE565C">
        <w:rPr>
          <w:sz w:val="24"/>
          <w:szCs w:val="24"/>
        </w:rPr>
        <w:t>,</w:t>
      </w:r>
      <w:r w:rsidRPr="005A6460">
        <w:rPr>
          <w:sz w:val="24"/>
          <w:szCs w:val="24"/>
        </w:rPr>
        <w:t xml:space="preserve"> if not all</w:t>
      </w:r>
      <w:r w:rsidR="00DE565C">
        <w:rPr>
          <w:sz w:val="24"/>
          <w:szCs w:val="24"/>
        </w:rPr>
        <w:t>,</w:t>
      </w:r>
      <w:r w:rsidRPr="005A6460">
        <w:rPr>
          <w:sz w:val="24"/>
          <w:szCs w:val="24"/>
        </w:rPr>
        <w:t xml:space="preserve"> assessment methods will require some demonstration of knowledge and understanding.</w:t>
      </w:r>
    </w:p>
    <w:p w:rsidRPr="005A6460" w:rsidR="002565CC" w:rsidP="00DE565C" w:rsidRDefault="002565CC" w14:paraId="5CBF29DB" w14:textId="77777777">
      <w:pPr>
        <w:numPr>
          <w:ilvl w:val="0"/>
          <w:numId w:val="5"/>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Intellectual skills such as analysis, synthesis, evaluation and problem solving may be practiced and demonstrated through more active learning processes involving assignments or projects, group-learning activity such as a seminar or tutorial, laboratory, workshop, or field-based activity. Assessment of intellectual skills can utilise unseen written examinations or problem-based exercises. Independent project work or research dissertations are typically used to demonstrate capability in a range of intellectual skills linked to specialist knowledge, understanding and practical skills.</w:t>
      </w:r>
    </w:p>
    <w:p w:rsidRPr="005A6460" w:rsidR="002565CC" w:rsidP="00DE565C" w:rsidRDefault="002565CC" w14:paraId="2CB597AB" w14:textId="77777777">
      <w:pPr>
        <w:numPr>
          <w:ilvl w:val="0"/>
          <w:numId w:val="5"/>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t>Practical skills need to be developed through opportunities to practise the activity in an appropriate learning context (e.g. in the laboratory, field or workplace placement). Workbooks or guidance manuals may also be used to support learning. Assessment of competence in exercising a practical skill must involve practical demonstration of it.</w:t>
      </w:r>
    </w:p>
    <w:p w:rsidRPr="005A6460" w:rsidR="002565CC" w:rsidP="00DE565C" w:rsidRDefault="002565CC" w14:paraId="4D883E2E" w14:textId="77777777">
      <w:pPr>
        <w:numPr>
          <w:ilvl w:val="0"/>
          <w:numId w:val="5"/>
        </w:numPr>
        <w:shd w:val="clear" w:color="auto" w:fill="FFFFFF"/>
        <w:tabs>
          <w:tab w:val="clear" w:pos="720"/>
          <w:tab w:val="left" w:pos="567"/>
          <w:tab w:val="num" w:pos="993"/>
        </w:tabs>
        <w:spacing w:after="120" w:line="240" w:lineRule="auto"/>
        <w:ind w:left="993" w:right="281" w:hanging="426"/>
        <w:jc w:val="left"/>
        <w:rPr>
          <w:sz w:val="24"/>
          <w:szCs w:val="24"/>
        </w:rPr>
      </w:pPr>
      <w:r w:rsidRPr="005A6460">
        <w:rPr>
          <w:sz w:val="24"/>
          <w:szCs w:val="24"/>
        </w:rPr>
        <w:lastRenderedPageBreak/>
        <w:t xml:space="preserve">Transferable/key skills, that are readily transferable to employment and other contexts, such as communication, teamwork etc can be developed through naturally arising opportunities within the curriculum. For example, written communication skills can be developed and assessed through essays or dissertations; oral communication skills through presentations in seminars; or team working skills through collaborative projects. Skills may be developed also through extra-curricular activities including work experience, student representative work, social and cultural activities. </w:t>
      </w:r>
    </w:p>
    <w:p w:rsidRPr="005A6460" w:rsidR="002565CC" w:rsidP="002565CC" w:rsidRDefault="002565CC" w14:paraId="7EC65A5A" w14:textId="77777777">
      <w:pPr>
        <w:shd w:val="clear" w:color="auto" w:fill="FFFFFF"/>
        <w:tabs>
          <w:tab w:val="left" w:pos="567"/>
        </w:tabs>
        <w:spacing w:after="120"/>
        <w:ind w:left="993" w:right="281"/>
        <w:rPr>
          <w:sz w:val="24"/>
          <w:szCs w:val="24"/>
        </w:rPr>
      </w:pPr>
    </w:p>
    <w:p w:rsidRPr="005A6460" w:rsidR="002565CC" w:rsidP="00DE565C" w:rsidRDefault="002565CC" w14:paraId="1A852143" w14:textId="3C0AF5C4">
      <w:pPr>
        <w:pStyle w:val="Heading1"/>
      </w:pPr>
      <w:r w:rsidRPr="005A6460">
        <w:t xml:space="preserve">Where might further </w:t>
      </w:r>
      <w:r>
        <w:t>course</w:t>
      </w:r>
      <w:r w:rsidRPr="005A6460">
        <w:t xml:space="preserve"> information be found?</w:t>
      </w:r>
    </w:p>
    <w:p w:rsidRPr="005A6460" w:rsidR="002565CC" w:rsidP="00DE565C" w:rsidRDefault="002565CC" w14:paraId="0059D6D8" w14:textId="77777777">
      <w:pPr>
        <w:pStyle w:val="NormalWeb"/>
        <w:shd w:val="clear" w:color="auto" w:fill="FFFFFF"/>
        <w:tabs>
          <w:tab w:val="left" w:pos="567"/>
        </w:tabs>
        <w:spacing w:before="0" w:beforeAutospacing="0" w:after="120" w:afterAutospacing="0"/>
        <w:ind w:left="567" w:right="281"/>
        <w:rPr>
          <w:rFonts w:ascii="Arial" w:hAnsi="Arial" w:cs="Arial"/>
        </w:rPr>
      </w:pPr>
      <w:r>
        <w:rPr>
          <w:rFonts w:ascii="Arial" w:hAnsi="Arial" w:cs="Arial"/>
        </w:rPr>
        <w:t>Course</w:t>
      </w:r>
      <w:r w:rsidRPr="005A6460">
        <w:rPr>
          <w:rFonts w:ascii="Arial" w:hAnsi="Arial" w:cs="Arial"/>
        </w:rPr>
        <w:t xml:space="preserve"> specifications generally represent a concise summary of the main features of a </w:t>
      </w:r>
      <w:r>
        <w:rPr>
          <w:rFonts w:ascii="Arial" w:hAnsi="Arial" w:cs="Arial"/>
        </w:rPr>
        <w:t>course</w:t>
      </w:r>
      <w:r w:rsidRPr="005A6460">
        <w:rPr>
          <w:rFonts w:ascii="Arial" w:hAnsi="Arial" w:cs="Arial"/>
        </w:rPr>
        <w:t xml:space="preserve"> and of the learning outcomes that a typical student might reasonably be expected to achieve if full advantage is taken of the learning opportunities provided. The specification should contain a statement of where more detailed information regarding the </w:t>
      </w:r>
      <w:r>
        <w:rPr>
          <w:rFonts w:ascii="Arial" w:hAnsi="Arial" w:cs="Arial"/>
        </w:rPr>
        <w:t>course</w:t>
      </w:r>
      <w:r w:rsidRPr="005A6460">
        <w:rPr>
          <w:rFonts w:ascii="Arial" w:hAnsi="Arial" w:cs="Arial"/>
        </w:rPr>
        <w:t xml:space="preserve"> can be found. This is likely to include weblinks to online module guides or student handbooks on the School</w:t>
      </w:r>
      <w:r w:rsidR="00DE565C">
        <w:rPr>
          <w:rFonts w:ascii="Arial" w:hAnsi="Arial" w:cs="Arial"/>
        </w:rPr>
        <w:t>/Divisional</w:t>
      </w:r>
      <w:r w:rsidRPr="005A6460">
        <w:rPr>
          <w:rFonts w:ascii="Arial" w:hAnsi="Arial" w:cs="Arial"/>
        </w:rPr>
        <w:t xml:space="preserve"> website, where the reader can access an increasing level of detail if required.</w:t>
      </w:r>
    </w:p>
    <w:p w:rsidR="002565CC" w:rsidP="002565CC" w:rsidRDefault="002565CC" w14:paraId="1193C53C" w14:textId="77777777">
      <w:pPr>
        <w:tabs>
          <w:tab w:val="left" w:pos="567"/>
        </w:tabs>
        <w:spacing w:after="120"/>
        <w:ind w:right="281"/>
        <w:rPr>
          <w:sz w:val="24"/>
          <w:szCs w:val="24"/>
        </w:rPr>
      </w:pPr>
    </w:p>
    <w:p w:rsidRPr="005A6460" w:rsidR="002565CC" w:rsidP="00DE565C" w:rsidRDefault="002565CC" w14:paraId="6D023B14" w14:textId="77777777">
      <w:pPr>
        <w:pStyle w:val="Heading1"/>
      </w:pPr>
      <w:r w:rsidRPr="005A6460">
        <w:t xml:space="preserve">Is the </w:t>
      </w:r>
      <w:r>
        <w:t>course</w:t>
      </w:r>
      <w:r w:rsidRPr="005A6460">
        <w:t xml:space="preserve"> title appropriate?</w:t>
      </w:r>
    </w:p>
    <w:p w:rsidRPr="005A6460" w:rsidR="002565CC" w:rsidP="00DE565C" w:rsidRDefault="002565CC" w14:paraId="09A163E3" w14:textId="77777777">
      <w:pPr>
        <w:pStyle w:val="ListParagraph"/>
        <w:numPr>
          <w:ilvl w:val="0"/>
          <w:numId w:val="7"/>
        </w:numPr>
        <w:tabs>
          <w:tab w:val="left" w:pos="993"/>
        </w:tabs>
        <w:autoSpaceDE w:val="0"/>
        <w:autoSpaceDN w:val="0"/>
        <w:adjustRightInd w:val="0"/>
        <w:spacing w:after="120"/>
        <w:ind w:left="993" w:right="281" w:hanging="426"/>
        <w:contextualSpacing w:val="0"/>
        <w:rPr>
          <w:rFonts w:ascii="Arial" w:hAnsi="Arial" w:cs="Arial"/>
          <w:sz w:val="24"/>
          <w:szCs w:val="24"/>
        </w:rPr>
      </w:pPr>
      <w:r w:rsidRPr="005A6460">
        <w:rPr>
          <w:rFonts w:ascii="Arial" w:hAnsi="Arial" w:cs="Arial"/>
          <w:sz w:val="24"/>
          <w:szCs w:val="24"/>
        </w:rPr>
        <w:t xml:space="preserve">The QAA (see </w:t>
      </w:r>
      <w:r w:rsidRPr="00E7027C">
        <w:rPr>
          <w:rFonts w:ascii="Arial" w:hAnsi="Arial" w:cs="Arial"/>
          <w:sz w:val="24"/>
          <w:szCs w:val="24"/>
        </w:rPr>
        <w:t xml:space="preserve">the </w:t>
      </w:r>
      <w:hyperlink w:history="1" r:id="rId15">
        <w:r w:rsidRPr="00E7027C">
          <w:rPr>
            <w:rStyle w:val="Hyperlink"/>
            <w:rFonts w:ascii="Arial" w:hAnsi="Arial" w:cs="Arial"/>
            <w:sz w:val="24"/>
            <w:szCs w:val="24"/>
          </w:rPr>
          <w:t>F</w:t>
        </w:r>
        <w:r w:rsidRPr="00E7027C">
          <w:rPr>
            <w:rStyle w:val="Hyperlink"/>
            <w:rFonts w:ascii="Arial" w:hAnsi="Arial" w:cs="Arial" w:eastAsiaTheme="minorEastAsia"/>
            <w:iCs/>
            <w:sz w:val="24"/>
            <w:szCs w:val="24"/>
            <w:lang w:eastAsia="zh-CN"/>
          </w:rPr>
          <w:t>ramework for Higher Education Qualifications (</w:t>
        </w:r>
        <w:r w:rsidRPr="00E7027C">
          <w:rPr>
            <w:rStyle w:val="Hyperlink"/>
            <w:rFonts w:ascii="Arial" w:hAnsi="Arial" w:cs="Arial"/>
            <w:sz w:val="24"/>
            <w:szCs w:val="24"/>
          </w:rPr>
          <w:t>FHEQ)</w:t>
        </w:r>
      </w:hyperlink>
      <w:r w:rsidRPr="005A6460">
        <w:rPr>
          <w:rFonts w:ascii="Arial" w:hAnsi="Arial" w:cs="Arial"/>
          <w:sz w:val="24"/>
          <w:szCs w:val="24"/>
        </w:rPr>
        <w:t xml:space="preserve"> states that the title must accurately reflect “the level of achievements, represent appropriately the nature and field(s) of study undertaken and is not misleading”. </w:t>
      </w:r>
    </w:p>
    <w:p w:rsidRPr="005A6460" w:rsidR="002565CC" w:rsidP="00DE565C" w:rsidRDefault="002565CC" w14:paraId="0F81BDA1" w14:textId="77777777">
      <w:pPr>
        <w:pStyle w:val="ListParagraph"/>
        <w:numPr>
          <w:ilvl w:val="0"/>
          <w:numId w:val="7"/>
        </w:numPr>
        <w:tabs>
          <w:tab w:val="left" w:pos="993"/>
        </w:tabs>
        <w:autoSpaceDE w:val="0"/>
        <w:autoSpaceDN w:val="0"/>
        <w:adjustRightInd w:val="0"/>
        <w:spacing w:after="120"/>
        <w:ind w:left="993" w:right="281" w:hanging="426"/>
        <w:contextualSpacing w:val="0"/>
        <w:rPr>
          <w:rFonts w:ascii="Arial" w:hAnsi="Arial" w:cs="Arial"/>
          <w:sz w:val="24"/>
          <w:szCs w:val="24"/>
        </w:rPr>
      </w:pPr>
      <w:r w:rsidRPr="005A6460">
        <w:rPr>
          <w:rFonts w:ascii="Arial" w:hAnsi="Arial" w:cs="Arial"/>
          <w:sz w:val="24"/>
          <w:szCs w:val="24"/>
        </w:rPr>
        <w:t xml:space="preserve">The title should not already be in use by another </w:t>
      </w:r>
      <w:r>
        <w:rPr>
          <w:rFonts w:ascii="Arial" w:hAnsi="Arial" w:cs="Arial"/>
          <w:sz w:val="24"/>
          <w:szCs w:val="24"/>
        </w:rPr>
        <w:t>course</w:t>
      </w:r>
      <w:r w:rsidRPr="005A6460">
        <w:rPr>
          <w:rFonts w:ascii="Arial" w:hAnsi="Arial" w:cs="Arial"/>
          <w:sz w:val="24"/>
          <w:szCs w:val="24"/>
        </w:rPr>
        <w:t xml:space="preserve"> of study offered at the University. </w:t>
      </w:r>
    </w:p>
    <w:p w:rsidRPr="005A6460" w:rsidR="002565CC" w:rsidP="00DE565C" w:rsidRDefault="002565CC" w14:paraId="7F548BDF" w14:textId="15C4E8AD">
      <w:pPr>
        <w:pStyle w:val="ListParagraph"/>
        <w:numPr>
          <w:ilvl w:val="0"/>
          <w:numId w:val="7"/>
        </w:numPr>
        <w:tabs>
          <w:tab w:val="left" w:pos="993"/>
        </w:tabs>
        <w:autoSpaceDE w:val="0"/>
        <w:autoSpaceDN w:val="0"/>
        <w:adjustRightInd w:val="0"/>
        <w:spacing w:after="120"/>
        <w:ind w:left="993" w:right="281" w:hanging="426"/>
        <w:contextualSpacing w:val="0"/>
        <w:rPr>
          <w:rFonts w:ascii="Arial" w:hAnsi="Arial" w:cs="Arial"/>
          <w:sz w:val="24"/>
          <w:szCs w:val="24"/>
        </w:rPr>
      </w:pPr>
      <w:r w:rsidRPr="005A6460">
        <w:rPr>
          <w:rFonts w:ascii="Arial" w:hAnsi="Arial" w:cs="Arial"/>
          <w:sz w:val="24"/>
          <w:szCs w:val="24"/>
        </w:rPr>
        <w:t xml:space="preserve">The title should meet the conventions set out in section 4 of the </w:t>
      </w:r>
      <w:hyperlink w:history="1" r:id="rId16">
        <w:r w:rsidRPr="00E7027C">
          <w:rPr>
            <w:rStyle w:val="Hyperlink"/>
            <w:rFonts w:ascii="Arial" w:hAnsi="Arial" w:cs="Arial"/>
            <w:sz w:val="24"/>
            <w:szCs w:val="24"/>
          </w:rPr>
          <w:t>Credit Framework</w:t>
        </w:r>
      </w:hyperlink>
      <w:r w:rsidRPr="005A6460">
        <w:rPr>
          <w:rFonts w:ascii="Arial" w:hAnsi="Arial" w:cs="Arial"/>
          <w:sz w:val="24"/>
          <w:szCs w:val="24"/>
        </w:rPr>
        <w:t xml:space="preserve"> regarding single/multiple subject qualifications and </w:t>
      </w:r>
      <w:r>
        <w:rPr>
          <w:rFonts w:ascii="Arial" w:hAnsi="Arial" w:cs="Arial"/>
          <w:sz w:val="24"/>
          <w:szCs w:val="24"/>
        </w:rPr>
        <w:t>course</w:t>
      </w:r>
      <w:r w:rsidRPr="005A6460">
        <w:rPr>
          <w:rFonts w:ascii="Arial" w:hAnsi="Arial" w:cs="Arial"/>
          <w:sz w:val="24"/>
          <w:szCs w:val="24"/>
        </w:rPr>
        <w:t xml:space="preserve">s of study that include pathways. </w:t>
      </w:r>
    </w:p>
    <w:p w:rsidRPr="00E7027C" w:rsidR="002565CC" w:rsidP="002B0683" w:rsidRDefault="002565CC" w14:paraId="6986E7AA" w14:textId="77777777">
      <w:pPr>
        <w:pStyle w:val="ListParagraph"/>
        <w:numPr>
          <w:ilvl w:val="0"/>
          <w:numId w:val="7"/>
        </w:numPr>
        <w:tabs>
          <w:tab w:val="left" w:pos="567"/>
          <w:tab w:val="left" w:pos="993"/>
        </w:tabs>
        <w:autoSpaceDE w:val="0"/>
        <w:autoSpaceDN w:val="0"/>
        <w:adjustRightInd w:val="0"/>
        <w:spacing w:after="120"/>
        <w:ind w:left="993" w:right="281" w:hanging="426"/>
        <w:contextualSpacing w:val="0"/>
        <w:rPr>
          <w:rFonts w:ascii="Arial" w:hAnsi="Arial" w:cs="Arial"/>
          <w:sz w:val="24"/>
          <w:szCs w:val="24"/>
        </w:rPr>
      </w:pPr>
      <w:r w:rsidRPr="00E7027C">
        <w:rPr>
          <w:rFonts w:ascii="Arial" w:hAnsi="Arial" w:cs="Arial"/>
          <w:sz w:val="24"/>
          <w:szCs w:val="24"/>
        </w:rPr>
        <w:t xml:space="preserve">The degree qualification designations that the University of Kent has approved for use are set out </w:t>
      </w:r>
      <w:r w:rsidR="00E7027C">
        <w:rPr>
          <w:rFonts w:ascii="Arial" w:hAnsi="Arial" w:cs="Arial"/>
          <w:sz w:val="24"/>
          <w:szCs w:val="24"/>
        </w:rPr>
        <w:t>at section 29</w:t>
      </w:r>
      <w:r w:rsidRPr="00E7027C">
        <w:rPr>
          <w:rFonts w:ascii="Arial" w:hAnsi="Arial" w:cs="Arial"/>
          <w:sz w:val="24"/>
          <w:szCs w:val="24"/>
        </w:rPr>
        <w:t xml:space="preserve"> of the University’s </w:t>
      </w:r>
      <w:hyperlink w:history="1" r:id="rId17">
        <w:r w:rsidRPr="00E7027C">
          <w:rPr>
            <w:rStyle w:val="Hyperlink"/>
            <w:rFonts w:ascii="Arial" w:hAnsi="Arial" w:cs="Arial"/>
            <w:sz w:val="24"/>
            <w:szCs w:val="24"/>
          </w:rPr>
          <w:t>Ordinances</w:t>
        </w:r>
      </w:hyperlink>
      <w:r w:rsidR="00E7027C">
        <w:rPr>
          <w:rFonts w:ascii="Arial" w:hAnsi="Arial" w:cs="Arial"/>
          <w:sz w:val="24"/>
          <w:szCs w:val="24"/>
        </w:rPr>
        <w:t xml:space="preserve">. </w:t>
      </w:r>
    </w:p>
    <w:p w:rsidRPr="005A6460" w:rsidR="002565CC" w:rsidP="002565CC" w:rsidRDefault="002565CC" w14:paraId="7772561F" w14:textId="77777777">
      <w:pPr>
        <w:tabs>
          <w:tab w:val="left" w:pos="567"/>
        </w:tabs>
        <w:spacing w:after="120"/>
        <w:ind w:right="281"/>
        <w:rPr>
          <w:sz w:val="24"/>
          <w:szCs w:val="24"/>
        </w:rPr>
      </w:pPr>
    </w:p>
    <w:p w:rsidRPr="00146B68" w:rsidR="002750C2" w:rsidP="00146B68" w:rsidRDefault="002750C2" w14:paraId="785EDCA4" w14:textId="77777777"/>
    <w:sectPr w:rsidRPr="00146B68" w:rsidR="002750C2" w:rsidSect="002750C2">
      <w:headerReference w:type="default" r:id="rId18"/>
      <w:footerReference w:type="default" r:id="rId1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080" w:rsidP="002750C2" w:rsidRDefault="007F2080" w14:paraId="641BCA9C" w14:textId="77777777">
      <w:pPr>
        <w:spacing w:after="0" w:line="240" w:lineRule="auto"/>
      </w:pPr>
      <w:r>
        <w:separator/>
      </w:r>
    </w:p>
  </w:endnote>
  <w:endnote w:type="continuationSeparator" w:id="0">
    <w:p w:rsidR="007F2080" w:rsidP="002750C2" w:rsidRDefault="007F2080" w14:paraId="2F685644" w14:textId="77777777">
      <w:pPr>
        <w:spacing w:after="0" w:line="240" w:lineRule="auto"/>
      </w:pPr>
      <w:r>
        <w:continuationSeparator/>
      </w:r>
    </w:p>
  </w:endnote>
  <w:endnote w:type="continuationNotice" w:id="1">
    <w:p w:rsidR="00C14806" w:rsidRDefault="00C14806" w14:paraId="121708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oneSans">
    <w:altName w:val="Calibri"/>
    <w:panose1 w:val="020B0604020202020204"/>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15BF7862" w14:textId="77777777">
    <w:pPr>
      <w:pStyle w:val="Header"/>
      <w:jc w:val="left"/>
      <w:rPr>
        <w:rStyle w:val="eop"/>
        <w:sz w:val="20"/>
        <w:szCs w:val="20"/>
      </w:rPr>
    </w:pPr>
    <w:r>
      <w:rPr>
        <w:rStyle w:val="normaltextrun"/>
        <w:sz w:val="20"/>
        <w:szCs w:val="20"/>
      </w:rPr>
      <w:t>Author: QACO</w:t>
    </w:r>
    <w:r>
      <w:rPr>
        <w:rStyle w:val="eop"/>
        <w:sz w:val="20"/>
        <w:szCs w:val="20"/>
      </w:rPr>
      <w:t> </w:t>
    </w:r>
  </w:p>
  <w:p w:rsidR="00EE55E5" w:rsidP="002F7E36" w:rsidRDefault="00EE55E5" w14:paraId="59BC8E75" w14:textId="77D74497">
    <w:pPr>
      <w:pStyle w:val="Header"/>
      <w:jc w:val="left"/>
      <w:rPr>
        <w:rFonts w:ascii="Segoe UI" w:hAnsi="Segoe UI" w:cs="Segoe UI"/>
        <w:sz w:val="18"/>
        <w:szCs w:val="18"/>
      </w:rPr>
    </w:pPr>
    <w:r>
      <w:rPr>
        <w:rStyle w:val="eop"/>
        <w:sz w:val="20"/>
        <w:szCs w:val="20"/>
      </w:rPr>
      <w:t>Applies to: 202</w:t>
    </w:r>
    <w:r w:rsidR="004246F9">
      <w:rPr>
        <w:rStyle w:val="eop"/>
        <w:sz w:val="20"/>
        <w:szCs w:val="20"/>
      </w:rPr>
      <w:t>2</w:t>
    </w:r>
    <w:r>
      <w:rPr>
        <w:rStyle w:val="eop"/>
        <w:sz w:val="20"/>
        <w:szCs w:val="20"/>
      </w:rPr>
      <w:t>/2</w:t>
    </w:r>
    <w:r w:rsidR="004246F9">
      <w:rPr>
        <w:rStyle w:val="eop"/>
        <w:sz w:val="20"/>
        <w:szCs w:val="20"/>
      </w:rPr>
      <w:t>3</w:t>
    </w:r>
  </w:p>
  <w:p w:rsidR="002F7E36" w:rsidP="002F7E36" w:rsidRDefault="002750C2" w14:paraId="6D7A130D"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E305A13" w:rsidRDefault="002750C2" w14:paraId="7F39D68D" w14:textId="41CA5CE5">
    <w:pPr>
      <w:pStyle w:val="paragraph"/>
      <w:spacing w:before="0" w:beforeAutospacing="off" w:after="0" w:afterAutospacing="off"/>
      <w:jc w:val="left"/>
      <w:textAlignment w:val="baseline"/>
      <w:rPr>
        <w:rStyle w:val="normaltextrun"/>
        <w:rFonts w:ascii="Arial" w:hAnsi="Arial" w:cs="Arial"/>
        <w:sz w:val="20"/>
        <w:szCs w:val="20"/>
      </w:rPr>
    </w:pPr>
    <w:r w:rsidRPr="5E305A13" w:rsidR="5E305A13">
      <w:rPr>
        <w:rStyle w:val="normaltextrun"/>
        <w:rFonts w:ascii="Arial" w:hAnsi="Arial" w:cs="Arial"/>
        <w:sz w:val="20"/>
        <w:szCs w:val="20"/>
      </w:rPr>
      <w:t xml:space="preserve">Last Revised: </w:t>
    </w:r>
    <w:r w:rsidRPr="5E305A13" w:rsidR="5E305A13">
      <w:rPr>
        <w:rStyle w:val="normaltextrun"/>
        <w:rFonts w:ascii="Arial" w:hAnsi="Arial" w:cs="Arial"/>
        <w:sz w:val="20"/>
        <w:szCs w:val="20"/>
      </w:rPr>
      <w:t>November 2023</w:t>
    </w:r>
  </w:p>
  <w:p w:rsidRPr="00C003A9" w:rsidR="00C003A9" w:rsidP="5E305A13" w:rsidRDefault="002750C2" w14:paraId="44830BE5" w14:textId="71650F97">
    <w:pPr>
      <w:pStyle w:val="paragraph"/>
      <w:spacing w:before="0" w:beforeAutospacing="off" w:after="0" w:afterAutospacing="off"/>
      <w:jc w:val="left"/>
      <w:textAlignment w:val="baseline"/>
      <w:rPr>
        <w:rStyle w:val="normaltextrun"/>
        <w:rFonts w:ascii="Arial" w:hAnsi="Arial" w:cs="Arial"/>
        <w:sz w:val="20"/>
        <w:szCs w:val="20"/>
      </w:rPr>
    </w:pPr>
    <w:r w:rsidRPr="5E305A13" w:rsidR="5E305A13">
      <w:rPr>
        <w:rStyle w:val="normaltextrun"/>
        <w:rFonts w:ascii="Arial" w:hAnsi="Arial" w:cs="Arial"/>
        <w:sz w:val="20"/>
        <w:szCs w:val="20"/>
      </w:rPr>
      <w:t>Next review: September 202</w:t>
    </w:r>
    <w:r w:rsidRPr="5E305A13" w:rsidR="5E305A13">
      <w:rPr>
        <w:rStyle w:val="normaltextrun"/>
        <w:rFonts w:ascii="Arial" w:hAnsi="Arial" w:cs="Arial"/>
        <w:sz w:val="20"/>
        <w:szCs w:val="20"/>
      </w:rPr>
      <w:t>4</w:t>
    </w:r>
  </w:p>
  <w:p w:rsidR="002750C2" w:rsidP="002750C2" w:rsidRDefault="002750C2" w14:paraId="469CC3B1"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7027C">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7027C">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080" w:rsidP="002750C2" w:rsidRDefault="007F2080" w14:paraId="71C8CF55" w14:textId="77777777">
      <w:pPr>
        <w:spacing w:after="0" w:line="240" w:lineRule="auto"/>
      </w:pPr>
      <w:r>
        <w:separator/>
      </w:r>
    </w:p>
  </w:footnote>
  <w:footnote w:type="continuationSeparator" w:id="0">
    <w:p w:rsidR="007F2080" w:rsidP="002750C2" w:rsidRDefault="007F2080" w14:paraId="4D3A4FDB" w14:textId="77777777">
      <w:pPr>
        <w:spacing w:after="0" w:line="240" w:lineRule="auto"/>
      </w:pPr>
      <w:r>
        <w:continuationSeparator/>
      </w:r>
    </w:p>
  </w:footnote>
  <w:footnote w:type="continuationNotice" w:id="1">
    <w:p w:rsidR="00C14806" w:rsidRDefault="00C14806" w14:paraId="298493E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4246F9" w14:paraId="35CD0B71" w14:textId="69D90387">
    <w:pPr>
      <w:pStyle w:val="Header"/>
      <w:jc w:val="right"/>
    </w:pPr>
    <w:r>
      <w:rPr>
        <w:noProof/>
      </w:rPr>
      <w:drawing>
        <wp:anchor distT="0" distB="0" distL="114300" distR="114300" simplePos="0" relativeHeight="251658240" behindDoc="0" locked="0" layoutInCell="1" allowOverlap="1" wp14:anchorId="45693D7D" wp14:editId="21E4CE3D">
          <wp:simplePos x="0" y="0"/>
          <wp:positionH relativeFrom="column">
            <wp:posOffset>-913765</wp:posOffset>
          </wp:positionH>
          <wp:positionV relativeFrom="paragraph">
            <wp:posOffset>-451485</wp:posOffset>
          </wp:positionV>
          <wp:extent cx="7560000" cy="1117035"/>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035"/>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163CCDE3" w14:textId="7DC70889">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35B348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09F"/>
    <w:multiLevelType w:val="hybridMultilevel"/>
    <w:tmpl w:val="C81086AE"/>
    <w:lvl w:ilvl="0" w:tplc="5A5CCD24">
      <w:start w:val="1"/>
      <w:numFmt w:val="decimal"/>
      <w:lvlText w:val="6.%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F6974"/>
    <w:multiLevelType w:val="multilevel"/>
    <w:tmpl w:val="564C337C"/>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50DF459C"/>
    <w:multiLevelType w:val="multilevel"/>
    <w:tmpl w:val="987C615E"/>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E21937"/>
    <w:multiLevelType w:val="hybridMultilevel"/>
    <w:tmpl w:val="64D6E874"/>
    <w:lvl w:ilvl="0" w:tplc="2E34CA16">
      <w:start w:val="1"/>
      <w:numFmt w:val="bullet"/>
      <w:lvlText w:val=""/>
      <w:lvlJc w:val="left"/>
      <w:pPr>
        <w:ind w:left="720" w:hanging="360"/>
      </w:pPr>
      <w:rPr>
        <w:rFonts w:hint="default" w:ascii="Symbol" w:hAnsi="Symbo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6" w15:restartNumberingAfterBreak="0">
    <w:nsid w:val="7EA14667"/>
    <w:multiLevelType w:val="multilevel"/>
    <w:tmpl w:val="6F8EFA1C"/>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26823527">
    <w:abstractNumId w:val="2"/>
  </w:num>
  <w:num w:numId="2" w16cid:durableId="1088040982">
    <w:abstractNumId w:val="5"/>
  </w:num>
  <w:num w:numId="3" w16cid:durableId="836070905">
    <w:abstractNumId w:val="3"/>
  </w:num>
  <w:num w:numId="4" w16cid:durableId="45376106">
    <w:abstractNumId w:val="1"/>
  </w:num>
  <w:num w:numId="5" w16cid:durableId="302851684">
    <w:abstractNumId w:val="6"/>
  </w:num>
  <w:num w:numId="6" w16cid:durableId="1976061787">
    <w:abstractNumId w:val="0"/>
  </w:num>
  <w:num w:numId="7" w16cid:durableId="977494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2565CC"/>
    <w:rsid w:val="002750C2"/>
    <w:rsid w:val="002E2660"/>
    <w:rsid w:val="002F7E36"/>
    <w:rsid w:val="004246F9"/>
    <w:rsid w:val="00516BB0"/>
    <w:rsid w:val="006F60A4"/>
    <w:rsid w:val="00785C5B"/>
    <w:rsid w:val="007F2080"/>
    <w:rsid w:val="008E10BF"/>
    <w:rsid w:val="00B341A4"/>
    <w:rsid w:val="00C003A9"/>
    <w:rsid w:val="00C14806"/>
    <w:rsid w:val="00D44A12"/>
    <w:rsid w:val="00DB6389"/>
    <w:rsid w:val="00DE565C"/>
    <w:rsid w:val="00E42F70"/>
    <w:rsid w:val="00E7027C"/>
    <w:rsid w:val="00EE55E5"/>
    <w:rsid w:val="00EE7692"/>
    <w:rsid w:val="00F27B4C"/>
    <w:rsid w:val="00F5373E"/>
    <w:rsid w:val="5E305A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7F9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8E10BF"/>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paragraph" w:styleId="Heading3">
    <w:name w:val="heading 3"/>
    <w:basedOn w:val="Normal"/>
    <w:next w:val="Normal"/>
    <w:link w:val="Heading3Char"/>
    <w:uiPriority w:val="9"/>
    <w:semiHidden/>
    <w:unhideWhenUsed/>
    <w:qFormat/>
    <w:rsid w:val="002565C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E10BF"/>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3Char" w:customStyle="1">
    <w:name w:val="Heading 3 Char"/>
    <w:basedOn w:val="DefaultParagraphFont"/>
    <w:link w:val="Heading3"/>
    <w:uiPriority w:val="9"/>
    <w:semiHidden/>
    <w:rsid w:val="002565CC"/>
    <w:rPr>
      <w:rFonts w:asciiTheme="majorHAnsi" w:hAnsiTheme="majorHAnsi" w:eastAsiaTheme="majorEastAsia" w:cstheme="majorBidi"/>
      <w:color w:val="1F4D78" w:themeColor="accent1" w:themeShade="7F"/>
      <w:sz w:val="24"/>
      <w:szCs w:val="24"/>
      <w:lang w:eastAsia="en-GB"/>
    </w:rPr>
  </w:style>
  <w:style w:type="paragraph" w:styleId="NormalWeb">
    <w:name w:val="Normal (Web)"/>
    <w:basedOn w:val="Normal"/>
    <w:rsid w:val="002565CC"/>
    <w:pPr>
      <w:spacing w:before="100" w:beforeAutospacing="1" w:after="100" w:afterAutospacing="1" w:line="240" w:lineRule="auto"/>
      <w:ind w:left="0" w:right="0" w:firstLine="0"/>
      <w:jc w:val="left"/>
    </w:pPr>
    <w:rPr>
      <w:rFonts w:ascii="Times New Roman" w:hAnsi="Times New Roman" w:eastAsia="SimSun" w:cs="Times New Roman"/>
      <w:color w:val="auto"/>
      <w:sz w:val="24"/>
      <w:szCs w:val="24"/>
      <w:lang w:eastAsia="zh-CN"/>
    </w:rPr>
  </w:style>
  <w:style w:type="paragraph" w:styleId="ListParagraph">
    <w:name w:val="List Paragraph"/>
    <w:basedOn w:val="Normal"/>
    <w:uiPriority w:val="34"/>
    <w:qFormat/>
    <w:rsid w:val="002565CC"/>
    <w:pPr>
      <w:spacing w:after="0" w:line="240" w:lineRule="auto"/>
      <w:ind w:left="720" w:right="0" w:firstLine="0"/>
      <w:contextualSpacing/>
      <w:jc w:val="left"/>
    </w:pPr>
    <w:rPr>
      <w:rFonts w:ascii="Times New Roman" w:hAnsi="Times New Roman" w:eastAsia="Times New Roman" w:cs="Times New Roman"/>
      <w:color w:val="auto"/>
      <w:sz w:val="20"/>
      <w:szCs w:val="20"/>
      <w:lang w:eastAsia="en-US"/>
    </w:rPr>
  </w:style>
  <w:style w:type="paragraph" w:styleId="Pa2" w:customStyle="1">
    <w:name w:val="Pa2"/>
    <w:basedOn w:val="Normal"/>
    <w:next w:val="Normal"/>
    <w:uiPriority w:val="99"/>
    <w:rsid w:val="002565CC"/>
    <w:pPr>
      <w:autoSpaceDE w:val="0"/>
      <w:autoSpaceDN w:val="0"/>
      <w:adjustRightInd w:val="0"/>
      <w:spacing w:after="0" w:line="221" w:lineRule="atLeast"/>
      <w:ind w:left="0" w:right="0" w:firstLine="0"/>
      <w:jc w:val="left"/>
    </w:pPr>
    <w:rPr>
      <w:rFonts w:ascii="StoneSans" w:hAnsi="StoneSans" w:eastAsiaTheme="minorEastAsia" w:cstheme="minorBidi"/>
      <w:color w:val="auto"/>
      <w:sz w:val="24"/>
      <w:szCs w:val="24"/>
      <w:lang w:eastAsia="zh-CN"/>
    </w:rPr>
  </w:style>
  <w:style w:type="character" w:styleId="FollowedHyperlink">
    <w:name w:val="FollowedHyperlink"/>
    <w:basedOn w:val="DefaultParagraphFont"/>
    <w:uiPriority w:val="99"/>
    <w:semiHidden/>
    <w:unhideWhenUsed/>
    <w:rsid w:val="00E7027C"/>
    <w:rPr>
      <w:color w:val="954F72" w:themeColor="followedHyperlink"/>
      <w:u w:val="single"/>
    </w:rPr>
  </w:style>
  <w:style w:type="character" w:styleId="UnresolvedMention">
    <w:name w:val="Unresolved Mention"/>
    <w:basedOn w:val="DefaultParagraphFont"/>
    <w:uiPriority w:val="99"/>
    <w:semiHidden/>
    <w:unhideWhenUsed/>
    <w:rsid w:val="00F5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qaa.ac.uk/docs/qaa/quality-code/master's-degree-characteristics-statement.pdf?sfvrsn=86c5ca81_18"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qaa.ac.uk/docs/qaa/quality-code/doctoral-degree-characteristics-statement-2020.pdf" TargetMode="External" Id="rId12" /><Relationship Type="http://schemas.openxmlformats.org/officeDocument/2006/relationships/hyperlink" Target="https://www.kent.ac.uk/governance/about/consitutionandmanagement.html" TargetMode="External" Id="rId17" /><Relationship Type="http://schemas.openxmlformats.org/officeDocument/2006/relationships/customXml" Target="../customXml/item2.xml" Id="rId2" /><Relationship Type="http://schemas.openxmlformats.org/officeDocument/2006/relationships/hyperlink" Target="https://www.kent.ac.uk/education/regulatory-framework/credit-framewor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qaa.ac.uk/docs/qaa/quality-code/foundation-degree-characteristics-statement-2020.pdf?sfvrsn=6fc5ca81_10" TargetMode="External" Id="rId11" /><Relationship Type="http://schemas.openxmlformats.org/officeDocument/2006/relationships/styles" Target="styles.xml" Id="rId5" /><Relationship Type="http://schemas.openxmlformats.org/officeDocument/2006/relationships/hyperlink" Target="https://www.qaa.ac.uk/docs/qaa/quality-code/qualifications-frameworks.pdf" TargetMode="External" Id="rId15" /><Relationship Type="http://schemas.openxmlformats.org/officeDocument/2006/relationships/hyperlink" Target="https://www.qaa.ac.uk/quality-code/subject-benchmark-statements"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ent.ac.uk/education/regulatory-framework/codes-of-practice-for-taught-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9BE1C-39E2-4881-A198-631AC537D614}"/>
</file>

<file path=customXml/itemProps2.xml><?xml version="1.0" encoding="utf-8"?>
<ds:datastoreItem xmlns:ds="http://schemas.openxmlformats.org/officeDocument/2006/customXml" ds:itemID="{6C15AA74-62CB-4B0A-803F-2D248EB3E89C}">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A7019B88-3228-4356-A447-AB950C840E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dcterms:created xsi:type="dcterms:W3CDTF">2021-08-11T13:54:00Z</dcterms:created>
  <dcterms:modified xsi:type="dcterms:W3CDTF">2023-11-09T15:56:55Z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