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571E8" w:rsidR="004C2AAD" w:rsidP="00E31F4F" w:rsidRDefault="004C2AAD" w14:paraId="295F4A82" w14:textId="77777777">
      <w:pPr>
        <w:pStyle w:val="Title"/>
        <w:ind w:right="95"/>
        <w:rPr>
          <w:rFonts w:cs="Arial"/>
          <w:b w:val="0"/>
          <w:szCs w:val="32"/>
        </w:rPr>
      </w:pPr>
      <w:r w:rsidRPr="00B571E8">
        <w:rPr>
          <w:rFonts w:cs="Arial"/>
          <w:szCs w:val="32"/>
        </w:rPr>
        <w:t>Annex B: Approval and Withdrawal of Modules</w:t>
      </w:r>
    </w:p>
    <w:p w:rsidRPr="00E31F4F" w:rsidR="004C2AAD" w:rsidP="00E31F4F" w:rsidRDefault="004C2AAD" w14:paraId="1433FC35" w14:textId="77777777">
      <w:pPr>
        <w:ind w:right="95"/>
        <w:rPr>
          <w:szCs w:val="24"/>
        </w:rPr>
      </w:pPr>
    </w:p>
    <w:sdt>
      <w:sdtPr>
        <w:rPr>
          <w:rFonts w:eastAsia="Times New Roman" w:cs="Arial"/>
          <w:b w:val="0"/>
          <w:color w:val="000000"/>
          <w:szCs w:val="24"/>
          <w:lang w:val="en-GB" w:eastAsia="en-GB"/>
        </w:rPr>
        <w:id w:val="1640696470"/>
        <w:docPartObj>
          <w:docPartGallery w:val="Table of Contents"/>
          <w:docPartUnique/>
        </w:docPartObj>
      </w:sdtPr>
      <w:sdtEndPr>
        <w:rPr>
          <w:rFonts w:eastAsia="Arial"/>
          <w:bCs/>
          <w:noProof/>
        </w:rPr>
      </w:sdtEndPr>
      <w:sdtContent>
        <w:p w:rsidRPr="00B571E8" w:rsidR="00C93EBB" w:rsidP="00B571E8" w:rsidRDefault="00C93EBB" w14:paraId="36929AB1" w14:textId="77777777">
          <w:pPr>
            <w:pStyle w:val="TOCHeading"/>
            <w:tabs>
              <w:tab w:val="left" w:pos="567"/>
            </w:tabs>
            <w:spacing w:line="240" w:lineRule="auto"/>
            <w:ind w:right="95"/>
            <w:rPr>
              <w:rFonts w:cs="Arial"/>
              <w:szCs w:val="24"/>
            </w:rPr>
          </w:pPr>
          <w:r w:rsidRPr="00B571E8">
            <w:rPr>
              <w:rFonts w:cs="Arial"/>
              <w:szCs w:val="24"/>
            </w:rPr>
            <w:t>Table of Contents</w:t>
          </w:r>
        </w:p>
        <w:p w:rsidRPr="00B571E8" w:rsidR="00B571E8" w:rsidP="00B571E8" w:rsidRDefault="00C93EBB" w14:paraId="69F75F3E" w14:textId="50556D95">
          <w:pPr>
            <w:pStyle w:val="TOC1"/>
            <w:tabs>
              <w:tab w:val="left" w:pos="567"/>
              <w:tab w:val="right" w:leader="dot" w:pos="9016"/>
            </w:tabs>
            <w:rPr>
              <w:rFonts w:ascii="Arial" w:hAnsi="Arial" w:cs="Arial" w:eastAsiaTheme="minorEastAsia"/>
              <w:noProof/>
              <w:sz w:val="24"/>
              <w:szCs w:val="24"/>
              <w:lang w:eastAsia="zh-CN"/>
            </w:rPr>
          </w:pPr>
          <w:r w:rsidRPr="00B571E8">
            <w:rPr>
              <w:rFonts w:ascii="Arial" w:hAnsi="Arial" w:cs="Arial"/>
              <w:sz w:val="24"/>
              <w:szCs w:val="24"/>
            </w:rPr>
            <w:fldChar w:fldCharType="begin"/>
          </w:r>
          <w:r w:rsidRPr="00B571E8">
            <w:rPr>
              <w:rFonts w:ascii="Arial" w:hAnsi="Arial" w:cs="Arial"/>
              <w:sz w:val="24"/>
              <w:szCs w:val="24"/>
            </w:rPr>
            <w:instrText xml:space="preserve"> TOC \o "1-3" \h \z \u </w:instrText>
          </w:r>
          <w:r w:rsidRPr="00B571E8">
            <w:rPr>
              <w:rFonts w:ascii="Arial" w:hAnsi="Arial" w:cs="Arial"/>
              <w:sz w:val="24"/>
              <w:szCs w:val="24"/>
            </w:rPr>
            <w:fldChar w:fldCharType="separate"/>
          </w:r>
          <w:hyperlink w:history="1" w:anchor="_Toc83120974">
            <w:r w:rsidRPr="00B571E8" w:rsidR="00B571E8">
              <w:rPr>
                <w:rStyle w:val="Hyperlink"/>
                <w:rFonts w:ascii="Arial" w:hAnsi="Arial" w:cs="Arial" w:eastAsiaTheme="majorEastAsia"/>
                <w:noProof/>
                <w:sz w:val="24"/>
                <w:szCs w:val="24"/>
              </w:rPr>
              <w:t xml:space="preserve">1.     </w:t>
            </w:r>
            <w:r w:rsidRPr="00B571E8" w:rsidR="00B571E8">
              <w:rPr>
                <w:rFonts w:ascii="Arial" w:hAnsi="Arial" w:cs="Arial" w:eastAsiaTheme="minorEastAsia"/>
                <w:noProof/>
                <w:sz w:val="24"/>
                <w:szCs w:val="24"/>
                <w:lang w:eastAsia="zh-CN"/>
              </w:rPr>
              <w:tab/>
            </w:r>
            <w:r w:rsidRPr="00B571E8" w:rsidR="00B571E8">
              <w:rPr>
                <w:rStyle w:val="Hyperlink"/>
                <w:rFonts w:ascii="Arial" w:hAnsi="Arial" w:cs="Arial" w:eastAsiaTheme="majorEastAsia"/>
                <w:noProof/>
                <w:sz w:val="24"/>
                <w:szCs w:val="24"/>
              </w:rPr>
              <w:t>Overview</w:t>
            </w:r>
            <w:r w:rsidRPr="00B571E8" w:rsidR="00B571E8">
              <w:rPr>
                <w:rFonts w:ascii="Arial" w:hAnsi="Arial" w:cs="Arial"/>
                <w:noProof/>
                <w:webHidden/>
                <w:sz w:val="24"/>
                <w:szCs w:val="24"/>
              </w:rPr>
              <w:tab/>
            </w:r>
            <w:r w:rsidRPr="00B571E8" w:rsidR="00B571E8">
              <w:rPr>
                <w:rFonts w:ascii="Arial" w:hAnsi="Arial" w:cs="Arial"/>
                <w:noProof/>
                <w:webHidden/>
                <w:sz w:val="24"/>
                <w:szCs w:val="24"/>
              </w:rPr>
              <w:fldChar w:fldCharType="begin"/>
            </w:r>
            <w:r w:rsidRPr="00B571E8" w:rsidR="00B571E8">
              <w:rPr>
                <w:rFonts w:ascii="Arial" w:hAnsi="Arial" w:cs="Arial"/>
                <w:noProof/>
                <w:webHidden/>
                <w:sz w:val="24"/>
                <w:szCs w:val="24"/>
              </w:rPr>
              <w:instrText xml:space="preserve"> PAGEREF _Toc83120974 \h </w:instrText>
            </w:r>
            <w:r w:rsidRPr="00B571E8" w:rsidR="00B571E8">
              <w:rPr>
                <w:rFonts w:ascii="Arial" w:hAnsi="Arial" w:cs="Arial"/>
                <w:noProof/>
                <w:webHidden/>
                <w:sz w:val="24"/>
                <w:szCs w:val="24"/>
              </w:rPr>
            </w:r>
            <w:r w:rsidRPr="00B571E8" w:rsidR="00B571E8">
              <w:rPr>
                <w:rFonts w:ascii="Arial" w:hAnsi="Arial" w:cs="Arial"/>
                <w:noProof/>
                <w:webHidden/>
                <w:sz w:val="24"/>
                <w:szCs w:val="24"/>
              </w:rPr>
              <w:fldChar w:fldCharType="separate"/>
            </w:r>
            <w:r w:rsidR="00895B41">
              <w:rPr>
                <w:rFonts w:ascii="Arial" w:hAnsi="Arial" w:cs="Arial"/>
                <w:noProof/>
                <w:webHidden/>
                <w:sz w:val="24"/>
                <w:szCs w:val="24"/>
              </w:rPr>
              <w:t>2</w:t>
            </w:r>
            <w:r w:rsidRPr="00B571E8" w:rsidR="00B571E8">
              <w:rPr>
                <w:rFonts w:ascii="Arial" w:hAnsi="Arial" w:cs="Arial"/>
                <w:noProof/>
                <w:webHidden/>
                <w:sz w:val="24"/>
                <w:szCs w:val="24"/>
              </w:rPr>
              <w:fldChar w:fldCharType="end"/>
            </w:r>
          </w:hyperlink>
        </w:p>
        <w:p w:rsidRPr="00B571E8" w:rsidR="00B571E8" w:rsidP="00B571E8" w:rsidRDefault="00690397" w14:paraId="520DBE4A" w14:textId="2E6BB1A7">
          <w:pPr>
            <w:pStyle w:val="TOC1"/>
            <w:tabs>
              <w:tab w:val="left" w:pos="567"/>
              <w:tab w:val="right" w:leader="dot" w:pos="9016"/>
            </w:tabs>
            <w:rPr>
              <w:rFonts w:ascii="Arial" w:hAnsi="Arial" w:cs="Arial" w:eastAsiaTheme="minorEastAsia"/>
              <w:noProof/>
              <w:sz w:val="24"/>
              <w:szCs w:val="24"/>
              <w:lang w:eastAsia="zh-CN"/>
            </w:rPr>
          </w:pPr>
          <w:hyperlink w:history="1" w:anchor="_Toc83120975">
            <w:r w:rsidRPr="00B571E8" w:rsidR="00B571E8">
              <w:rPr>
                <w:rStyle w:val="Hyperlink"/>
                <w:rFonts w:ascii="Arial" w:hAnsi="Arial" w:cs="Arial" w:eastAsiaTheme="majorEastAsia"/>
                <w:noProof/>
                <w:sz w:val="24"/>
                <w:szCs w:val="24"/>
              </w:rPr>
              <w:t>2.     Module Designations</w:t>
            </w:r>
            <w:r w:rsidRPr="00B571E8" w:rsidR="00B571E8">
              <w:rPr>
                <w:rFonts w:ascii="Arial" w:hAnsi="Arial" w:cs="Arial"/>
                <w:noProof/>
                <w:webHidden/>
                <w:sz w:val="24"/>
                <w:szCs w:val="24"/>
              </w:rPr>
              <w:tab/>
            </w:r>
            <w:r w:rsidRPr="00B571E8" w:rsidR="00B571E8">
              <w:rPr>
                <w:rFonts w:ascii="Arial" w:hAnsi="Arial" w:cs="Arial"/>
                <w:noProof/>
                <w:webHidden/>
                <w:sz w:val="24"/>
                <w:szCs w:val="24"/>
              </w:rPr>
              <w:fldChar w:fldCharType="begin"/>
            </w:r>
            <w:r w:rsidRPr="00B571E8" w:rsidR="00B571E8">
              <w:rPr>
                <w:rFonts w:ascii="Arial" w:hAnsi="Arial" w:cs="Arial"/>
                <w:noProof/>
                <w:webHidden/>
                <w:sz w:val="24"/>
                <w:szCs w:val="24"/>
              </w:rPr>
              <w:instrText xml:space="preserve"> PAGEREF _Toc83120975 \h </w:instrText>
            </w:r>
            <w:r w:rsidRPr="00B571E8" w:rsidR="00B571E8">
              <w:rPr>
                <w:rFonts w:ascii="Arial" w:hAnsi="Arial" w:cs="Arial"/>
                <w:noProof/>
                <w:webHidden/>
                <w:sz w:val="24"/>
                <w:szCs w:val="24"/>
              </w:rPr>
            </w:r>
            <w:r w:rsidRPr="00B571E8" w:rsidR="00B571E8">
              <w:rPr>
                <w:rFonts w:ascii="Arial" w:hAnsi="Arial" w:cs="Arial"/>
                <w:noProof/>
                <w:webHidden/>
                <w:sz w:val="24"/>
                <w:szCs w:val="24"/>
              </w:rPr>
              <w:fldChar w:fldCharType="separate"/>
            </w:r>
            <w:r w:rsidR="00895B41">
              <w:rPr>
                <w:rFonts w:ascii="Arial" w:hAnsi="Arial" w:cs="Arial"/>
                <w:noProof/>
                <w:webHidden/>
                <w:sz w:val="24"/>
                <w:szCs w:val="24"/>
              </w:rPr>
              <w:t>2</w:t>
            </w:r>
            <w:r w:rsidRPr="00B571E8" w:rsidR="00B571E8">
              <w:rPr>
                <w:rFonts w:ascii="Arial" w:hAnsi="Arial" w:cs="Arial"/>
                <w:noProof/>
                <w:webHidden/>
                <w:sz w:val="24"/>
                <w:szCs w:val="24"/>
              </w:rPr>
              <w:fldChar w:fldCharType="end"/>
            </w:r>
          </w:hyperlink>
        </w:p>
        <w:p w:rsidRPr="00B571E8" w:rsidR="00B571E8" w:rsidRDefault="00690397" w14:paraId="744A04E1" w14:textId="5861662E">
          <w:pPr>
            <w:pStyle w:val="TOC2"/>
            <w:rPr>
              <w:rFonts w:eastAsiaTheme="minorEastAsia"/>
              <w:lang w:eastAsia="zh-CN"/>
            </w:rPr>
          </w:pPr>
          <w:hyperlink w:history="1" w:anchor="_Toc83120976">
            <w:r w:rsidRPr="00B571E8" w:rsidR="00B571E8">
              <w:rPr>
                <w:rStyle w:val="Hyperlink"/>
                <w:rFonts w:eastAsiaTheme="majorEastAsia"/>
                <w:bdr w:val="none" w:color="auto" w:sz="0" w:space="0" w:frame="1"/>
              </w:rPr>
              <w:t>2.1</w:t>
            </w:r>
            <w:r w:rsidRPr="00B571E8" w:rsidR="00B571E8">
              <w:rPr>
                <w:rFonts w:eastAsiaTheme="minorEastAsia"/>
                <w:lang w:eastAsia="zh-CN"/>
              </w:rPr>
              <w:tab/>
            </w:r>
            <w:r w:rsidRPr="00B571E8" w:rsidR="00B571E8">
              <w:rPr>
                <w:rStyle w:val="Hyperlink"/>
                <w:rFonts w:eastAsiaTheme="majorEastAsia"/>
                <w:bCs/>
                <w:bdr w:val="none" w:color="auto" w:sz="0" w:space="0" w:frame="1"/>
              </w:rPr>
              <w:t>Compulsory Modules</w:t>
            </w:r>
            <w:r w:rsidRPr="00B571E8" w:rsidR="00B571E8">
              <w:rPr>
                <w:webHidden/>
              </w:rPr>
              <w:tab/>
            </w:r>
            <w:r w:rsidRPr="00B571E8" w:rsidR="00B571E8">
              <w:rPr>
                <w:webHidden/>
              </w:rPr>
              <w:fldChar w:fldCharType="begin"/>
            </w:r>
            <w:r w:rsidRPr="00B571E8" w:rsidR="00B571E8">
              <w:rPr>
                <w:webHidden/>
              </w:rPr>
              <w:instrText xml:space="preserve"> PAGEREF _Toc83120976 \h </w:instrText>
            </w:r>
            <w:r w:rsidRPr="00B571E8" w:rsidR="00B571E8">
              <w:rPr>
                <w:webHidden/>
              </w:rPr>
            </w:r>
            <w:r w:rsidRPr="00B571E8" w:rsidR="00B571E8">
              <w:rPr>
                <w:webHidden/>
              </w:rPr>
              <w:fldChar w:fldCharType="separate"/>
            </w:r>
            <w:r w:rsidR="00895B41">
              <w:rPr>
                <w:webHidden/>
              </w:rPr>
              <w:t>2</w:t>
            </w:r>
            <w:r w:rsidRPr="00B571E8" w:rsidR="00B571E8">
              <w:rPr>
                <w:webHidden/>
              </w:rPr>
              <w:fldChar w:fldCharType="end"/>
            </w:r>
          </w:hyperlink>
        </w:p>
        <w:p w:rsidRPr="00B571E8" w:rsidR="00B571E8" w:rsidRDefault="00690397" w14:paraId="56AA306F" w14:textId="3507949B">
          <w:pPr>
            <w:pStyle w:val="TOC2"/>
            <w:rPr>
              <w:rFonts w:eastAsiaTheme="minorEastAsia"/>
              <w:lang w:eastAsia="zh-CN"/>
            </w:rPr>
          </w:pPr>
          <w:hyperlink w:history="1" w:anchor="_Toc83120977">
            <w:r w:rsidRPr="00B571E8" w:rsidR="00B571E8">
              <w:rPr>
                <w:rStyle w:val="Hyperlink"/>
                <w:rFonts w:eastAsiaTheme="majorEastAsia"/>
                <w:bCs/>
                <w:bdr w:val="none" w:color="auto" w:sz="0" w:space="0" w:frame="1"/>
              </w:rPr>
              <w:t>2.2</w:t>
            </w:r>
            <w:r w:rsidRPr="00B571E8" w:rsidR="00B571E8">
              <w:rPr>
                <w:rFonts w:eastAsiaTheme="minorEastAsia"/>
                <w:lang w:eastAsia="zh-CN"/>
              </w:rPr>
              <w:tab/>
            </w:r>
            <w:r w:rsidRPr="00B571E8" w:rsidR="00B571E8">
              <w:rPr>
                <w:rStyle w:val="Hyperlink"/>
                <w:rFonts w:eastAsiaTheme="majorEastAsia"/>
                <w:bdr w:val="none" w:color="auto" w:sz="0" w:space="0" w:frame="1"/>
              </w:rPr>
              <w:t>Optional Modules</w:t>
            </w:r>
            <w:r w:rsidRPr="00B571E8" w:rsidR="00B571E8">
              <w:rPr>
                <w:webHidden/>
              </w:rPr>
              <w:tab/>
            </w:r>
            <w:r w:rsidRPr="00B571E8" w:rsidR="00B571E8">
              <w:rPr>
                <w:webHidden/>
              </w:rPr>
              <w:fldChar w:fldCharType="begin"/>
            </w:r>
            <w:r w:rsidRPr="00B571E8" w:rsidR="00B571E8">
              <w:rPr>
                <w:webHidden/>
              </w:rPr>
              <w:instrText xml:space="preserve"> PAGEREF _Toc83120977 \h </w:instrText>
            </w:r>
            <w:r w:rsidRPr="00B571E8" w:rsidR="00B571E8">
              <w:rPr>
                <w:webHidden/>
              </w:rPr>
            </w:r>
            <w:r w:rsidRPr="00B571E8" w:rsidR="00B571E8">
              <w:rPr>
                <w:webHidden/>
              </w:rPr>
              <w:fldChar w:fldCharType="separate"/>
            </w:r>
            <w:r w:rsidR="00895B41">
              <w:rPr>
                <w:webHidden/>
              </w:rPr>
              <w:t>2</w:t>
            </w:r>
            <w:r w:rsidRPr="00B571E8" w:rsidR="00B571E8">
              <w:rPr>
                <w:webHidden/>
              </w:rPr>
              <w:fldChar w:fldCharType="end"/>
            </w:r>
          </w:hyperlink>
        </w:p>
        <w:p w:rsidRPr="00B571E8" w:rsidR="00B571E8" w:rsidRDefault="00690397" w14:paraId="5A110689" w14:textId="22B04321">
          <w:pPr>
            <w:pStyle w:val="TOC2"/>
            <w:rPr>
              <w:rFonts w:eastAsiaTheme="minorEastAsia"/>
              <w:lang w:eastAsia="zh-CN"/>
            </w:rPr>
          </w:pPr>
          <w:hyperlink w:history="1" w:anchor="_Toc83120978">
            <w:r w:rsidRPr="00B571E8" w:rsidR="00B571E8">
              <w:rPr>
                <w:rStyle w:val="Hyperlink"/>
                <w:rFonts w:eastAsiaTheme="majorEastAsia"/>
                <w:bCs/>
                <w:bdr w:val="none" w:color="auto" w:sz="0" w:space="0" w:frame="1"/>
              </w:rPr>
              <w:t>2.3</w:t>
            </w:r>
            <w:r w:rsidRPr="00B571E8" w:rsidR="00B571E8">
              <w:rPr>
                <w:rFonts w:eastAsiaTheme="minorEastAsia"/>
                <w:lang w:eastAsia="zh-CN"/>
              </w:rPr>
              <w:tab/>
            </w:r>
            <w:r w:rsidRPr="00B571E8" w:rsidR="00B571E8">
              <w:rPr>
                <w:rStyle w:val="Hyperlink"/>
                <w:rFonts w:eastAsiaTheme="majorEastAsia"/>
                <w:bdr w:val="none" w:color="auto" w:sz="0" w:space="0" w:frame="1"/>
              </w:rPr>
              <w:t>Elective Modules</w:t>
            </w:r>
            <w:r w:rsidRPr="00B571E8" w:rsidR="00B571E8">
              <w:rPr>
                <w:webHidden/>
              </w:rPr>
              <w:tab/>
            </w:r>
            <w:r w:rsidRPr="00B571E8" w:rsidR="00B571E8">
              <w:rPr>
                <w:webHidden/>
              </w:rPr>
              <w:fldChar w:fldCharType="begin"/>
            </w:r>
            <w:r w:rsidRPr="00B571E8" w:rsidR="00B571E8">
              <w:rPr>
                <w:webHidden/>
              </w:rPr>
              <w:instrText xml:space="preserve"> PAGEREF _Toc83120978 \h </w:instrText>
            </w:r>
            <w:r w:rsidRPr="00B571E8" w:rsidR="00B571E8">
              <w:rPr>
                <w:webHidden/>
              </w:rPr>
            </w:r>
            <w:r w:rsidRPr="00B571E8" w:rsidR="00B571E8">
              <w:rPr>
                <w:webHidden/>
              </w:rPr>
              <w:fldChar w:fldCharType="separate"/>
            </w:r>
            <w:r w:rsidR="00895B41">
              <w:rPr>
                <w:webHidden/>
              </w:rPr>
              <w:t>2</w:t>
            </w:r>
            <w:r w:rsidRPr="00B571E8" w:rsidR="00B571E8">
              <w:rPr>
                <w:webHidden/>
              </w:rPr>
              <w:fldChar w:fldCharType="end"/>
            </w:r>
          </w:hyperlink>
        </w:p>
        <w:p w:rsidRPr="00B571E8" w:rsidR="00B571E8" w:rsidRDefault="00690397" w14:paraId="5A34AB68" w14:textId="2EAAF8A7">
          <w:pPr>
            <w:pStyle w:val="TOC1"/>
            <w:tabs>
              <w:tab w:val="right" w:leader="dot" w:pos="9016"/>
            </w:tabs>
            <w:rPr>
              <w:rFonts w:ascii="Arial" w:hAnsi="Arial" w:cs="Arial" w:eastAsiaTheme="minorEastAsia"/>
              <w:noProof/>
              <w:sz w:val="24"/>
              <w:szCs w:val="24"/>
              <w:lang w:eastAsia="zh-CN"/>
            </w:rPr>
          </w:pPr>
          <w:hyperlink w:history="1" w:anchor="_Toc83120979">
            <w:r w:rsidRPr="00B571E8" w:rsidR="00B571E8">
              <w:rPr>
                <w:rStyle w:val="Hyperlink"/>
                <w:rFonts w:ascii="Arial" w:hAnsi="Arial" w:cs="Arial" w:eastAsiaTheme="majorEastAsia"/>
                <w:noProof/>
                <w:sz w:val="24"/>
                <w:szCs w:val="24"/>
              </w:rPr>
              <w:t>3.     New Modules</w:t>
            </w:r>
            <w:r w:rsidRPr="00B571E8" w:rsidR="00B571E8">
              <w:rPr>
                <w:rFonts w:ascii="Arial" w:hAnsi="Arial" w:cs="Arial"/>
                <w:noProof/>
                <w:webHidden/>
                <w:sz w:val="24"/>
                <w:szCs w:val="24"/>
              </w:rPr>
              <w:tab/>
            </w:r>
            <w:r w:rsidRPr="00B571E8" w:rsidR="00B571E8">
              <w:rPr>
                <w:rFonts w:ascii="Arial" w:hAnsi="Arial" w:cs="Arial"/>
                <w:noProof/>
                <w:webHidden/>
                <w:sz w:val="24"/>
                <w:szCs w:val="24"/>
              </w:rPr>
              <w:fldChar w:fldCharType="begin"/>
            </w:r>
            <w:r w:rsidRPr="00B571E8" w:rsidR="00B571E8">
              <w:rPr>
                <w:rFonts w:ascii="Arial" w:hAnsi="Arial" w:cs="Arial"/>
                <w:noProof/>
                <w:webHidden/>
                <w:sz w:val="24"/>
                <w:szCs w:val="24"/>
              </w:rPr>
              <w:instrText xml:space="preserve"> PAGEREF _Toc83120979 \h </w:instrText>
            </w:r>
            <w:r w:rsidRPr="00B571E8" w:rsidR="00B571E8">
              <w:rPr>
                <w:rFonts w:ascii="Arial" w:hAnsi="Arial" w:cs="Arial"/>
                <w:noProof/>
                <w:webHidden/>
                <w:sz w:val="24"/>
                <w:szCs w:val="24"/>
              </w:rPr>
            </w:r>
            <w:r w:rsidRPr="00B571E8" w:rsidR="00B571E8">
              <w:rPr>
                <w:rFonts w:ascii="Arial" w:hAnsi="Arial" w:cs="Arial"/>
                <w:noProof/>
                <w:webHidden/>
                <w:sz w:val="24"/>
                <w:szCs w:val="24"/>
              </w:rPr>
              <w:fldChar w:fldCharType="separate"/>
            </w:r>
            <w:r w:rsidR="00895B41">
              <w:rPr>
                <w:rFonts w:ascii="Arial" w:hAnsi="Arial" w:cs="Arial"/>
                <w:noProof/>
                <w:webHidden/>
                <w:sz w:val="24"/>
                <w:szCs w:val="24"/>
              </w:rPr>
              <w:t>2</w:t>
            </w:r>
            <w:r w:rsidRPr="00B571E8" w:rsidR="00B571E8">
              <w:rPr>
                <w:rFonts w:ascii="Arial" w:hAnsi="Arial" w:cs="Arial"/>
                <w:noProof/>
                <w:webHidden/>
                <w:sz w:val="24"/>
                <w:szCs w:val="24"/>
              </w:rPr>
              <w:fldChar w:fldCharType="end"/>
            </w:r>
          </w:hyperlink>
        </w:p>
        <w:p w:rsidRPr="00B571E8" w:rsidR="00B571E8" w:rsidP="00B571E8" w:rsidRDefault="00690397" w14:paraId="31A0955D" w14:textId="036DBD72">
          <w:pPr>
            <w:pStyle w:val="TOC1"/>
            <w:tabs>
              <w:tab w:val="left" w:pos="567"/>
              <w:tab w:val="right" w:leader="dot" w:pos="9016"/>
            </w:tabs>
            <w:rPr>
              <w:rFonts w:ascii="Arial" w:hAnsi="Arial" w:cs="Arial" w:eastAsiaTheme="minorEastAsia"/>
              <w:noProof/>
              <w:sz w:val="24"/>
              <w:szCs w:val="24"/>
              <w:lang w:eastAsia="zh-CN"/>
            </w:rPr>
          </w:pPr>
          <w:hyperlink w:history="1" w:anchor="_Toc83120980">
            <w:r w:rsidRPr="00B571E8" w:rsidR="00B571E8">
              <w:rPr>
                <w:rStyle w:val="Hyperlink"/>
                <w:rFonts w:ascii="Arial" w:hAnsi="Arial" w:cs="Arial" w:eastAsiaTheme="majorEastAsia"/>
                <w:noProof/>
                <w:sz w:val="24"/>
                <w:szCs w:val="24"/>
              </w:rPr>
              <w:t>4.</w:t>
            </w:r>
            <w:r w:rsidRPr="00B571E8" w:rsidR="00B571E8">
              <w:rPr>
                <w:rFonts w:ascii="Arial" w:hAnsi="Arial" w:cs="Arial" w:eastAsiaTheme="minorEastAsia"/>
                <w:noProof/>
                <w:sz w:val="24"/>
                <w:szCs w:val="24"/>
                <w:lang w:eastAsia="zh-CN"/>
              </w:rPr>
              <w:tab/>
            </w:r>
            <w:r w:rsidRPr="00B571E8" w:rsidR="00B571E8">
              <w:rPr>
                <w:rStyle w:val="Hyperlink"/>
                <w:rFonts w:ascii="Arial" w:hAnsi="Arial" w:cs="Arial" w:eastAsiaTheme="majorEastAsia"/>
                <w:noProof/>
                <w:sz w:val="24"/>
                <w:szCs w:val="24"/>
              </w:rPr>
              <w:t>Student Consultation</w:t>
            </w:r>
            <w:r w:rsidRPr="00B571E8" w:rsidR="00B571E8">
              <w:rPr>
                <w:rFonts w:ascii="Arial" w:hAnsi="Arial" w:cs="Arial"/>
                <w:noProof/>
                <w:webHidden/>
                <w:sz w:val="24"/>
                <w:szCs w:val="24"/>
              </w:rPr>
              <w:tab/>
            </w:r>
            <w:r w:rsidRPr="00B571E8" w:rsidR="00B571E8">
              <w:rPr>
                <w:rFonts w:ascii="Arial" w:hAnsi="Arial" w:cs="Arial"/>
                <w:noProof/>
                <w:webHidden/>
                <w:sz w:val="24"/>
                <w:szCs w:val="24"/>
              </w:rPr>
              <w:fldChar w:fldCharType="begin"/>
            </w:r>
            <w:r w:rsidRPr="00B571E8" w:rsidR="00B571E8">
              <w:rPr>
                <w:rFonts w:ascii="Arial" w:hAnsi="Arial" w:cs="Arial"/>
                <w:noProof/>
                <w:webHidden/>
                <w:sz w:val="24"/>
                <w:szCs w:val="24"/>
              </w:rPr>
              <w:instrText xml:space="preserve"> PAGEREF _Toc83120980 \h </w:instrText>
            </w:r>
            <w:r w:rsidRPr="00B571E8" w:rsidR="00B571E8">
              <w:rPr>
                <w:rFonts w:ascii="Arial" w:hAnsi="Arial" w:cs="Arial"/>
                <w:noProof/>
                <w:webHidden/>
                <w:sz w:val="24"/>
                <w:szCs w:val="24"/>
              </w:rPr>
            </w:r>
            <w:r w:rsidRPr="00B571E8" w:rsidR="00B571E8">
              <w:rPr>
                <w:rFonts w:ascii="Arial" w:hAnsi="Arial" w:cs="Arial"/>
                <w:noProof/>
                <w:webHidden/>
                <w:sz w:val="24"/>
                <w:szCs w:val="24"/>
              </w:rPr>
              <w:fldChar w:fldCharType="separate"/>
            </w:r>
            <w:r w:rsidR="00895B41">
              <w:rPr>
                <w:rFonts w:ascii="Arial" w:hAnsi="Arial" w:cs="Arial"/>
                <w:noProof/>
                <w:webHidden/>
                <w:sz w:val="24"/>
                <w:szCs w:val="24"/>
              </w:rPr>
              <w:t>2</w:t>
            </w:r>
            <w:r w:rsidRPr="00B571E8" w:rsidR="00B571E8">
              <w:rPr>
                <w:rFonts w:ascii="Arial" w:hAnsi="Arial" w:cs="Arial"/>
                <w:noProof/>
                <w:webHidden/>
                <w:sz w:val="24"/>
                <w:szCs w:val="24"/>
              </w:rPr>
              <w:fldChar w:fldCharType="end"/>
            </w:r>
          </w:hyperlink>
        </w:p>
        <w:p w:rsidRPr="00B571E8" w:rsidR="00B571E8" w:rsidP="00B571E8" w:rsidRDefault="00690397" w14:paraId="788EEFCB" w14:textId="7A175C63">
          <w:pPr>
            <w:pStyle w:val="TOC1"/>
            <w:tabs>
              <w:tab w:val="left" w:pos="567"/>
              <w:tab w:val="right" w:leader="dot" w:pos="9016"/>
            </w:tabs>
            <w:rPr>
              <w:rFonts w:ascii="Arial" w:hAnsi="Arial" w:cs="Arial" w:eastAsiaTheme="minorEastAsia"/>
              <w:noProof/>
              <w:sz w:val="24"/>
              <w:szCs w:val="24"/>
              <w:lang w:eastAsia="zh-CN"/>
            </w:rPr>
          </w:pPr>
          <w:hyperlink w:history="1" w:anchor="_Toc83120981">
            <w:r w:rsidRPr="00B571E8" w:rsidR="00B571E8">
              <w:rPr>
                <w:rStyle w:val="Hyperlink"/>
                <w:rFonts w:ascii="Arial" w:hAnsi="Arial" w:cs="Arial" w:eastAsiaTheme="majorEastAsia"/>
                <w:noProof/>
                <w:sz w:val="24"/>
                <w:szCs w:val="24"/>
              </w:rPr>
              <w:t>5.</w:t>
            </w:r>
            <w:r w:rsidRPr="00B571E8" w:rsidR="00B571E8">
              <w:rPr>
                <w:rFonts w:ascii="Arial" w:hAnsi="Arial" w:cs="Arial" w:eastAsiaTheme="minorEastAsia"/>
                <w:noProof/>
                <w:sz w:val="24"/>
                <w:szCs w:val="24"/>
                <w:lang w:eastAsia="zh-CN"/>
              </w:rPr>
              <w:tab/>
            </w:r>
            <w:r w:rsidRPr="00B571E8" w:rsidR="00B571E8">
              <w:rPr>
                <w:rStyle w:val="Hyperlink"/>
                <w:rFonts w:ascii="Arial" w:hAnsi="Arial" w:cs="Arial" w:eastAsiaTheme="majorEastAsia"/>
                <w:noProof/>
                <w:sz w:val="24"/>
                <w:szCs w:val="24"/>
              </w:rPr>
              <w:t>Proposals</w:t>
            </w:r>
            <w:r w:rsidRPr="00B571E8" w:rsidR="00B571E8">
              <w:rPr>
                <w:rFonts w:ascii="Arial" w:hAnsi="Arial" w:cs="Arial"/>
                <w:noProof/>
                <w:webHidden/>
                <w:sz w:val="24"/>
                <w:szCs w:val="24"/>
              </w:rPr>
              <w:tab/>
            </w:r>
            <w:r w:rsidRPr="00B571E8" w:rsidR="00B571E8">
              <w:rPr>
                <w:rFonts w:ascii="Arial" w:hAnsi="Arial" w:cs="Arial"/>
                <w:noProof/>
                <w:webHidden/>
                <w:sz w:val="24"/>
                <w:szCs w:val="24"/>
              </w:rPr>
              <w:fldChar w:fldCharType="begin"/>
            </w:r>
            <w:r w:rsidRPr="00B571E8" w:rsidR="00B571E8">
              <w:rPr>
                <w:rFonts w:ascii="Arial" w:hAnsi="Arial" w:cs="Arial"/>
                <w:noProof/>
                <w:webHidden/>
                <w:sz w:val="24"/>
                <w:szCs w:val="24"/>
              </w:rPr>
              <w:instrText xml:space="preserve"> PAGEREF _Toc83120981 \h </w:instrText>
            </w:r>
            <w:r w:rsidRPr="00B571E8" w:rsidR="00B571E8">
              <w:rPr>
                <w:rFonts w:ascii="Arial" w:hAnsi="Arial" w:cs="Arial"/>
                <w:noProof/>
                <w:webHidden/>
                <w:sz w:val="24"/>
                <w:szCs w:val="24"/>
              </w:rPr>
            </w:r>
            <w:r w:rsidRPr="00B571E8" w:rsidR="00B571E8">
              <w:rPr>
                <w:rFonts w:ascii="Arial" w:hAnsi="Arial" w:cs="Arial"/>
                <w:noProof/>
                <w:webHidden/>
                <w:sz w:val="24"/>
                <w:szCs w:val="24"/>
              </w:rPr>
              <w:fldChar w:fldCharType="separate"/>
            </w:r>
            <w:r w:rsidR="00895B41">
              <w:rPr>
                <w:rFonts w:ascii="Arial" w:hAnsi="Arial" w:cs="Arial"/>
                <w:noProof/>
                <w:webHidden/>
                <w:sz w:val="24"/>
                <w:szCs w:val="24"/>
              </w:rPr>
              <w:t>3</w:t>
            </w:r>
            <w:r w:rsidRPr="00B571E8" w:rsidR="00B571E8">
              <w:rPr>
                <w:rFonts w:ascii="Arial" w:hAnsi="Arial" w:cs="Arial"/>
                <w:noProof/>
                <w:webHidden/>
                <w:sz w:val="24"/>
                <w:szCs w:val="24"/>
              </w:rPr>
              <w:fldChar w:fldCharType="end"/>
            </w:r>
          </w:hyperlink>
        </w:p>
        <w:p w:rsidRPr="00B571E8" w:rsidR="00B571E8" w:rsidRDefault="00690397" w14:paraId="1E9224E0" w14:textId="7F0635F3">
          <w:pPr>
            <w:pStyle w:val="TOC1"/>
            <w:tabs>
              <w:tab w:val="right" w:leader="dot" w:pos="9016"/>
            </w:tabs>
            <w:rPr>
              <w:rFonts w:ascii="Arial" w:hAnsi="Arial" w:cs="Arial" w:eastAsiaTheme="minorEastAsia"/>
              <w:noProof/>
              <w:sz w:val="24"/>
              <w:szCs w:val="24"/>
              <w:lang w:eastAsia="zh-CN"/>
            </w:rPr>
          </w:pPr>
          <w:hyperlink w:history="1" w:anchor="_Toc83120982">
            <w:r w:rsidRPr="00B571E8" w:rsidR="00B571E8">
              <w:rPr>
                <w:rStyle w:val="Hyperlink"/>
                <w:rFonts w:ascii="Arial" w:hAnsi="Arial" w:cs="Arial" w:eastAsiaTheme="majorEastAsia"/>
                <w:noProof/>
                <w:sz w:val="24"/>
                <w:szCs w:val="24"/>
              </w:rPr>
              <w:t>6.     Module Approval</w:t>
            </w:r>
            <w:r w:rsidRPr="00B571E8" w:rsidR="00B571E8">
              <w:rPr>
                <w:rFonts w:ascii="Arial" w:hAnsi="Arial" w:cs="Arial"/>
                <w:noProof/>
                <w:webHidden/>
                <w:sz w:val="24"/>
                <w:szCs w:val="24"/>
              </w:rPr>
              <w:tab/>
            </w:r>
            <w:r w:rsidRPr="00B571E8" w:rsidR="00B571E8">
              <w:rPr>
                <w:rFonts w:ascii="Arial" w:hAnsi="Arial" w:cs="Arial"/>
                <w:noProof/>
                <w:webHidden/>
                <w:sz w:val="24"/>
                <w:szCs w:val="24"/>
              </w:rPr>
              <w:fldChar w:fldCharType="begin"/>
            </w:r>
            <w:r w:rsidRPr="00B571E8" w:rsidR="00B571E8">
              <w:rPr>
                <w:rFonts w:ascii="Arial" w:hAnsi="Arial" w:cs="Arial"/>
                <w:noProof/>
                <w:webHidden/>
                <w:sz w:val="24"/>
                <w:szCs w:val="24"/>
              </w:rPr>
              <w:instrText xml:space="preserve"> PAGEREF _Toc83120982 \h </w:instrText>
            </w:r>
            <w:r w:rsidRPr="00B571E8" w:rsidR="00B571E8">
              <w:rPr>
                <w:rFonts w:ascii="Arial" w:hAnsi="Arial" w:cs="Arial"/>
                <w:noProof/>
                <w:webHidden/>
                <w:sz w:val="24"/>
                <w:szCs w:val="24"/>
              </w:rPr>
            </w:r>
            <w:r w:rsidRPr="00B571E8" w:rsidR="00B571E8">
              <w:rPr>
                <w:rFonts w:ascii="Arial" w:hAnsi="Arial" w:cs="Arial"/>
                <w:noProof/>
                <w:webHidden/>
                <w:sz w:val="24"/>
                <w:szCs w:val="24"/>
              </w:rPr>
              <w:fldChar w:fldCharType="separate"/>
            </w:r>
            <w:r w:rsidR="00895B41">
              <w:rPr>
                <w:rFonts w:ascii="Arial" w:hAnsi="Arial" w:cs="Arial"/>
                <w:noProof/>
                <w:webHidden/>
                <w:sz w:val="24"/>
                <w:szCs w:val="24"/>
              </w:rPr>
              <w:t>3</w:t>
            </w:r>
            <w:r w:rsidRPr="00B571E8" w:rsidR="00B571E8">
              <w:rPr>
                <w:rFonts w:ascii="Arial" w:hAnsi="Arial" w:cs="Arial"/>
                <w:noProof/>
                <w:webHidden/>
                <w:sz w:val="24"/>
                <w:szCs w:val="24"/>
              </w:rPr>
              <w:fldChar w:fldCharType="end"/>
            </w:r>
          </w:hyperlink>
        </w:p>
        <w:p w:rsidRPr="00B571E8" w:rsidR="00B571E8" w:rsidRDefault="00690397" w14:paraId="679D6F07" w14:textId="6B5F81CE">
          <w:pPr>
            <w:pStyle w:val="TOC2"/>
            <w:rPr>
              <w:rFonts w:eastAsiaTheme="minorEastAsia"/>
              <w:lang w:eastAsia="zh-CN"/>
            </w:rPr>
          </w:pPr>
          <w:hyperlink w:history="1" w:anchor="_Toc83120983">
            <w:r w:rsidRPr="00B571E8" w:rsidR="00B571E8">
              <w:rPr>
                <w:rStyle w:val="Hyperlink"/>
                <w:rFonts w:eastAsiaTheme="majorEastAsia"/>
              </w:rPr>
              <w:t>6.1</w:t>
            </w:r>
            <w:r w:rsidRPr="00B571E8" w:rsidR="00B571E8">
              <w:rPr>
                <w:rFonts w:eastAsiaTheme="minorEastAsia"/>
                <w:lang w:eastAsia="zh-CN"/>
              </w:rPr>
              <w:tab/>
            </w:r>
            <w:r w:rsidRPr="00B571E8" w:rsidR="00B571E8">
              <w:rPr>
                <w:rStyle w:val="Hyperlink"/>
                <w:rFonts w:eastAsiaTheme="majorEastAsia"/>
              </w:rPr>
              <w:t>Introduction</w:t>
            </w:r>
            <w:r w:rsidRPr="00B571E8" w:rsidR="00B571E8">
              <w:rPr>
                <w:webHidden/>
              </w:rPr>
              <w:tab/>
            </w:r>
            <w:r w:rsidRPr="00B571E8" w:rsidR="00B571E8">
              <w:rPr>
                <w:webHidden/>
              </w:rPr>
              <w:fldChar w:fldCharType="begin"/>
            </w:r>
            <w:r w:rsidRPr="00B571E8" w:rsidR="00B571E8">
              <w:rPr>
                <w:webHidden/>
              </w:rPr>
              <w:instrText xml:space="preserve"> PAGEREF _Toc83120983 \h </w:instrText>
            </w:r>
            <w:r w:rsidRPr="00B571E8" w:rsidR="00B571E8">
              <w:rPr>
                <w:webHidden/>
              </w:rPr>
            </w:r>
            <w:r w:rsidRPr="00B571E8" w:rsidR="00B571E8">
              <w:rPr>
                <w:webHidden/>
              </w:rPr>
              <w:fldChar w:fldCharType="separate"/>
            </w:r>
            <w:r w:rsidR="00895B41">
              <w:rPr>
                <w:webHidden/>
              </w:rPr>
              <w:t>3</w:t>
            </w:r>
            <w:r w:rsidRPr="00B571E8" w:rsidR="00B571E8">
              <w:rPr>
                <w:webHidden/>
              </w:rPr>
              <w:fldChar w:fldCharType="end"/>
            </w:r>
          </w:hyperlink>
        </w:p>
        <w:p w:rsidRPr="00B571E8" w:rsidR="00B571E8" w:rsidRDefault="00690397" w14:paraId="1DB94E97" w14:textId="4EAFB3A6">
          <w:pPr>
            <w:pStyle w:val="TOC2"/>
            <w:rPr>
              <w:rFonts w:eastAsiaTheme="minorEastAsia"/>
              <w:lang w:eastAsia="zh-CN"/>
            </w:rPr>
          </w:pPr>
          <w:hyperlink w:history="1" w:anchor="_Toc83120984">
            <w:r w:rsidRPr="00B571E8" w:rsidR="00B571E8">
              <w:rPr>
                <w:rStyle w:val="Hyperlink"/>
                <w:rFonts w:eastAsiaTheme="majorEastAsia"/>
              </w:rPr>
              <w:t>6.2   Modules Coming Forward as part of a Course Proposal</w:t>
            </w:r>
            <w:r w:rsidRPr="00B571E8" w:rsidR="00B571E8">
              <w:rPr>
                <w:webHidden/>
              </w:rPr>
              <w:tab/>
            </w:r>
            <w:r w:rsidRPr="00B571E8" w:rsidR="00B571E8">
              <w:rPr>
                <w:webHidden/>
              </w:rPr>
              <w:fldChar w:fldCharType="begin"/>
            </w:r>
            <w:r w:rsidRPr="00B571E8" w:rsidR="00B571E8">
              <w:rPr>
                <w:webHidden/>
              </w:rPr>
              <w:instrText xml:space="preserve"> PAGEREF _Toc83120984 \h </w:instrText>
            </w:r>
            <w:r w:rsidRPr="00B571E8" w:rsidR="00B571E8">
              <w:rPr>
                <w:webHidden/>
              </w:rPr>
            </w:r>
            <w:r w:rsidRPr="00B571E8" w:rsidR="00B571E8">
              <w:rPr>
                <w:webHidden/>
              </w:rPr>
              <w:fldChar w:fldCharType="separate"/>
            </w:r>
            <w:r w:rsidR="00895B41">
              <w:rPr>
                <w:webHidden/>
              </w:rPr>
              <w:t>3</w:t>
            </w:r>
            <w:r w:rsidRPr="00B571E8" w:rsidR="00B571E8">
              <w:rPr>
                <w:webHidden/>
              </w:rPr>
              <w:fldChar w:fldCharType="end"/>
            </w:r>
          </w:hyperlink>
        </w:p>
        <w:p w:rsidRPr="00B571E8" w:rsidR="00B571E8" w:rsidRDefault="00690397" w14:paraId="6908B1AC" w14:textId="0728AD58">
          <w:pPr>
            <w:pStyle w:val="TOC2"/>
            <w:rPr>
              <w:rFonts w:eastAsiaTheme="minorEastAsia"/>
              <w:lang w:eastAsia="zh-CN"/>
            </w:rPr>
          </w:pPr>
          <w:hyperlink w:history="1" w:anchor="_Toc83120985">
            <w:r w:rsidRPr="00B571E8" w:rsidR="00B571E8">
              <w:rPr>
                <w:rStyle w:val="Hyperlink"/>
                <w:rFonts w:eastAsiaTheme="majorEastAsia"/>
              </w:rPr>
              <w:t>6.3   Modules Coming Forward Outside of a Course Proposal</w:t>
            </w:r>
            <w:r w:rsidRPr="00B571E8" w:rsidR="00B571E8">
              <w:rPr>
                <w:webHidden/>
              </w:rPr>
              <w:tab/>
            </w:r>
            <w:r w:rsidRPr="00B571E8" w:rsidR="00B571E8">
              <w:rPr>
                <w:webHidden/>
              </w:rPr>
              <w:fldChar w:fldCharType="begin"/>
            </w:r>
            <w:r w:rsidRPr="00B571E8" w:rsidR="00B571E8">
              <w:rPr>
                <w:webHidden/>
              </w:rPr>
              <w:instrText xml:space="preserve"> PAGEREF _Toc83120985 \h </w:instrText>
            </w:r>
            <w:r w:rsidRPr="00B571E8" w:rsidR="00B571E8">
              <w:rPr>
                <w:webHidden/>
              </w:rPr>
            </w:r>
            <w:r w:rsidRPr="00B571E8" w:rsidR="00B571E8">
              <w:rPr>
                <w:webHidden/>
              </w:rPr>
              <w:fldChar w:fldCharType="separate"/>
            </w:r>
            <w:r w:rsidR="00895B41">
              <w:rPr>
                <w:webHidden/>
              </w:rPr>
              <w:t>3</w:t>
            </w:r>
            <w:r w:rsidRPr="00B571E8" w:rsidR="00B571E8">
              <w:rPr>
                <w:webHidden/>
              </w:rPr>
              <w:fldChar w:fldCharType="end"/>
            </w:r>
          </w:hyperlink>
        </w:p>
        <w:p w:rsidRPr="00B571E8" w:rsidR="00B571E8" w:rsidRDefault="00690397" w14:paraId="0D9503E1" w14:textId="3EA6D975">
          <w:pPr>
            <w:pStyle w:val="TOC2"/>
            <w:rPr>
              <w:rFonts w:eastAsiaTheme="minorEastAsia"/>
              <w:lang w:eastAsia="zh-CN"/>
            </w:rPr>
          </w:pPr>
          <w:hyperlink w:history="1" w:anchor="_Toc83120986">
            <w:r w:rsidRPr="00B571E8" w:rsidR="00B571E8">
              <w:rPr>
                <w:rStyle w:val="Hyperlink"/>
                <w:rFonts w:eastAsiaTheme="majorEastAsia"/>
              </w:rPr>
              <w:t>A.</w:t>
            </w:r>
            <w:r w:rsidRPr="00B571E8" w:rsidR="00B571E8">
              <w:rPr>
                <w:rFonts w:eastAsiaTheme="minorEastAsia"/>
                <w:lang w:eastAsia="zh-CN"/>
              </w:rPr>
              <w:tab/>
            </w:r>
            <w:r w:rsidRPr="00B571E8" w:rsidR="00B571E8">
              <w:rPr>
                <w:rStyle w:val="Hyperlink"/>
                <w:rFonts w:eastAsiaTheme="majorEastAsia"/>
              </w:rPr>
              <w:t>Where intended primarily for use as part of an undergraduate course:</w:t>
            </w:r>
            <w:r w:rsidRPr="00B571E8" w:rsidR="00B571E8">
              <w:rPr>
                <w:webHidden/>
              </w:rPr>
              <w:tab/>
            </w:r>
            <w:r w:rsidRPr="00B571E8" w:rsidR="00B571E8">
              <w:rPr>
                <w:webHidden/>
              </w:rPr>
              <w:fldChar w:fldCharType="begin"/>
            </w:r>
            <w:r w:rsidRPr="00B571E8" w:rsidR="00B571E8">
              <w:rPr>
                <w:webHidden/>
              </w:rPr>
              <w:instrText xml:space="preserve"> PAGEREF _Toc83120986 \h </w:instrText>
            </w:r>
            <w:r w:rsidRPr="00B571E8" w:rsidR="00B571E8">
              <w:rPr>
                <w:webHidden/>
              </w:rPr>
            </w:r>
            <w:r w:rsidRPr="00B571E8" w:rsidR="00B571E8">
              <w:rPr>
                <w:webHidden/>
              </w:rPr>
              <w:fldChar w:fldCharType="separate"/>
            </w:r>
            <w:r w:rsidR="00895B41">
              <w:rPr>
                <w:webHidden/>
              </w:rPr>
              <w:t>3</w:t>
            </w:r>
            <w:r w:rsidRPr="00B571E8" w:rsidR="00B571E8">
              <w:rPr>
                <w:webHidden/>
              </w:rPr>
              <w:fldChar w:fldCharType="end"/>
            </w:r>
          </w:hyperlink>
        </w:p>
        <w:p w:rsidRPr="00B571E8" w:rsidR="00B571E8" w:rsidRDefault="00690397" w14:paraId="28C293E6" w14:textId="405A30C3">
          <w:pPr>
            <w:pStyle w:val="TOC2"/>
            <w:rPr>
              <w:rFonts w:eastAsiaTheme="minorEastAsia"/>
              <w:lang w:eastAsia="zh-CN"/>
            </w:rPr>
          </w:pPr>
          <w:hyperlink w:history="1" w:anchor="_Toc83120987">
            <w:r w:rsidRPr="00B571E8" w:rsidR="00B571E8">
              <w:rPr>
                <w:rStyle w:val="Hyperlink"/>
                <w:rFonts w:eastAsiaTheme="majorEastAsia"/>
              </w:rPr>
              <w:t>B.</w:t>
            </w:r>
            <w:r w:rsidRPr="00B571E8" w:rsidR="00B571E8">
              <w:rPr>
                <w:rFonts w:eastAsiaTheme="minorEastAsia"/>
                <w:lang w:eastAsia="zh-CN"/>
              </w:rPr>
              <w:tab/>
            </w:r>
            <w:r w:rsidRPr="00B571E8" w:rsidR="00B571E8">
              <w:rPr>
                <w:rStyle w:val="Hyperlink"/>
                <w:rFonts w:eastAsiaTheme="majorEastAsia"/>
              </w:rPr>
              <w:t>Where intended primarily for use as part of a taught postgraduate course:</w:t>
            </w:r>
            <w:r w:rsidRPr="00B571E8" w:rsidR="00B571E8">
              <w:rPr>
                <w:webHidden/>
              </w:rPr>
              <w:tab/>
            </w:r>
            <w:r w:rsidRPr="00B571E8" w:rsidR="00B571E8">
              <w:rPr>
                <w:webHidden/>
              </w:rPr>
              <w:fldChar w:fldCharType="begin"/>
            </w:r>
            <w:r w:rsidRPr="00B571E8" w:rsidR="00B571E8">
              <w:rPr>
                <w:webHidden/>
              </w:rPr>
              <w:instrText xml:space="preserve"> PAGEREF _Toc83120987 \h </w:instrText>
            </w:r>
            <w:r w:rsidRPr="00B571E8" w:rsidR="00B571E8">
              <w:rPr>
                <w:webHidden/>
              </w:rPr>
            </w:r>
            <w:r w:rsidRPr="00B571E8" w:rsidR="00B571E8">
              <w:rPr>
                <w:webHidden/>
              </w:rPr>
              <w:fldChar w:fldCharType="separate"/>
            </w:r>
            <w:r w:rsidR="00895B41">
              <w:rPr>
                <w:webHidden/>
              </w:rPr>
              <w:t>4</w:t>
            </w:r>
            <w:r w:rsidRPr="00B571E8" w:rsidR="00B571E8">
              <w:rPr>
                <w:webHidden/>
              </w:rPr>
              <w:fldChar w:fldCharType="end"/>
            </w:r>
          </w:hyperlink>
        </w:p>
        <w:p w:rsidRPr="00B571E8" w:rsidR="00B571E8" w:rsidP="00B571E8" w:rsidRDefault="00690397" w14:paraId="4BB0AB22" w14:textId="28AF3C98">
          <w:pPr>
            <w:pStyle w:val="TOC1"/>
            <w:tabs>
              <w:tab w:val="left" w:pos="567"/>
              <w:tab w:val="right" w:leader="dot" w:pos="9016"/>
            </w:tabs>
            <w:rPr>
              <w:rFonts w:ascii="Arial" w:hAnsi="Arial" w:cs="Arial" w:eastAsiaTheme="minorEastAsia"/>
              <w:noProof/>
              <w:sz w:val="24"/>
              <w:szCs w:val="24"/>
              <w:lang w:eastAsia="zh-CN"/>
            </w:rPr>
          </w:pPr>
          <w:hyperlink w:history="1" w:anchor="_Toc83120988">
            <w:r w:rsidRPr="00B571E8" w:rsidR="00B571E8">
              <w:rPr>
                <w:rStyle w:val="Hyperlink"/>
                <w:rFonts w:ascii="Arial" w:hAnsi="Arial" w:cs="Arial" w:eastAsiaTheme="majorEastAsia"/>
                <w:noProof/>
                <w:sz w:val="24"/>
                <w:szCs w:val="24"/>
              </w:rPr>
              <w:t>7.</w:t>
            </w:r>
            <w:r w:rsidRPr="00B571E8" w:rsidR="00B571E8">
              <w:rPr>
                <w:rFonts w:ascii="Arial" w:hAnsi="Arial" w:cs="Arial" w:eastAsiaTheme="minorEastAsia"/>
                <w:noProof/>
                <w:sz w:val="24"/>
                <w:szCs w:val="24"/>
                <w:lang w:eastAsia="zh-CN"/>
              </w:rPr>
              <w:tab/>
            </w:r>
            <w:r w:rsidRPr="00B571E8" w:rsidR="00B571E8">
              <w:rPr>
                <w:rStyle w:val="Hyperlink"/>
                <w:rFonts w:ascii="Arial" w:hAnsi="Arial" w:cs="Arial" w:eastAsiaTheme="majorEastAsia"/>
                <w:noProof/>
                <w:sz w:val="24"/>
                <w:szCs w:val="24"/>
              </w:rPr>
              <w:t>Credit Framework Criteria</w:t>
            </w:r>
            <w:r w:rsidRPr="00B571E8" w:rsidR="00B571E8">
              <w:rPr>
                <w:rFonts w:ascii="Arial" w:hAnsi="Arial" w:cs="Arial"/>
                <w:noProof/>
                <w:webHidden/>
                <w:sz w:val="24"/>
                <w:szCs w:val="24"/>
              </w:rPr>
              <w:tab/>
            </w:r>
            <w:r w:rsidRPr="00B571E8" w:rsidR="00B571E8">
              <w:rPr>
                <w:rFonts w:ascii="Arial" w:hAnsi="Arial" w:cs="Arial"/>
                <w:noProof/>
                <w:webHidden/>
                <w:sz w:val="24"/>
                <w:szCs w:val="24"/>
              </w:rPr>
              <w:fldChar w:fldCharType="begin"/>
            </w:r>
            <w:r w:rsidRPr="00B571E8" w:rsidR="00B571E8">
              <w:rPr>
                <w:rFonts w:ascii="Arial" w:hAnsi="Arial" w:cs="Arial"/>
                <w:noProof/>
                <w:webHidden/>
                <w:sz w:val="24"/>
                <w:szCs w:val="24"/>
              </w:rPr>
              <w:instrText xml:space="preserve"> PAGEREF _Toc83120988 \h </w:instrText>
            </w:r>
            <w:r w:rsidRPr="00B571E8" w:rsidR="00B571E8">
              <w:rPr>
                <w:rFonts w:ascii="Arial" w:hAnsi="Arial" w:cs="Arial"/>
                <w:noProof/>
                <w:webHidden/>
                <w:sz w:val="24"/>
                <w:szCs w:val="24"/>
              </w:rPr>
            </w:r>
            <w:r w:rsidRPr="00B571E8" w:rsidR="00B571E8">
              <w:rPr>
                <w:rFonts w:ascii="Arial" w:hAnsi="Arial" w:cs="Arial"/>
                <w:noProof/>
                <w:webHidden/>
                <w:sz w:val="24"/>
                <w:szCs w:val="24"/>
              </w:rPr>
              <w:fldChar w:fldCharType="separate"/>
            </w:r>
            <w:r w:rsidR="00895B41">
              <w:rPr>
                <w:rFonts w:ascii="Arial" w:hAnsi="Arial" w:cs="Arial"/>
                <w:noProof/>
                <w:webHidden/>
                <w:sz w:val="24"/>
                <w:szCs w:val="24"/>
              </w:rPr>
              <w:t>4</w:t>
            </w:r>
            <w:r w:rsidRPr="00B571E8" w:rsidR="00B571E8">
              <w:rPr>
                <w:rFonts w:ascii="Arial" w:hAnsi="Arial" w:cs="Arial"/>
                <w:noProof/>
                <w:webHidden/>
                <w:sz w:val="24"/>
                <w:szCs w:val="24"/>
              </w:rPr>
              <w:fldChar w:fldCharType="end"/>
            </w:r>
          </w:hyperlink>
        </w:p>
        <w:p w:rsidRPr="00B571E8" w:rsidR="00B571E8" w:rsidP="00B571E8" w:rsidRDefault="00690397" w14:paraId="53A20341" w14:textId="600F8576">
          <w:pPr>
            <w:pStyle w:val="TOC1"/>
            <w:tabs>
              <w:tab w:val="left" w:pos="567"/>
              <w:tab w:val="right" w:leader="dot" w:pos="9016"/>
            </w:tabs>
            <w:rPr>
              <w:rFonts w:ascii="Arial" w:hAnsi="Arial" w:cs="Arial" w:eastAsiaTheme="minorEastAsia"/>
              <w:noProof/>
              <w:sz w:val="24"/>
              <w:szCs w:val="24"/>
              <w:lang w:eastAsia="zh-CN"/>
            </w:rPr>
          </w:pPr>
          <w:hyperlink w:history="1" w:anchor="_Toc83120989">
            <w:r w:rsidRPr="00B571E8" w:rsidR="00B571E8">
              <w:rPr>
                <w:rStyle w:val="Hyperlink"/>
                <w:rFonts w:ascii="Arial" w:hAnsi="Arial" w:cs="Arial" w:eastAsiaTheme="majorEastAsia"/>
                <w:noProof/>
                <w:sz w:val="24"/>
                <w:szCs w:val="24"/>
              </w:rPr>
              <w:t>8.</w:t>
            </w:r>
            <w:r w:rsidRPr="00B571E8" w:rsidR="00B571E8">
              <w:rPr>
                <w:rFonts w:ascii="Arial" w:hAnsi="Arial" w:cs="Arial" w:eastAsiaTheme="minorEastAsia"/>
                <w:noProof/>
                <w:sz w:val="24"/>
                <w:szCs w:val="24"/>
                <w:lang w:eastAsia="zh-CN"/>
              </w:rPr>
              <w:tab/>
            </w:r>
            <w:r w:rsidRPr="00B571E8" w:rsidR="00B571E8">
              <w:rPr>
                <w:rStyle w:val="Hyperlink"/>
                <w:rFonts w:ascii="Arial" w:hAnsi="Arial" w:cs="Arial" w:eastAsiaTheme="majorEastAsia"/>
                <w:noProof/>
                <w:sz w:val="24"/>
                <w:szCs w:val="24"/>
              </w:rPr>
              <w:t>Impact on Learning Outcomes</w:t>
            </w:r>
            <w:r w:rsidRPr="00B571E8" w:rsidR="00B571E8">
              <w:rPr>
                <w:rFonts w:ascii="Arial" w:hAnsi="Arial" w:cs="Arial"/>
                <w:noProof/>
                <w:webHidden/>
                <w:sz w:val="24"/>
                <w:szCs w:val="24"/>
              </w:rPr>
              <w:tab/>
            </w:r>
            <w:r w:rsidRPr="00B571E8" w:rsidR="00B571E8">
              <w:rPr>
                <w:rFonts w:ascii="Arial" w:hAnsi="Arial" w:cs="Arial"/>
                <w:noProof/>
                <w:webHidden/>
                <w:sz w:val="24"/>
                <w:szCs w:val="24"/>
              </w:rPr>
              <w:fldChar w:fldCharType="begin"/>
            </w:r>
            <w:r w:rsidRPr="00B571E8" w:rsidR="00B571E8">
              <w:rPr>
                <w:rFonts w:ascii="Arial" w:hAnsi="Arial" w:cs="Arial"/>
                <w:noProof/>
                <w:webHidden/>
                <w:sz w:val="24"/>
                <w:szCs w:val="24"/>
              </w:rPr>
              <w:instrText xml:space="preserve"> PAGEREF _Toc83120989 \h </w:instrText>
            </w:r>
            <w:r w:rsidRPr="00B571E8" w:rsidR="00B571E8">
              <w:rPr>
                <w:rFonts w:ascii="Arial" w:hAnsi="Arial" w:cs="Arial"/>
                <w:noProof/>
                <w:webHidden/>
                <w:sz w:val="24"/>
                <w:szCs w:val="24"/>
              </w:rPr>
            </w:r>
            <w:r w:rsidRPr="00B571E8" w:rsidR="00B571E8">
              <w:rPr>
                <w:rFonts w:ascii="Arial" w:hAnsi="Arial" w:cs="Arial"/>
                <w:noProof/>
                <w:webHidden/>
                <w:sz w:val="24"/>
                <w:szCs w:val="24"/>
              </w:rPr>
              <w:fldChar w:fldCharType="separate"/>
            </w:r>
            <w:r w:rsidR="00895B41">
              <w:rPr>
                <w:rFonts w:ascii="Arial" w:hAnsi="Arial" w:cs="Arial"/>
                <w:noProof/>
                <w:webHidden/>
                <w:sz w:val="24"/>
                <w:szCs w:val="24"/>
              </w:rPr>
              <w:t>5</w:t>
            </w:r>
            <w:r w:rsidRPr="00B571E8" w:rsidR="00B571E8">
              <w:rPr>
                <w:rFonts w:ascii="Arial" w:hAnsi="Arial" w:cs="Arial"/>
                <w:noProof/>
                <w:webHidden/>
                <w:sz w:val="24"/>
                <w:szCs w:val="24"/>
              </w:rPr>
              <w:fldChar w:fldCharType="end"/>
            </w:r>
          </w:hyperlink>
        </w:p>
        <w:p w:rsidRPr="00B571E8" w:rsidR="00B571E8" w:rsidP="00B571E8" w:rsidRDefault="00690397" w14:paraId="0963AE88" w14:textId="5B670D8E">
          <w:pPr>
            <w:pStyle w:val="TOC1"/>
            <w:tabs>
              <w:tab w:val="left" w:pos="567"/>
              <w:tab w:val="right" w:leader="dot" w:pos="9016"/>
            </w:tabs>
            <w:rPr>
              <w:rFonts w:ascii="Arial" w:hAnsi="Arial" w:cs="Arial" w:eastAsiaTheme="minorEastAsia"/>
              <w:noProof/>
              <w:sz w:val="24"/>
              <w:szCs w:val="24"/>
              <w:lang w:eastAsia="zh-CN"/>
            </w:rPr>
          </w:pPr>
          <w:hyperlink w:history="1" w:anchor="_Toc83120990">
            <w:r w:rsidRPr="00B571E8" w:rsidR="00B571E8">
              <w:rPr>
                <w:rStyle w:val="Hyperlink"/>
                <w:rFonts w:ascii="Arial" w:hAnsi="Arial" w:cs="Arial" w:eastAsiaTheme="majorEastAsia"/>
                <w:noProof/>
                <w:sz w:val="24"/>
                <w:szCs w:val="24"/>
              </w:rPr>
              <w:t>9.</w:t>
            </w:r>
            <w:r w:rsidRPr="00B571E8" w:rsidR="00B571E8">
              <w:rPr>
                <w:rFonts w:ascii="Arial" w:hAnsi="Arial" w:cs="Arial" w:eastAsiaTheme="minorEastAsia"/>
                <w:noProof/>
                <w:sz w:val="24"/>
                <w:szCs w:val="24"/>
                <w:lang w:eastAsia="zh-CN"/>
              </w:rPr>
              <w:tab/>
            </w:r>
            <w:r w:rsidRPr="00B571E8" w:rsidR="00B571E8">
              <w:rPr>
                <w:rStyle w:val="Hyperlink"/>
                <w:rFonts w:ascii="Arial" w:hAnsi="Arial" w:cs="Arial" w:eastAsiaTheme="majorEastAsia"/>
                <w:bCs/>
                <w:noProof/>
                <w:sz w:val="24"/>
                <w:szCs w:val="24"/>
              </w:rPr>
              <w:t>Pre-requisites</w:t>
            </w:r>
            <w:r w:rsidRPr="00B571E8" w:rsidR="00B571E8">
              <w:rPr>
                <w:rFonts w:ascii="Arial" w:hAnsi="Arial" w:cs="Arial"/>
                <w:noProof/>
                <w:webHidden/>
                <w:sz w:val="24"/>
                <w:szCs w:val="24"/>
              </w:rPr>
              <w:tab/>
            </w:r>
            <w:r w:rsidRPr="00B571E8" w:rsidR="00B571E8">
              <w:rPr>
                <w:rFonts w:ascii="Arial" w:hAnsi="Arial" w:cs="Arial"/>
                <w:noProof/>
                <w:webHidden/>
                <w:sz w:val="24"/>
                <w:szCs w:val="24"/>
              </w:rPr>
              <w:fldChar w:fldCharType="begin"/>
            </w:r>
            <w:r w:rsidRPr="00B571E8" w:rsidR="00B571E8">
              <w:rPr>
                <w:rFonts w:ascii="Arial" w:hAnsi="Arial" w:cs="Arial"/>
                <w:noProof/>
                <w:webHidden/>
                <w:sz w:val="24"/>
                <w:szCs w:val="24"/>
              </w:rPr>
              <w:instrText xml:space="preserve"> PAGEREF _Toc83120990 \h </w:instrText>
            </w:r>
            <w:r w:rsidRPr="00B571E8" w:rsidR="00B571E8">
              <w:rPr>
                <w:rFonts w:ascii="Arial" w:hAnsi="Arial" w:cs="Arial"/>
                <w:noProof/>
                <w:webHidden/>
                <w:sz w:val="24"/>
                <w:szCs w:val="24"/>
              </w:rPr>
            </w:r>
            <w:r w:rsidRPr="00B571E8" w:rsidR="00B571E8">
              <w:rPr>
                <w:rFonts w:ascii="Arial" w:hAnsi="Arial" w:cs="Arial"/>
                <w:noProof/>
                <w:webHidden/>
                <w:sz w:val="24"/>
                <w:szCs w:val="24"/>
              </w:rPr>
              <w:fldChar w:fldCharType="separate"/>
            </w:r>
            <w:r w:rsidR="00895B41">
              <w:rPr>
                <w:rFonts w:ascii="Arial" w:hAnsi="Arial" w:cs="Arial"/>
                <w:noProof/>
                <w:webHidden/>
                <w:sz w:val="24"/>
                <w:szCs w:val="24"/>
              </w:rPr>
              <w:t>5</w:t>
            </w:r>
            <w:r w:rsidRPr="00B571E8" w:rsidR="00B571E8">
              <w:rPr>
                <w:rFonts w:ascii="Arial" w:hAnsi="Arial" w:cs="Arial"/>
                <w:noProof/>
                <w:webHidden/>
                <w:sz w:val="24"/>
                <w:szCs w:val="24"/>
              </w:rPr>
              <w:fldChar w:fldCharType="end"/>
            </w:r>
          </w:hyperlink>
        </w:p>
        <w:p w:rsidRPr="00B571E8" w:rsidR="00B571E8" w:rsidP="00B571E8" w:rsidRDefault="00690397" w14:paraId="502B49AF" w14:textId="641CC757">
          <w:pPr>
            <w:pStyle w:val="TOC1"/>
            <w:tabs>
              <w:tab w:val="left" w:pos="567"/>
              <w:tab w:val="left" w:pos="660"/>
              <w:tab w:val="right" w:leader="dot" w:pos="9016"/>
            </w:tabs>
            <w:rPr>
              <w:rFonts w:ascii="Arial" w:hAnsi="Arial" w:cs="Arial" w:eastAsiaTheme="minorEastAsia"/>
              <w:noProof/>
              <w:sz w:val="24"/>
              <w:szCs w:val="24"/>
              <w:lang w:eastAsia="zh-CN"/>
            </w:rPr>
          </w:pPr>
          <w:hyperlink w:history="1" w:anchor="_Toc83120991">
            <w:r w:rsidRPr="00B571E8" w:rsidR="00B571E8">
              <w:rPr>
                <w:rStyle w:val="Hyperlink"/>
                <w:rFonts w:ascii="Arial" w:hAnsi="Arial" w:cs="Arial" w:eastAsiaTheme="minorHAnsi"/>
                <w:noProof/>
                <w:sz w:val="24"/>
                <w:szCs w:val="24"/>
              </w:rPr>
              <w:t>10.</w:t>
            </w:r>
            <w:r w:rsidRPr="00B571E8" w:rsidR="00B571E8">
              <w:rPr>
                <w:rFonts w:ascii="Arial" w:hAnsi="Arial" w:cs="Arial" w:eastAsiaTheme="minorEastAsia"/>
                <w:noProof/>
                <w:sz w:val="24"/>
                <w:szCs w:val="24"/>
                <w:lang w:eastAsia="zh-CN"/>
              </w:rPr>
              <w:tab/>
            </w:r>
            <w:r w:rsidRPr="00B571E8" w:rsidR="00B571E8">
              <w:rPr>
                <w:rStyle w:val="Hyperlink"/>
                <w:rFonts w:ascii="Arial" w:hAnsi="Arial" w:cs="Arial" w:eastAsiaTheme="majorEastAsia"/>
                <w:bCs/>
                <w:noProof/>
                <w:sz w:val="24"/>
                <w:szCs w:val="24"/>
              </w:rPr>
              <w:t>Re-assessment Methods</w:t>
            </w:r>
            <w:r w:rsidRPr="00B571E8" w:rsidR="00B571E8">
              <w:rPr>
                <w:rFonts w:ascii="Arial" w:hAnsi="Arial" w:cs="Arial"/>
                <w:noProof/>
                <w:webHidden/>
                <w:sz w:val="24"/>
                <w:szCs w:val="24"/>
              </w:rPr>
              <w:tab/>
            </w:r>
            <w:r w:rsidRPr="00B571E8" w:rsidR="00B571E8">
              <w:rPr>
                <w:rFonts w:ascii="Arial" w:hAnsi="Arial" w:cs="Arial"/>
                <w:noProof/>
                <w:webHidden/>
                <w:sz w:val="24"/>
                <w:szCs w:val="24"/>
              </w:rPr>
              <w:fldChar w:fldCharType="begin"/>
            </w:r>
            <w:r w:rsidRPr="00B571E8" w:rsidR="00B571E8">
              <w:rPr>
                <w:rFonts w:ascii="Arial" w:hAnsi="Arial" w:cs="Arial"/>
                <w:noProof/>
                <w:webHidden/>
                <w:sz w:val="24"/>
                <w:szCs w:val="24"/>
              </w:rPr>
              <w:instrText xml:space="preserve"> PAGEREF _Toc83120991 \h </w:instrText>
            </w:r>
            <w:r w:rsidRPr="00B571E8" w:rsidR="00B571E8">
              <w:rPr>
                <w:rFonts w:ascii="Arial" w:hAnsi="Arial" w:cs="Arial"/>
                <w:noProof/>
                <w:webHidden/>
                <w:sz w:val="24"/>
                <w:szCs w:val="24"/>
              </w:rPr>
            </w:r>
            <w:r w:rsidRPr="00B571E8" w:rsidR="00B571E8">
              <w:rPr>
                <w:rFonts w:ascii="Arial" w:hAnsi="Arial" w:cs="Arial"/>
                <w:noProof/>
                <w:webHidden/>
                <w:sz w:val="24"/>
                <w:szCs w:val="24"/>
              </w:rPr>
              <w:fldChar w:fldCharType="separate"/>
            </w:r>
            <w:r w:rsidR="00895B41">
              <w:rPr>
                <w:rFonts w:ascii="Arial" w:hAnsi="Arial" w:cs="Arial"/>
                <w:noProof/>
                <w:webHidden/>
                <w:sz w:val="24"/>
                <w:szCs w:val="24"/>
              </w:rPr>
              <w:t>5</w:t>
            </w:r>
            <w:r w:rsidRPr="00B571E8" w:rsidR="00B571E8">
              <w:rPr>
                <w:rFonts w:ascii="Arial" w:hAnsi="Arial" w:cs="Arial"/>
                <w:noProof/>
                <w:webHidden/>
                <w:sz w:val="24"/>
                <w:szCs w:val="24"/>
              </w:rPr>
              <w:fldChar w:fldCharType="end"/>
            </w:r>
          </w:hyperlink>
        </w:p>
        <w:p w:rsidRPr="00B571E8" w:rsidR="00B571E8" w:rsidP="00B571E8" w:rsidRDefault="00690397" w14:paraId="27B693D8" w14:textId="18A6B8C9">
          <w:pPr>
            <w:pStyle w:val="TOC1"/>
            <w:tabs>
              <w:tab w:val="left" w:pos="567"/>
              <w:tab w:val="left" w:pos="660"/>
              <w:tab w:val="right" w:leader="dot" w:pos="9016"/>
            </w:tabs>
            <w:rPr>
              <w:rFonts w:ascii="Arial" w:hAnsi="Arial" w:cs="Arial" w:eastAsiaTheme="minorEastAsia"/>
              <w:noProof/>
              <w:sz w:val="24"/>
              <w:szCs w:val="24"/>
              <w:lang w:eastAsia="zh-CN"/>
            </w:rPr>
          </w:pPr>
          <w:hyperlink w:history="1" w:anchor="_Toc83120992">
            <w:r w:rsidRPr="00B571E8" w:rsidR="00B571E8">
              <w:rPr>
                <w:rStyle w:val="Hyperlink"/>
                <w:rFonts w:ascii="Arial" w:hAnsi="Arial" w:cs="Arial" w:eastAsiaTheme="majorEastAsia"/>
                <w:noProof/>
                <w:sz w:val="24"/>
                <w:szCs w:val="24"/>
              </w:rPr>
              <w:t>11.</w:t>
            </w:r>
            <w:r w:rsidRPr="00B571E8" w:rsidR="00B571E8">
              <w:rPr>
                <w:rFonts w:ascii="Arial" w:hAnsi="Arial" w:cs="Arial" w:eastAsiaTheme="minorEastAsia"/>
                <w:noProof/>
                <w:sz w:val="24"/>
                <w:szCs w:val="24"/>
                <w:lang w:eastAsia="zh-CN"/>
              </w:rPr>
              <w:tab/>
            </w:r>
            <w:r w:rsidRPr="00B571E8" w:rsidR="00B571E8">
              <w:rPr>
                <w:rStyle w:val="Hyperlink"/>
                <w:rFonts w:ascii="Arial" w:hAnsi="Arial" w:cs="Arial" w:eastAsiaTheme="majorEastAsia"/>
                <w:noProof/>
                <w:sz w:val="24"/>
                <w:szCs w:val="24"/>
              </w:rPr>
              <w:t>Pass-compulsory Components</w:t>
            </w:r>
            <w:r w:rsidRPr="00B571E8" w:rsidR="00B571E8">
              <w:rPr>
                <w:rFonts w:ascii="Arial" w:hAnsi="Arial" w:cs="Arial"/>
                <w:noProof/>
                <w:webHidden/>
                <w:sz w:val="24"/>
                <w:szCs w:val="24"/>
              </w:rPr>
              <w:tab/>
            </w:r>
            <w:r w:rsidRPr="00B571E8" w:rsidR="00B571E8">
              <w:rPr>
                <w:rFonts w:ascii="Arial" w:hAnsi="Arial" w:cs="Arial"/>
                <w:noProof/>
                <w:webHidden/>
                <w:sz w:val="24"/>
                <w:szCs w:val="24"/>
              </w:rPr>
              <w:fldChar w:fldCharType="begin"/>
            </w:r>
            <w:r w:rsidRPr="00B571E8" w:rsidR="00B571E8">
              <w:rPr>
                <w:rFonts w:ascii="Arial" w:hAnsi="Arial" w:cs="Arial"/>
                <w:noProof/>
                <w:webHidden/>
                <w:sz w:val="24"/>
                <w:szCs w:val="24"/>
              </w:rPr>
              <w:instrText xml:space="preserve"> PAGEREF _Toc83120992 \h </w:instrText>
            </w:r>
            <w:r w:rsidRPr="00B571E8" w:rsidR="00B571E8">
              <w:rPr>
                <w:rFonts w:ascii="Arial" w:hAnsi="Arial" w:cs="Arial"/>
                <w:noProof/>
                <w:webHidden/>
                <w:sz w:val="24"/>
                <w:szCs w:val="24"/>
              </w:rPr>
            </w:r>
            <w:r w:rsidRPr="00B571E8" w:rsidR="00B571E8">
              <w:rPr>
                <w:rFonts w:ascii="Arial" w:hAnsi="Arial" w:cs="Arial"/>
                <w:noProof/>
                <w:webHidden/>
                <w:sz w:val="24"/>
                <w:szCs w:val="24"/>
              </w:rPr>
              <w:fldChar w:fldCharType="separate"/>
            </w:r>
            <w:r w:rsidR="00895B41">
              <w:rPr>
                <w:rFonts w:ascii="Arial" w:hAnsi="Arial" w:cs="Arial"/>
                <w:noProof/>
                <w:webHidden/>
                <w:sz w:val="24"/>
                <w:szCs w:val="24"/>
              </w:rPr>
              <w:t>5</w:t>
            </w:r>
            <w:r w:rsidRPr="00B571E8" w:rsidR="00B571E8">
              <w:rPr>
                <w:rFonts w:ascii="Arial" w:hAnsi="Arial" w:cs="Arial"/>
                <w:noProof/>
                <w:webHidden/>
                <w:sz w:val="24"/>
                <w:szCs w:val="24"/>
              </w:rPr>
              <w:fldChar w:fldCharType="end"/>
            </w:r>
          </w:hyperlink>
        </w:p>
        <w:p w:rsidRPr="00B571E8" w:rsidR="00B571E8" w:rsidP="00B571E8" w:rsidRDefault="00690397" w14:paraId="22529412" w14:textId="47C83481">
          <w:pPr>
            <w:pStyle w:val="TOC1"/>
            <w:tabs>
              <w:tab w:val="left" w:pos="567"/>
              <w:tab w:val="right" w:leader="dot" w:pos="9016"/>
            </w:tabs>
            <w:rPr>
              <w:rFonts w:ascii="Arial" w:hAnsi="Arial" w:cs="Arial" w:eastAsiaTheme="minorEastAsia"/>
              <w:noProof/>
              <w:sz w:val="24"/>
              <w:szCs w:val="24"/>
              <w:lang w:eastAsia="zh-CN"/>
            </w:rPr>
          </w:pPr>
          <w:hyperlink w:history="1" w:anchor="_Toc83120993">
            <w:r w:rsidRPr="00B571E8" w:rsidR="00B571E8">
              <w:rPr>
                <w:rStyle w:val="Hyperlink"/>
                <w:rFonts w:ascii="Arial" w:hAnsi="Arial" w:cs="Arial" w:eastAsiaTheme="majorEastAsia"/>
                <w:noProof/>
                <w:sz w:val="24"/>
                <w:szCs w:val="24"/>
              </w:rPr>
              <w:t>12.   High Risk of Non-delivery</w:t>
            </w:r>
            <w:r w:rsidRPr="00B571E8" w:rsidR="00B571E8">
              <w:rPr>
                <w:rFonts w:ascii="Arial" w:hAnsi="Arial" w:cs="Arial"/>
                <w:noProof/>
                <w:webHidden/>
                <w:sz w:val="24"/>
                <w:szCs w:val="24"/>
              </w:rPr>
              <w:tab/>
            </w:r>
            <w:r w:rsidRPr="00B571E8" w:rsidR="00B571E8">
              <w:rPr>
                <w:rFonts w:ascii="Arial" w:hAnsi="Arial" w:cs="Arial"/>
                <w:noProof/>
                <w:webHidden/>
                <w:sz w:val="24"/>
                <w:szCs w:val="24"/>
              </w:rPr>
              <w:fldChar w:fldCharType="begin"/>
            </w:r>
            <w:r w:rsidRPr="00B571E8" w:rsidR="00B571E8">
              <w:rPr>
                <w:rFonts w:ascii="Arial" w:hAnsi="Arial" w:cs="Arial"/>
                <w:noProof/>
                <w:webHidden/>
                <w:sz w:val="24"/>
                <w:szCs w:val="24"/>
              </w:rPr>
              <w:instrText xml:space="preserve"> PAGEREF _Toc83120993 \h </w:instrText>
            </w:r>
            <w:r w:rsidRPr="00B571E8" w:rsidR="00B571E8">
              <w:rPr>
                <w:rFonts w:ascii="Arial" w:hAnsi="Arial" w:cs="Arial"/>
                <w:noProof/>
                <w:webHidden/>
                <w:sz w:val="24"/>
                <w:szCs w:val="24"/>
              </w:rPr>
            </w:r>
            <w:r w:rsidRPr="00B571E8" w:rsidR="00B571E8">
              <w:rPr>
                <w:rFonts w:ascii="Arial" w:hAnsi="Arial" w:cs="Arial"/>
                <w:noProof/>
                <w:webHidden/>
                <w:sz w:val="24"/>
                <w:szCs w:val="24"/>
              </w:rPr>
              <w:fldChar w:fldCharType="separate"/>
            </w:r>
            <w:r w:rsidR="00895B41">
              <w:rPr>
                <w:rFonts w:ascii="Arial" w:hAnsi="Arial" w:cs="Arial"/>
                <w:noProof/>
                <w:webHidden/>
                <w:sz w:val="24"/>
                <w:szCs w:val="24"/>
              </w:rPr>
              <w:t>5</w:t>
            </w:r>
            <w:r w:rsidRPr="00B571E8" w:rsidR="00B571E8">
              <w:rPr>
                <w:rFonts w:ascii="Arial" w:hAnsi="Arial" w:cs="Arial"/>
                <w:noProof/>
                <w:webHidden/>
                <w:sz w:val="24"/>
                <w:szCs w:val="24"/>
              </w:rPr>
              <w:fldChar w:fldCharType="end"/>
            </w:r>
          </w:hyperlink>
        </w:p>
        <w:p w:rsidRPr="00B571E8" w:rsidR="00B571E8" w:rsidP="00B571E8" w:rsidRDefault="00690397" w14:paraId="55073EC5" w14:textId="0A0887BD">
          <w:pPr>
            <w:pStyle w:val="TOC1"/>
            <w:tabs>
              <w:tab w:val="left" w:pos="567"/>
              <w:tab w:val="right" w:leader="dot" w:pos="9016"/>
            </w:tabs>
            <w:rPr>
              <w:rFonts w:ascii="Arial" w:hAnsi="Arial" w:cs="Arial" w:eastAsiaTheme="minorEastAsia"/>
              <w:noProof/>
              <w:sz w:val="24"/>
              <w:szCs w:val="24"/>
              <w:lang w:eastAsia="zh-CN"/>
            </w:rPr>
          </w:pPr>
          <w:hyperlink w:history="1" w:anchor="_Toc83120994">
            <w:r w:rsidRPr="00B571E8" w:rsidR="00B571E8">
              <w:rPr>
                <w:rStyle w:val="Hyperlink"/>
                <w:rFonts w:ascii="Arial" w:hAnsi="Arial" w:cs="Arial" w:eastAsiaTheme="majorEastAsia"/>
                <w:noProof/>
                <w:sz w:val="24"/>
                <w:szCs w:val="24"/>
              </w:rPr>
              <w:t>13.   Changes to Approved Modules</w:t>
            </w:r>
            <w:r w:rsidRPr="00B571E8" w:rsidR="00B571E8">
              <w:rPr>
                <w:rFonts w:ascii="Arial" w:hAnsi="Arial" w:cs="Arial"/>
                <w:noProof/>
                <w:webHidden/>
                <w:sz w:val="24"/>
                <w:szCs w:val="24"/>
              </w:rPr>
              <w:tab/>
            </w:r>
            <w:r w:rsidRPr="00B571E8" w:rsidR="00B571E8">
              <w:rPr>
                <w:rFonts w:ascii="Arial" w:hAnsi="Arial" w:cs="Arial"/>
                <w:noProof/>
                <w:webHidden/>
                <w:sz w:val="24"/>
                <w:szCs w:val="24"/>
              </w:rPr>
              <w:fldChar w:fldCharType="begin"/>
            </w:r>
            <w:r w:rsidRPr="00B571E8" w:rsidR="00B571E8">
              <w:rPr>
                <w:rFonts w:ascii="Arial" w:hAnsi="Arial" w:cs="Arial"/>
                <w:noProof/>
                <w:webHidden/>
                <w:sz w:val="24"/>
                <w:szCs w:val="24"/>
              </w:rPr>
              <w:instrText xml:space="preserve"> PAGEREF _Toc83120994 \h </w:instrText>
            </w:r>
            <w:r w:rsidRPr="00B571E8" w:rsidR="00B571E8">
              <w:rPr>
                <w:rFonts w:ascii="Arial" w:hAnsi="Arial" w:cs="Arial"/>
                <w:noProof/>
                <w:webHidden/>
                <w:sz w:val="24"/>
                <w:szCs w:val="24"/>
              </w:rPr>
            </w:r>
            <w:r w:rsidRPr="00B571E8" w:rsidR="00B571E8">
              <w:rPr>
                <w:rFonts w:ascii="Arial" w:hAnsi="Arial" w:cs="Arial"/>
                <w:noProof/>
                <w:webHidden/>
                <w:sz w:val="24"/>
                <w:szCs w:val="24"/>
              </w:rPr>
              <w:fldChar w:fldCharType="separate"/>
            </w:r>
            <w:r w:rsidR="00895B41">
              <w:rPr>
                <w:rFonts w:ascii="Arial" w:hAnsi="Arial" w:cs="Arial"/>
                <w:noProof/>
                <w:webHidden/>
                <w:sz w:val="24"/>
                <w:szCs w:val="24"/>
              </w:rPr>
              <w:t>6</w:t>
            </w:r>
            <w:r w:rsidRPr="00B571E8" w:rsidR="00B571E8">
              <w:rPr>
                <w:rFonts w:ascii="Arial" w:hAnsi="Arial" w:cs="Arial"/>
                <w:noProof/>
                <w:webHidden/>
                <w:sz w:val="24"/>
                <w:szCs w:val="24"/>
              </w:rPr>
              <w:fldChar w:fldCharType="end"/>
            </w:r>
          </w:hyperlink>
        </w:p>
        <w:p w:rsidRPr="00B571E8" w:rsidR="00B571E8" w:rsidP="00B571E8" w:rsidRDefault="00690397" w14:paraId="11FFE94E" w14:textId="1E5191D7">
          <w:pPr>
            <w:pStyle w:val="TOC1"/>
            <w:tabs>
              <w:tab w:val="left" w:pos="567"/>
              <w:tab w:val="right" w:leader="dot" w:pos="9016"/>
            </w:tabs>
            <w:rPr>
              <w:rFonts w:ascii="Arial" w:hAnsi="Arial" w:cs="Arial" w:eastAsiaTheme="minorEastAsia"/>
              <w:noProof/>
              <w:sz w:val="24"/>
              <w:szCs w:val="24"/>
              <w:lang w:eastAsia="zh-CN"/>
            </w:rPr>
          </w:pPr>
          <w:hyperlink w:history="1" w:anchor="_Toc83120995">
            <w:r w:rsidRPr="00B571E8" w:rsidR="00B571E8">
              <w:rPr>
                <w:rStyle w:val="Hyperlink"/>
                <w:rFonts w:ascii="Arial" w:hAnsi="Arial" w:cs="Arial" w:eastAsiaTheme="majorEastAsia"/>
                <w:noProof/>
                <w:sz w:val="24"/>
                <w:szCs w:val="24"/>
              </w:rPr>
              <w:t>14.   Module Withdrawal</w:t>
            </w:r>
            <w:r w:rsidRPr="00B571E8" w:rsidR="00B571E8">
              <w:rPr>
                <w:rFonts w:ascii="Arial" w:hAnsi="Arial" w:cs="Arial"/>
                <w:noProof/>
                <w:webHidden/>
                <w:sz w:val="24"/>
                <w:szCs w:val="24"/>
              </w:rPr>
              <w:tab/>
            </w:r>
            <w:r w:rsidRPr="00B571E8" w:rsidR="00B571E8">
              <w:rPr>
                <w:rFonts w:ascii="Arial" w:hAnsi="Arial" w:cs="Arial"/>
                <w:noProof/>
                <w:webHidden/>
                <w:sz w:val="24"/>
                <w:szCs w:val="24"/>
              </w:rPr>
              <w:fldChar w:fldCharType="begin"/>
            </w:r>
            <w:r w:rsidRPr="00B571E8" w:rsidR="00B571E8">
              <w:rPr>
                <w:rFonts w:ascii="Arial" w:hAnsi="Arial" w:cs="Arial"/>
                <w:noProof/>
                <w:webHidden/>
                <w:sz w:val="24"/>
                <w:szCs w:val="24"/>
              </w:rPr>
              <w:instrText xml:space="preserve"> PAGEREF _Toc83120995 \h </w:instrText>
            </w:r>
            <w:r w:rsidRPr="00B571E8" w:rsidR="00B571E8">
              <w:rPr>
                <w:rFonts w:ascii="Arial" w:hAnsi="Arial" w:cs="Arial"/>
                <w:noProof/>
                <w:webHidden/>
                <w:sz w:val="24"/>
                <w:szCs w:val="24"/>
              </w:rPr>
            </w:r>
            <w:r w:rsidRPr="00B571E8" w:rsidR="00B571E8">
              <w:rPr>
                <w:rFonts w:ascii="Arial" w:hAnsi="Arial" w:cs="Arial"/>
                <w:noProof/>
                <w:webHidden/>
                <w:sz w:val="24"/>
                <w:szCs w:val="24"/>
              </w:rPr>
              <w:fldChar w:fldCharType="separate"/>
            </w:r>
            <w:r w:rsidR="00895B41">
              <w:rPr>
                <w:rFonts w:ascii="Arial" w:hAnsi="Arial" w:cs="Arial"/>
                <w:noProof/>
                <w:webHidden/>
                <w:sz w:val="24"/>
                <w:szCs w:val="24"/>
              </w:rPr>
              <w:t>7</w:t>
            </w:r>
            <w:r w:rsidRPr="00B571E8" w:rsidR="00B571E8">
              <w:rPr>
                <w:rFonts w:ascii="Arial" w:hAnsi="Arial" w:cs="Arial"/>
                <w:noProof/>
                <w:webHidden/>
                <w:sz w:val="24"/>
                <w:szCs w:val="24"/>
              </w:rPr>
              <w:fldChar w:fldCharType="end"/>
            </w:r>
          </w:hyperlink>
        </w:p>
        <w:p w:rsidRPr="00B571E8" w:rsidR="00B571E8" w:rsidP="00B571E8" w:rsidRDefault="00690397" w14:paraId="21A611BB" w14:textId="5D7DDE91">
          <w:pPr>
            <w:pStyle w:val="TOC1"/>
            <w:tabs>
              <w:tab w:val="left" w:pos="567"/>
              <w:tab w:val="right" w:leader="dot" w:pos="9016"/>
            </w:tabs>
            <w:rPr>
              <w:rFonts w:ascii="Arial" w:hAnsi="Arial" w:cs="Arial" w:eastAsiaTheme="minorEastAsia"/>
              <w:noProof/>
              <w:sz w:val="24"/>
              <w:szCs w:val="24"/>
              <w:lang w:eastAsia="zh-CN"/>
            </w:rPr>
          </w:pPr>
          <w:hyperlink w:history="1" w:anchor="_Toc83120996">
            <w:r w:rsidRPr="00B571E8" w:rsidR="00B571E8">
              <w:rPr>
                <w:rStyle w:val="Hyperlink"/>
                <w:rFonts w:ascii="Arial" w:hAnsi="Arial" w:cs="Arial" w:eastAsiaTheme="majorEastAsia"/>
                <w:noProof/>
                <w:sz w:val="24"/>
                <w:szCs w:val="24"/>
              </w:rPr>
              <w:t xml:space="preserve">15. </w:t>
            </w:r>
            <w:r w:rsidR="00B571E8">
              <w:rPr>
                <w:rStyle w:val="Hyperlink"/>
                <w:rFonts w:ascii="Arial" w:hAnsi="Arial" w:cs="Arial" w:eastAsiaTheme="majorEastAsia"/>
                <w:noProof/>
                <w:sz w:val="24"/>
                <w:szCs w:val="24"/>
              </w:rPr>
              <w:tab/>
            </w:r>
            <w:r w:rsidRPr="00B571E8" w:rsidR="00B571E8">
              <w:rPr>
                <w:rStyle w:val="Hyperlink"/>
                <w:rFonts w:ascii="Arial" w:hAnsi="Arial" w:cs="Arial" w:eastAsiaTheme="majorEastAsia"/>
                <w:noProof/>
                <w:sz w:val="24"/>
                <w:szCs w:val="24"/>
              </w:rPr>
              <w:t>Alternative Assessment</w:t>
            </w:r>
            <w:r w:rsidRPr="00B571E8" w:rsidR="00B571E8">
              <w:rPr>
                <w:rFonts w:ascii="Arial" w:hAnsi="Arial" w:cs="Arial"/>
                <w:noProof/>
                <w:webHidden/>
                <w:sz w:val="24"/>
                <w:szCs w:val="24"/>
              </w:rPr>
              <w:tab/>
            </w:r>
            <w:r w:rsidRPr="00B571E8" w:rsidR="00B571E8">
              <w:rPr>
                <w:rFonts w:ascii="Arial" w:hAnsi="Arial" w:cs="Arial"/>
                <w:noProof/>
                <w:webHidden/>
                <w:sz w:val="24"/>
                <w:szCs w:val="24"/>
              </w:rPr>
              <w:fldChar w:fldCharType="begin"/>
            </w:r>
            <w:r w:rsidRPr="00B571E8" w:rsidR="00B571E8">
              <w:rPr>
                <w:rFonts w:ascii="Arial" w:hAnsi="Arial" w:cs="Arial"/>
                <w:noProof/>
                <w:webHidden/>
                <w:sz w:val="24"/>
                <w:szCs w:val="24"/>
              </w:rPr>
              <w:instrText xml:space="preserve"> PAGEREF _Toc83120996 \h </w:instrText>
            </w:r>
            <w:r w:rsidRPr="00B571E8" w:rsidR="00B571E8">
              <w:rPr>
                <w:rFonts w:ascii="Arial" w:hAnsi="Arial" w:cs="Arial"/>
                <w:noProof/>
                <w:webHidden/>
                <w:sz w:val="24"/>
                <w:szCs w:val="24"/>
              </w:rPr>
            </w:r>
            <w:r w:rsidRPr="00B571E8" w:rsidR="00B571E8">
              <w:rPr>
                <w:rFonts w:ascii="Arial" w:hAnsi="Arial" w:cs="Arial"/>
                <w:noProof/>
                <w:webHidden/>
                <w:sz w:val="24"/>
                <w:szCs w:val="24"/>
              </w:rPr>
              <w:fldChar w:fldCharType="separate"/>
            </w:r>
            <w:r w:rsidR="00895B41">
              <w:rPr>
                <w:rFonts w:ascii="Arial" w:hAnsi="Arial" w:cs="Arial"/>
                <w:noProof/>
                <w:webHidden/>
                <w:sz w:val="24"/>
                <w:szCs w:val="24"/>
              </w:rPr>
              <w:t>8</w:t>
            </w:r>
            <w:r w:rsidRPr="00B571E8" w:rsidR="00B571E8">
              <w:rPr>
                <w:rFonts w:ascii="Arial" w:hAnsi="Arial" w:cs="Arial"/>
                <w:noProof/>
                <w:webHidden/>
                <w:sz w:val="24"/>
                <w:szCs w:val="24"/>
              </w:rPr>
              <w:fldChar w:fldCharType="end"/>
            </w:r>
          </w:hyperlink>
        </w:p>
        <w:p w:rsidRPr="00E31F4F" w:rsidR="00C93EBB" w:rsidP="00B571E8" w:rsidRDefault="00C93EBB" w14:paraId="7BE1979D" w14:textId="7B02F5D7">
          <w:pPr>
            <w:tabs>
              <w:tab w:val="left" w:pos="567"/>
            </w:tabs>
            <w:ind w:right="95"/>
            <w:rPr>
              <w:szCs w:val="24"/>
            </w:rPr>
          </w:pPr>
          <w:r w:rsidRPr="00B571E8">
            <w:rPr>
              <w:b/>
              <w:bCs/>
              <w:noProof/>
              <w:szCs w:val="24"/>
            </w:rPr>
            <w:fldChar w:fldCharType="end"/>
          </w:r>
        </w:p>
      </w:sdtContent>
    </w:sdt>
    <w:p w:rsidRPr="00E31F4F" w:rsidR="00C93EBB" w:rsidP="00E31F4F" w:rsidRDefault="00C93EBB" w14:paraId="18826191" w14:textId="77777777">
      <w:pPr>
        <w:pStyle w:val="Heading1"/>
        <w:ind w:right="95"/>
        <w:rPr>
          <w:rFonts w:cs="Arial"/>
          <w:b w:val="0"/>
          <w:szCs w:val="24"/>
        </w:rPr>
      </w:pPr>
    </w:p>
    <w:p w:rsidRPr="00E31F4F" w:rsidR="00C93EBB" w:rsidP="00E31F4F" w:rsidRDefault="00C93EBB" w14:paraId="72C9BE7E" w14:textId="77777777">
      <w:pPr>
        <w:ind w:right="95"/>
        <w:rPr>
          <w:szCs w:val="24"/>
        </w:rPr>
      </w:pPr>
    </w:p>
    <w:p w:rsidRPr="00E31F4F" w:rsidR="001418F9" w:rsidP="00E31F4F" w:rsidRDefault="001418F9" w14:paraId="0145246A" w14:textId="77777777">
      <w:pPr>
        <w:ind w:left="0" w:right="95" w:firstLine="0"/>
        <w:rPr>
          <w:rFonts w:eastAsiaTheme="majorEastAsia"/>
          <w:color w:val="auto"/>
          <w:szCs w:val="24"/>
          <w:lang w:eastAsia="en-US"/>
        </w:rPr>
      </w:pPr>
      <w:r w:rsidRPr="00E31F4F">
        <w:rPr>
          <w:color w:val="auto"/>
          <w:szCs w:val="24"/>
        </w:rPr>
        <w:br w:type="page"/>
      </w:r>
    </w:p>
    <w:p w:rsidRPr="00E31F4F" w:rsidR="00C93EBB" w:rsidP="0039736E" w:rsidRDefault="00C93EBB" w14:paraId="409DD0C0" w14:textId="269A1C87">
      <w:pPr>
        <w:pStyle w:val="Heading1"/>
        <w:tabs>
          <w:tab w:val="left" w:pos="567"/>
        </w:tabs>
        <w:ind w:right="95"/>
        <w:rPr>
          <w:rFonts w:cs="Arial"/>
          <w:szCs w:val="24"/>
        </w:rPr>
      </w:pPr>
      <w:bookmarkStart w:name="_Toc83120974" w:id="0"/>
      <w:r w:rsidRPr="00E31F4F">
        <w:rPr>
          <w:rFonts w:cs="Arial"/>
          <w:szCs w:val="24"/>
        </w:rPr>
        <w:t xml:space="preserve">1.     </w:t>
      </w:r>
      <w:r w:rsidRPr="00E31F4F" w:rsidR="005A2393">
        <w:rPr>
          <w:rFonts w:cs="Arial"/>
          <w:szCs w:val="24"/>
        </w:rPr>
        <w:tab/>
      </w:r>
      <w:r w:rsidRPr="00E31F4F">
        <w:rPr>
          <w:rFonts w:cs="Arial"/>
          <w:szCs w:val="24"/>
        </w:rPr>
        <w:t>Overview</w:t>
      </w:r>
      <w:bookmarkEnd w:id="0"/>
      <w:r w:rsidRPr="00E31F4F">
        <w:rPr>
          <w:rFonts w:cs="Arial"/>
          <w:szCs w:val="24"/>
        </w:rPr>
        <w:t xml:space="preserve"> </w:t>
      </w:r>
    </w:p>
    <w:p w:rsidRPr="00E31F4F" w:rsidR="00C93EBB" w:rsidP="0039736E" w:rsidRDefault="00C93EBB" w14:paraId="015E1BAA" w14:textId="77777777">
      <w:pPr>
        <w:ind w:left="567" w:right="95" w:firstLine="0"/>
        <w:rPr>
          <w:szCs w:val="24"/>
        </w:rPr>
      </w:pPr>
      <w:r w:rsidRPr="00E31F4F">
        <w:rPr>
          <w:szCs w:val="24"/>
        </w:rPr>
        <w:t xml:space="preserve">This annex of the Code of Practice sets out the requirements which must be met by proposals for new modules and the procedures for consideration and approval of such proposals. Divisional Education and UG Student Experience Committees (DESEC) are authorised to approve new and revised modules proposed by its Boards of Studies. Members of Board of Studies who attend the DESEC may not play a decision-making role </w:t>
      </w:r>
      <w:proofErr w:type="gramStart"/>
      <w:r w:rsidRPr="00E31F4F">
        <w:rPr>
          <w:szCs w:val="24"/>
        </w:rPr>
        <w:t>with regard to</w:t>
      </w:r>
      <w:proofErr w:type="gramEnd"/>
      <w:r w:rsidRPr="00E31F4F">
        <w:rPr>
          <w:szCs w:val="24"/>
        </w:rPr>
        <w:t xml:space="preserve"> the approval of any modules that they have proposed.  </w:t>
      </w:r>
    </w:p>
    <w:p w:rsidRPr="00E31F4F" w:rsidR="00C93EBB" w:rsidP="0039736E" w:rsidRDefault="00C93EBB" w14:paraId="51695E84" w14:textId="44DFE825">
      <w:pPr>
        <w:ind w:left="567" w:right="95" w:firstLine="11"/>
        <w:rPr>
          <w:szCs w:val="24"/>
        </w:rPr>
      </w:pPr>
      <w:r w:rsidRPr="00E31F4F">
        <w:rPr>
          <w:szCs w:val="24"/>
        </w:rPr>
        <w:t>N</w:t>
      </w:r>
      <w:r w:rsidR="002A69E5">
        <w:rPr>
          <w:szCs w:val="24"/>
        </w:rPr>
        <w:t>ote</w:t>
      </w:r>
      <w:r w:rsidR="0039736E">
        <w:rPr>
          <w:szCs w:val="24"/>
        </w:rPr>
        <w:t xml:space="preserve">: </w:t>
      </w:r>
      <w:r w:rsidRPr="00E31F4F">
        <w:rPr>
          <w:szCs w:val="24"/>
        </w:rPr>
        <w:t>Where the text states ‘School’ this should be understood to refer to ‘School’ or ’Department’ at the sub-divisional level, as appropriate.</w:t>
      </w:r>
    </w:p>
    <w:p w:rsidRPr="00E31F4F" w:rsidR="00C93EBB" w:rsidP="00E31F4F" w:rsidRDefault="00C93EBB" w14:paraId="525BD71D" w14:textId="77777777">
      <w:pPr>
        <w:ind w:right="95"/>
        <w:rPr>
          <w:szCs w:val="24"/>
        </w:rPr>
      </w:pPr>
    </w:p>
    <w:p w:rsidRPr="00E31F4F" w:rsidR="00C93EBB" w:rsidP="0039736E" w:rsidRDefault="00C93EBB" w14:paraId="28585DEF" w14:textId="77777777">
      <w:pPr>
        <w:pStyle w:val="Heading1"/>
        <w:tabs>
          <w:tab w:val="left" w:pos="567"/>
        </w:tabs>
      </w:pPr>
      <w:bookmarkStart w:name="_Toc83120975" w:id="1"/>
      <w:r w:rsidRPr="00E31F4F">
        <w:t>2.     Module Designations</w:t>
      </w:r>
      <w:bookmarkEnd w:id="1"/>
      <w:r w:rsidRPr="00E31F4F">
        <w:t xml:space="preserve"> </w:t>
      </w:r>
    </w:p>
    <w:p w:rsidR="00606F4D" w:rsidP="00606F4D" w:rsidRDefault="00606F4D" w14:paraId="7BA81586" w14:textId="64532791">
      <w:pPr>
        <w:pStyle w:val="Heading2"/>
        <w:tabs>
          <w:tab w:val="left" w:pos="567"/>
        </w:tabs>
        <w:rPr>
          <w:b w:val="0"/>
          <w:bdr w:val="none" w:color="auto" w:sz="0" w:space="0" w:frame="1"/>
        </w:rPr>
      </w:pPr>
      <w:bookmarkStart w:name="_Toc83120976" w:id="2"/>
      <w:r>
        <w:rPr>
          <w:b w:val="0"/>
          <w:bdr w:val="none" w:color="auto" w:sz="0" w:space="0" w:frame="1"/>
        </w:rPr>
        <w:t>2.1</w:t>
      </w:r>
      <w:r>
        <w:rPr>
          <w:b w:val="0"/>
          <w:bdr w:val="none" w:color="auto" w:sz="0" w:space="0" w:frame="1"/>
        </w:rPr>
        <w:tab/>
      </w:r>
      <w:r w:rsidRPr="00606F4D">
        <w:rPr>
          <w:bCs/>
          <w:bdr w:val="none" w:color="auto" w:sz="0" w:space="0" w:frame="1"/>
        </w:rPr>
        <w:t>Compulsory Modules</w:t>
      </w:r>
      <w:bookmarkEnd w:id="2"/>
    </w:p>
    <w:p w:rsidRPr="00E31F4F" w:rsidR="00C93EBB" w:rsidP="00606F4D" w:rsidRDefault="00C93EBB" w14:paraId="611870F7" w14:textId="59CBD49B">
      <w:pPr>
        <w:ind w:left="567" w:firstLine="0"/>
      </w:pPr>
      <w:r w:rsidRPr="00E31F4F">
        <w:rPr>
          <w:bdr w:val="none" w:color="auto" w:sz="0" w:space="0" w:frame="1"/>
        </w:rPr>
        <w:t xml:space="preserve">A module will be designated as ‘compulsory’ where, due to the relevance of its content and learning outcomes to the course of study, it is stated in the relevant course specification that it is a module that must be taken and for which credit must be awarded </w:t>
      </w:r>
      <w:proofErr w:type="gramStart"/>
      <w:r w:rsidRPr="00E31F4F">
        <w:rPr>
          <w:bdr w:val="none" w:color="auto" w:sz="0" w:space="0" w:frame="1"/>
        </w:rPr>
        <w:t>in order for</w:t>
      </w:r>
      <w:proofErr w:type="gramEnd"/>
      <w:r w:rsidRPr="00E31F4F">
        <w:rPr>
          <w:bdr w:val="none" w:color="auto" w:sz="0" w:space="0" w:frame="1"/>
        </w:rPr>
        <w:t xml:space="preserve"> a student to remain in good standing on the course.</w:t>
      </w:r>
    </w:p>
    <w:p w:rsidRPr="00D95EC1" w:rsidR="00D95EC1" w:rsidP="00D95EC1" w:rsidRDefault="00D95EC1" w14:paraId="3F09D4E4" w14:textId="43FAB4F8">
      <w:pPr>
        <w:pStyle w:val="Heading2"/>
        <w:tabs>
          <w:tab w:val="left" w:pos="567"/>
        </w:tabs>
      </w:pPr>
      <w:bookmarkStart w:name="_Toc83120977" w:id="3"/>
      <w:r>
        <w:rPr>
          <w:b w:val="0"/>
          <w:bCs/>
          <w:bdr w:val="none" w:color="auto" w:sz="0" w:space="0" w:frame="1"/>
        </w:rPr>
        <w:t>2.2</w:t>
      </w:r>
      <w:r>
        <w:rPr>
          <w:b w:val="0"/>
          <w:bCs/>
          <w:bdr w:val="none" w:color="auto" w:sz="0" w:space="0" w:frame="1"/>
        </w:rPr>
        <w:tab/>
      </w:r>
      <w:r>
        <w:rPr>
          <w:bdr w:val="none" w:color="auto" w:sz="0" w:space="0" w:frame="1"/>
        </w:rPr>
        <w:t>Optional Modules</w:t>
      </w:r>
      <w:bookmarkEnd w:id="3"/>
    </w:p>
    <w:p w:rsidRPr="00E31F4F" w:rsidR="005A2393" w:rsidP="00D95EC1" w:rsidRDefault="00C93EBB" w14:paraId="3B5AFB4A" w14:textId="6A399B5B">
      <w:pPr>
        <w:pStyle w:val="NormalWeb"/>
        <w:shd w:val="clear" w:color="auto" w:fill="FFFFFF"/>
        <w:spacing w:before="0" w:beforeAutospacing="0" w:after="120" w:afterAutospacing="0"/>
        <w:ind w:left="567" w:right="95"/>
        <w:rPr>
          <w:rFonts w:ascii="Arial" w:hAnsi="Arial" w:cs="Arial"/>
        </w:rPr>
      </w:pPr>
      <w:r w:rsidRPr="00E31F4F">
        <w:rPr>
          <w:rFonts w:ascii="Arial" w:hAnsi="Arial" w:cs="Arial"/>
          <w:bdr w:val="none" w:color="auto" w:sz="0" w:space="0" w:frame="1"/>
        </w:rPr>
        <w:t xml:space="preserve">A module will be designated as ‘optional’ where it is indicated in a list provided by the course-owning Division as one of </w:t>
      </w:r>
      <w:proofErr w:type="gramStart"/>
      <w:r w:rsidRPr="00E31F4F">
        <w:rPr>
          <w:rFonts w:ascii="Arial" w:hAnsi="Arial" w:cs="Arial"/>
          <w:bdr w:val="none" w:color="auto" w:sz="0" w:space="0" w:frame="1"/>
        </w:rPr>
        <w:t>a number of</w:t>
      </w:r>
      <w:proofErr w:type="gramEnd"/>
      <w:r w:rsidRPr="00E31F4F">
        <w:rPr>
          <w:rFonts w:ascii="Arial" w:hAnsi="Arial" w:cs="Arial"/>
          <w:bdr w:val="none" w:color="auto" w:sz="0" w:space="0" w:frame="1"/>
        </w:rPr>
        <w:t xml:space="preserve"> modules it provides for students to take on an opt-in basis as part of their course of study.</w:t>
      </w:r>
    </w:p>
    <w:p w:rsidRPr="008068B7" w:rsidR="008068B7" w:rsidP="008068B7" w:rsidRDefault="008068B7" w14:paraId="6828E96C" w14:textId="627264BB">
      <w:pPr>
        <w:pStyle w:val="Heading2"/>
        <w:tabs>
          <w:tab w:val="left" w:pos="567"/>
        </w:tabs>
      </w:pPr>
      <w:bookmarkStart w:name="_Toc83120978" w:id="4"/>
      <w:r>
        <w:rPr>
          <w:b w:val="0"/>
          <w:bCs/>
          <w:bdr w:val="none" w:color="auto" w:sz="0" w:space="0" w:frame="1"/>
        </w:rPr>
        <w:t>2.</w:t>
      </w:r>
      <w:r w:rsidR="00B571E8">
        <w:rPr>
          <w:b w:val="0"/>
          <w:bCs/>
          <w:bdr w:val="none" w:color="auto" w:sz="0" w:space="0" w:frame="1"/>
        </w:rPr>
        <w:t>3</w:t>
      </w:r>
      <w:r>
        <w:rPr>
          <w:b w:val="0"/>
          <w:bCs/>
          <w:bdr w:val="none" w:color="auto" w:sz="0" w:space="0" w:frame="1"/>
        </w:rPr>
        <w:tab/>
      </w:r>
      <w:r>
        <w:rPr>
          <w:bdr w:val="none" w:color="auto" w:sz="0" w:space="0" w:frame="1"/>
        </w:rPr>
        <w:t>Elective Modules</w:t>
      </w:r>
      <w:bookmarkEnd w:id="4"/>
    </w:p>
    <w:p w:rsidRPr="00E1539A" w:rsidR="00C93EBB" w:rsidP="008068B7" w:rsidRDefault="00C93EBB" w14:paraId="0775F036" w14:textId="73DC27E0">
      <w:pPr>
        <w:pStyle w:val="NormalWeb"/>
        <w:shd w:val="clear" w:color="auto" w:fill="FFFFFF"/>
        <w:spacing w:before="0" w:beforeAutospacing="0" w:after="120" w:afterAutospacing="0"/>
        <w:ind w:left="567" w:right="95"/>
        <w:rPr>
          <w:rFonts w:ascii="Arial" w:hAnsi="Arial" w:cs="Arial"/>
        </w:rPr>
      </w:pPr>
      <w:r w:rsidRPr="00E31F4F">
        <w:rPr>
          <w:rFonts w:ascii="Arial" w:hAnsi="Arial" w:cs="Arial"/>
          <w:bdr w:val="none" w:color="auto" w:sz="0" w:space="0" w:frame="1"/>
        </w:rPr>
        <w:t>A module will be designated as ‘elective’ where it is provided on an optional basis and falls outside the subject area of the student’s course of study.</w:t>
      </w:r>
    </w:p>
    <w:p w:rsidRPr="00E31F4F" w:rsidR="00E1539A" w:rsidP="00E1539A" w:rsidRDefault="00E1539A" w14:paraId="094BE823" w14:textId="77777777">
      <w:pPr>
        <w:pStyle w:val="NormalWeb"/>
        <w:shd w:val="clear" w:color="auto" w:fill="FFFFFF"/>
        <w:spacing w:before="0" w:beforeAutospacing="0" w:after="120" w:afterAutospacing="0"/>
        <w:ind w:left="567" w:right="95"/>
        <w:rPr>
          <w:rFonts w:ascii="Arial" w:hAnsi="Arial" w:cs="Arial"/>
        </w:rPr>
      </w:pPr>
    </w:p>
    <w:p w:rsidRPr="00E31F4F" w:rsidR="00602594" w:rsidP="00602594" w:rsidRDefault="00602594" w14:paraId="20E6BA89" w14:textId="5A14912E">
      <w:pPr>
        <w:pStyle w:val="Heading1"/>
        <w:tabs>
          <w:tab w:val="left" w:pos="567"/>
        </w:tabs>
      </w:pPr>
      <w:bookmarkStart w:name="_Toc83120979" w:id="5"/>
      <w:r>
        <w:t>3</w:t>
      </w:r>
      <w:r w:rsidRPr="00E31F4F">
        <w:t xml:space="preserve">.     </w:t>
      </w:r>
      <w:r>
        <w:t xml:space="preserve">New </w:t>
      </w:r>
      <w:r w:rsidRPr="00E31F4F">
        <w:t>Module</w:t>
      </w:r>
      <w:r>
        <w:t>s</w:t>
      </w:r>
      <w:bookmarkEnd w:id="5"/>
      <w:r w:rsidRPr="00E31F4F">
        <w:t xml:space="preserve"> </w:t>
      </w:r>
    </w:p>
    <w:p w:rsidRPr="00E31F4F" w:rsidR="00C93EBB" w:rsidP="00602594" w:rsidRDefault="00602594" w14:paraId="2911F471" w14:textId="3FB9D5A4">
      <w:pPr>
        <w:ind w:left="567" w:firstLine="0"/>
      </w:pPr>
      <w:r>
        <w:t xml:space="preserve">Proposals for new modules </w:t>
      </w:r>
      <w:r w:rsidRPr="00E31F4F" w:rsidR="00C93EBB">
        <w:t>should be developed</w:t>
      </w:r>
      <w:r w:rsidRPr="00E31F4F" w:rsidR="00BD2A3C">
        <w:t xml:space="preserve"> and considered by the</w:t>
      </w:r>
      <w:r w:rsidR="00E1539A">
        <w:t xml:space="preserve"> </w:t>
      </w:r>
      <w:r w:rsidRPr="00E31F4F" w:rsidR="005A2393">
        <w:t>relevant</w:t>
      </w:r>
      <w:r w:rsidRPr="00E31F4F" w:rsidR="00BD2A3C">
        <w:t xml:space="preserve"> </w:t>
      </w:r>
      <w:r w:rsidRPr="00E31F4F" w:rsidR="00C93EBB">
        <w:t>Board of Studies in the first instance and should includ</w:t>
      </w:r>
      <w:r w:rsidRPr="00E31F4F" w:rsidR="00BD2A3C">
        <w:t>e a module</w:t>
      </w:r>
      <w:r w:rsidR="00E1539A">
        <w:t xml:space="preserve"> </w:t>
      </w:r>
      <w:r w:rsidRPr="00E31F4F" w:rsidR="00BD2A3C">
        <w:t xml:space="preserve">specification in the </w:t>
      </w:r>
      <w:hyperlink w:history="1" w:anchor="annex-b" r:id="rId11">
        <w:r w:rsidRPr="00AF6C00" w:rsidR="00C93EBB">
          <w:rPr>
            <w:rStyle w:val="Hyperlink"/>
            <w:szCs w:val="24"/>
          </w:rPr>
          <w:t>approved format</w:t>
        </w:r>
      </w:hyperlink>
      <w:r w:rsidRPr="00E31F4F" w:rsidR="00C93EBB">
        <w:t>. E</w:t>
      </w:r>
      <w:r w:rsidRPr="00E31F4F" w:rsidR="00BD2A3C">
        <w:t>ach module must be set out in a</w:t>
      </w:r>
      <w:r w:rsidR="00E1539A">
        <w:t xml:space="preserve"> </w:t>
      </w:r>
      <w:r w:rsidRPr="00E31F4F" w:rsidR="00C93EBB">
        <w:t xml:space="preserve">separate module specification.   </w:t>
      </w:r>
    </w:p>
    <w:p w:rsidRPr="00E31F4F" w:rsidR="00C93EBB" w:rsidP="00E31F4F" w:rsidRDefault="00C93EBB" w14:paraId="30DB5FB4" w14:textId="77777777">
      <w:pPr>
        <w:ind w:right="95"/>
        <w:rPr>
          <w:color w:val="auto"/>
          <w:szCs w:val="24"/>
        </w:rPr>
      </w:pPr>
    </w:p>
    <w:p w:rsidRPr="00AA7D71" w:rsidR="005A2393" w:rsidP="00AA7D71" w:rsidRDefault="00C93EBB" w14:paraId="6AF34F42" w14:textId="77777777">
      <w:pPr>
        <w:pStyle w:val="Heading1"/>
        <w:tabs>
          <w:tab w:val="left" w:pos="567"/>
        </w:tabs>
      </w:pPr>
      <w:bookmarkStart w:name="_Toc83120980" w:id="6"/>
      <w:r w:rsidRPr="00AA7D71">
        <w:t>4.</w:t>
      </w:r>
      <w:r w:rsidRPr="00AA7D71">
        <w:tab/>
      </w:r>
      <w:r w:rsidRPr="00AA7D71" w:rsidR="008D0FB6">
        <w:rPr>
          <w:rStyle w:val="Heading2Char"/>
          <w:b/>
          <w:szCs w:val="32"/>
        </w:rPr>
        <w:t>Student Consultation</w:t>
      </w:r>
      <w:bookmarkEnd w:id="6"/>
      <w:r w:rsidRPr="00AA7D71" w:rsidR="008D0FB6">
        <w:t xml:space="preserve"> </w:t>
      </w:r>
    </w:p>
    <w:p w:rsidRPr="00E31F4F" w:rsidR="00C93EBB" w:rsidP="00AF6C00" w:rsidRDefault="00C93EBB" w14:paraId="13349323" w14:textId="77777777">
      <w:pPr>
        <w:ind w:left="567" w:right="95" w:firstLine="0"/>
        <w:rPr>
          <w:color w:val="auto"/>
          <w:szCs w:val="24"/>
        </w:rPr>
      </w:pPr>
      <w:r w:rsidRPr="00E31F4F">
        <w:rPr>
          <w:color w:val="auto"/>
          <w:szCs w:val="24"/>
        </w:rPr>
        <w:t xml:space="preserve">Students within the relevant School should be consulted on the proposal, along with any other relevant stakeholders, prior to its submission to the DESEC. The module specification will subsequently be used as the definitive </w:t>
      </w:r>
      <w:r w:rsidRPr="00E31F4F">
        <w:rPr>
          <w:color w:val="auto"/>
          <w:szCs w:val="24"/>
        </w:rPr>
        <w:t xml:space="preserve">source of information about the module by students, potential </w:t>
      </w:r>
      <w:proofErr w:type="gramStart"/>
      <w:r w:rsidRPr="00E31F4F">
        <w:rPr>
          <w:color w:val="auto"/>
          <w:szCs w:val="24"/>
        </w:rPr>
        <w:t>students</w:t>
      </w:r>
      <w:proofErr w:type="gramEnd"/>
      <w:r w:rsidRPr="00E31F4F">
        <w:rPr>
          <w:color w:val="auto"/>
          <w:szCs w:val="24"/>
        </w:rPr>
        <w:t xml:space="preserve"> and internal and external reviewers.</w:t>
      </w:r>
    </w:p>
    <w:p w:rsidRPr="00E31F4F" w:rsidR="00C93EBB" w:rsidP="00E31F4F" w:rsidRDefault="00C93EBB" w14:paraId="62FD5871" w14:textId="77777777">
      <w:pPr>
        <w:pStyle w:val="ListParagraph"/>
        <w:spacing w:after="120"/>
        <w:ind w:left="567" w:right="95"/>
        <w:contextualSpacing w:val="0"/>
        <w:rPr>
          <w:rFonts w:ascii="Arial" w:hAnsi="Arial" w:cs="Arial"/>
          <w:sz w:val="24"/>
          <w:szCs w:val="24"/>
        </w:rPr>
      </w:pPr>
    </w:p>
    <w:p w:rsidRPr="00BA2D1E" w:rsidR="005A2393" w:rsidP="00BA2D1E" w:rsidRDefault="00C93EBB" w14:paraId="2C36BFC4" w14:textId="77777777">
      <w:pPr>
        <w:pStyle w:val="Heading1"/>
        <w:tabs>
          <w:tab w:val="left" w:pos="567"/>
        </w:tabs>
      </w:pPr>
      <w:bookmarkStart w:name="_Toc83120981" w:id="7"/>
      <w:r w:rsidRPr="00BA2D1E">
        <w:t>5.</w:t>
      </w:r>
      <w:r w:rsidRPr="00BA2D1E">
        <w:tab/>
      </w:r>
      <w:r w:rsidRPr="00BA2D1E" w:rsidR="008D0FB6">
        <w:rPr>
          <w:rStyle w:val="Heading2Char"/>
          <w:b/>
          <w:szCs w:val="32"/>
        </w:rPr>
        <w:t>Proposals</w:t>
      </w:r>
      <w:bookmarkEnd w:id="7"/>
      <w:r w:rsidRPr="00BA2D1E" w:rsidR="008D0FB6">
        <w:t xml:space="preserve"> </w:t>
      </w:r>
    </w:p>
    <w:p w:rsidRPr="00E31F4F" w:rsidR="00C93EBB" w:rsidP="00AF6C00" w:rsidRDefault="00C93EBB" w14:paraId="4B679E71" w14:textId="77777777">
      <w:pPr>
        <w:ind w:left="567" w:right="95" w:firstLine="0"/>
        <w:rPr>
          <w:szCs w:val="24"/>
        </w:rPr>
      </w:pPr>
      <w:r w:rsidRPr="00E31F4F">
        <w:rPr>
          <w:color w:val="auto"/>
          <w:szCs w:val="24"/>
        </w:rPr>
        <w:t xml:space="preserve">The DESEC will consider proposals for new or amended modules for approval </w:t>
      </w:r>
      <w:r w:rsidRPr="00E31F4F">
        <w:rPr>
          <w:szCs w:val="24"/>
        </w:rPr>
        <w:t>under the procedures set out below.</w:t>
      </w:r>
    </w:p>
    <w:p w:rsidRPr="00E31F4F" w:rsidR="00C93EBB" w:rsidP="00E31F4F" w:rsidRDefault="00C93EBB" w14:paraId="61361F87" w14:textId="77777777">
      <w:pPr>
        <w:ind w:right="95"/>
        <w:rPr>
          <w:b/>
          <w:szCs w:val="24"/>
        </w:rPr>
      </w:pPr>
    </w:p>
    <w:p w:rsidRPr="00E31F4F" w:rsidR="00C93EBB" w:rsidP="00AF6C00" w:rsidRDefault="00C93EBB" w14:paraId="74646D02" w14:textId="77777777">
      <w:pPr>
        <w:pStyle w:val="Heading1"/>
        <w:tabs>
          <w:tab w:val="left" w:pos="567"/>
        </w:tabs>
      </w:pPr>
      <w:bookmarkStart w:name="_Toc83120982" w:id="8"/>
      <w:r w:rsidRPr="00E31F4F">
        <w:t>6.     Module Approval</w:t>
      </w:r>
      <w:bookmarkEnd w:id="8"/>
    </w:p>
    <w:p w:rsidR="00B571E8" w:rsidP="00B571E8" w:rsidRDefault="00B571E8" w14:paraId="6AFAA876" w14:textId="3BAB9A23">
      <w:pPr>
        <w:pStyle w:val="Heading2"/>
        <w:tabs>
          <w:tab w:val="left" w:pos="567"/>
        </w:tabs>
      </w:pPr>
      <w:bookmarkStart w:name="_Toc83120983" w:id="9"/>
      <w:r w:rsidRPr="00831DD3">
        <w:rPr>
          <w:b w:val="0"/>
          <w:bCs/>
        </w:rPr>
        <w:t>6.1</w:t>
      </w:r>
      <w:r>
        <w:tab/>
      </w:r>
      <w:r>
        <w:t>Introduction</w:t>
      </w:r>
      <w:bookmarkEnd w:id="9"/>
    </w:p>
    <w:p w:rsidRPr="00E31F4F" w:rsidR="00C93EBB" w:rsidP="00B571E8" w:rsidRDefault="00C93EBB" w14:paraId="4BB6E64E" w14:textId="598F569D">
      <w:pPr>
        <w:pStyle w:val="ListParagraph"/>
        <w:spacing w:after="120"/>
        <w:ind w:left="567" w:right="95"/>
        <w:contextualSpacing w:val="0"/>
        <w:rPr>
          <w:rFonts w:ascii="Arial" w:hAnsi="Arial" w:cs="Arial"/>
          <w:sz w:val="24"/>
          <w:szCs w:val="24"/>
        </w:rPr>
      </w:pPr>
      <w:r w:rsidRPr="00E31F4F">
        <w:rPr>
          <w:rFonts w:ascii="Arial" w:hAnsi="Arial" w:cs="Arial"/>
          <w:sz w:val="24"/>
          <w:szCs w:val="24"/>
        </w:rPr>
        <w:t>The procedures for module approval differ where (a) the module comes forward as part of a proposal for a new or substantially amended course of study to be considered by the relevant Course Development Team convened in collaboration with the Quality Assurance and Compliance Office (QACO); or (b) the module is proposed in isolation and does not form part of a course proposal, as set out below.</w:t>
      </w:r>
    </w:p>
    <w:p w:rsidRPr="00E31F4F" w:rsidR="00C93EBB" w:rsidP="00BA2D1E" w:rsidRDefault="00C93EBB" w14:paraId="42AE0C7C" w14:textId="77777777">
      <w:pPr>
        <w:pStyle w:val="Heading2"/>
      </w:pPr>
      <w:bookmarkStart w:name="_Toc83120984" w:id="10"/>
      <w:r w:rsidRPr="00831DD3">
        <w:rPr>
          <w:b w:val="0"/>
          <w:bCs/>
        </w:rPr>
        <w:t>6.2</w:t>
      </w:r>
      <w:r w:rsidRPr="00E31F4F">
        <w:t xml:space="preserve">   </w:t>
      </w:r>
      <w:r w:rsidRPr="00E31F4F">
        <w:rPr>
          <w:rStyle w:val="Heading3Char"/>
          <w:rFonts w:ascii="Arial" w:hAnsi="Arial" w:cs="Arial"/>
          <w:color w:val="auto"/>
        </w:rPr>
        <w:t>Modules Coming Forward as part of a Course Proposal</w:t>
      </w:r>
      <w:bookmarkEnd w:id="10"/>
    </w:p>
    <w:p w:rsidRPr="00E31F4F" w:rsidR="00C93EBB" w:rsidP="00E31F4F" w:rsidRDefault="00C93EBB" w14:paraId="2A21DC32" w14:textId="005A0297">
      <w:pPr>
        <w:pStyle w:val="ListParagraph"/>
        <w:spacing w:after="120"/>
        <w:ind w:left="567" w:right="95"/>
        <w:contextualSpacing w:val="0"/>
        <w:rPr>
          <w:rFonts w:ascii="Arial" w:hAnsi="Arial" w:cs="Arial"/>
          <w:sz w:val="24"/>
          <w:szCs w:val="24"/>
        </w:rPr>
      </w:pPr>
      <w:r w:rsidRPr="00E31F4F">
        <w:rPr>
          <w:rFonts w:ascii="Arial" w:hAnsi="Arial" w:cs="Arial"/>
          <w:sz w:val="24"/>
          <w:szCs w:val="24"/>
        </w:rPr>
        <w:t>New or amended modules put forward as part of a proposal for a new taught course of study or a substantially revised existing taught course will be considered via the process set out in sections 2</w:t>
      </w:r>
      <w:r w:rsidR="00BA2A06">
        <w:rPr>
          <w:rFonts w:ascii="Arial" w:hAnsi="Arial" w:cs="Arial"/>
          <w:sz w:val="24"/>
          <w:szCs w:val="24"/>
        </w:rPr>
        <w:t>-</w:t>
      </w:r>
      <w:r w:rsidRPr="00E31F4F">
        <w:rPr>
          <w:rFonts w:ascii="Arial" w:hAnsi="Arial" w:cs="Arial"/>
          <w:sz w:val="24"/>
          <w:szCs w:val="24"/>
        </w:rPr>
        <w:t xml:space="preserve">4 of </w:t>
      </w:r>
      <w:hyperlink w:history="1" w:anchor="annex-c" r:id="rId12">
        <w:r w:rsidRPr="00895B41">
          <w:rPr>
            <w:rStyle w:val="Hyperlink"/>
            <w:rFonts w:ascii="Arial" w:hAnsi="Arial" w:cs="Arial"/>
            <w:sz w:val="24"/>
            <w:szCs w:val="24"/>
          </w:rPr>
          <w:t>Annex C: Approval and Withdrawal of Taught Courses</w:t>
        </w:r>
      </w:hyperlink>
      <w:r w:rsidRPr="00E31F4F">
        <w:rPr>
          <w:rFonts w:ascii="Arial" w:hAnsi="Arial" w:cs="Arial"/>
          <w:sz w:val="24"/>
          <w:szCs w:val="24"/>
        </w:rPr>
        <w:t xml:space="preserve"> of this Code of Practice. </w:t>
      </w:r>
    </w:p>
    <w:p w:rsidRPr="00E31F4F" w:rsidR="00C93EBB" w:rsidP="00BA2A06" w:rsidRDefault="00C93EBB" w14:paraId="2D0CFCD9" w14:textId="77777777">
      <w:pPr>
        <w:pStyle w:val="Heading2"/>
      </w:pPr>
      <w:bookmarkStart w:name="_Toc83120985" w:id="11"/>
      <w:r w:rsidRPr="00831DD3">
        <w:rPr>
          <w:b w:val="0"/>
          <w:bCs/>
        </w:rPr>
        <w:t>6.3</w:t>
      </w:r>
      <w:r w:rsidRPr="00E31F4F">
        <w:t xml:space="preserve">   Modules Coming Forward Outside of a Course Proposal</w:t>
      </w:r>
      <w:bookmarkEnd w:id="11"/>
    </w:p>
    <w:p w:rsidRPr="00E31F4F" w:rsidR="00C93EBB" w:rsidP="00E31F4F" w:rsidRDefault="00C93EBB" w14:paraId="664CE8DF" w14:textId="77777777">
      <w:pPr>
        <w:ind w:left="567" w:right="95" w:firstLine="0"/>
        <w:rPr>
          <w:szCs w:val="24"/>
        </w:rPr>
      </w:pPr>
      <w:r w:rsidRPr="00E31F4F">
        <w:rPr>
          <w:szCs w:val="24"/>
        </w:rPr>
        <w:t>The formal procedure for the approval of new modules which do not come forward as part of a proposal for a new or substantially revised course of study is as follows:</w:t>
      </w:r>
    </w:p>
    <w:p w:rsidRPr="006531EB" w:rsidR="00C93EBB" w:rsidP="006531EB" w:rsidRDefault="00C93EBB" w14:paraId="2F8E9D43" w14:textId="55B91967">
      <w:pPr>
        <w:pStyle w:val="Heading2"/>
        <w:numPr>
          <w:ilvl w:val="0"/>
          <w:numId w:val="11"/>
        </w:numPr>
        <w:ind w:left="567" w:hanging="567"/>
      </w:pPr>
      <w:bookmarkStart w:name="_Toc83120986" w:id="12"/>
      <w:r w:rsidRPr="006531EB">
        <w:t>Where intended primarily for use as part of an undergraduate course:</w:t>
      </w:r>
      <w:r w:rsidRPr="00E31F4F">
        <w:rPr>
          <w:rStyle w:val="FootnoteReference"/>
          <w:rFonts w:cs="Arial"/>
          <w:i/>
          <w:szCs w:val="24"/>
        </w:rPr>
        <w:footnoteReference w:id="2"/>
      </w:r>
      <w:bookmarkEnd w:id="12"/>
    </w:p>
    <w:p w:rsidRPr="00E31F4F" w:rsidR="00C93EBB" w:rsidP="00E31F4F" w:rsidRDefault="00C93EBB" w14:paraId="19A0AC19" w14:textId="77777777">
      <w:pPr>
        <w:pStyle w:val="ListParagraph"/>
        <w:numPr>
          <w:ilvl w:val="0"/>
          <w:numId w:val="2"/>
        </w:numPr>
        <w:spacing w:after="120"/>
        <w:ind w:left="851" w:right="95" w:hanging="851"/>
        <w:contextualSpacing w:val="0"/>
        <w:rPr>
          <w:rFonts w:ascii="Arial" w:hAnsi="Arial" w:cs="Arial"/>
          <w:sz w:val="24"/>
          <w:szCs w:val="24"/>
        </w:rPr>
      </w:pPr>
      <w:r w:rsidRPr="00E31F4F">
        <w:rPr>
          <w:rFonts w:ascii="Arial" w:hAnsi="Arial" w:cs="Arial"/>
          <w:sz w:val="24"/>
          <w:szCs w:val="24"/>
        </w:rPr>
        <w:t>Preparation of proposal.</w:t>
      </w:r>
    </w:p>
    <w:p w:rsidRPr="00E31F4F" w:rsidR="00C93EBB" w:rsidP="00E31F4F" w:rsidRDefault="00C93EBB" w14:paraId="43F6E844" w14:textId="77777777">
      <w:pPr>
        <w:pStyle w:val="ListParagraph"/>
        <w:numPr>
          <w:ilvl w:val="0"/>
          <w:numId w:val="2"/>
        </w:numPr>
        <w:spacing w:after="120"/>
        <w:ind w:left="851" w:right="95" w:hanging="851"/>
        <w:contextualSpacing w:val="0"/>
        <w:rPr>
          <w:rFonts w:ascii="Arial" w:hAnsi="Arial" w:cs="Arial"/>
          <w:sz w:val="24"/>
          <w:szCs w:val="24"/>
        </w:rPr>
      </w:pPr>
      <w:r w:rsidRPr="00E31F4F">
        <w:rPr>
          <w:rFonts w:ascii="Arial" w:hAnsi="Arial" w:cs="Arial"/>
          <w:sz w:val="24"/>
          <w:szCs w:val="24"/>
        </w:rPr>
        <w:t>Consideration of proposal by the Board of Studies and recommendation to the Divisional Education and Student Experience Committee (DESEC).</w:t>
      </w:r>
    </w:p>
    <w:p w:rsidRPr="00E31F4F" w:rsidR="00C93EBB" w:rsidP="00E31F4F" w:rsidRDefault="00C93EBB" w14:paraId="7239407B" w14:textId="77777777">
      <w:pPr>
        <w:pStyle w:val="ListParagraph"/>
        <w:numPr>
          <w:ilvl w:val="0"/>
          <w:numId w:val="2"/>
        </w:numPr>
        <w:spacing w:after="120"/>
        <w:ind w:left="851" w:right="95" w:hanging="851"/>
        <w:contextualSpacing w:val="0"/>
        <w:rPr>
          <w:rFonts w:ascii="Arial" w:hAnsi="Arial" w:cs="Arial"/>
          <w:sz w:val="24"/>
          <w:szCs w:val="24"/>
        </w:rPr>
      </w:pPr>
      <w:r w:rsidRPr="00E31F4F">
        <w:rPr>
          <w:rFonts w:ascii="Arial" w:hAnsi="Arial" w:cs="Arial"/>
          <w:sz w:val="24"/>
          <w:szCs w:val="24"/>
        </w:rPr>
        <w:t xml:space="preserve">Consideration of proposal and decision by the DESEC. The DESEC may approve the proposed module, approve the module subject to required revisions or reject the proposed module. </w:t>
      </w:r>
    </w:p>
    <w:p w:rsidRPr="00E31F4F" w:rsidR="00C93EBB" w:rsidP="00E31F4F" w:rsidRDefault="00C93EBB" w14:paraId="196BAF57" w14:textId="77777777">
      <w:pPr>
        <w:pStyle w:val="ListParagraph"/>
        <w:numPr>
          <w:ilvl w:val="0"/>
          <w:numId w:val="2"/>
        </w:numPr>
        <w:spacing w:after="120"/>
        <w:ind w:left="851" w:right="95" w:hanging="851"/>
        <w:contextualSpacing w:val="0"/>
        <w:rPr>
          <w:rFonts w:ascii="Arial" w:hAnsi="Arial" w:cs="Arial"/>
          <w:sz w:val="24"/>
          <w:szCs w:val="24"/>
        </w:rPr>
      </w:pPr>
      <w:r w:rsidRPr="00E31F4F">
        <w:rPr>
          <w:rFonts w:ascii="Arial" w:hAnsi="Arial" w:cs="Arial"/>
          <w:sz w:val="24"/>
          <w:szCs w:val="24"/>
        </w:rPr>
        <w:t>Consideration of such proposals may be delegated by the DESEC to Chair’s Action or other designated member(s)</w:t>
      </w:r>
      <w:r w:rsidRPr="00E31F4F">
        <w:rPr>
          <w:rStyle w:val="FootnoteReference"/>
          <w:rFonts w:ascii="Arial" w:hAnsi="Arial" w:cs="Arial" w:eastAsiaTheme="majorEastAsia"/>
          <w:sz w:val="24"/>
          <w:szCs w:val="24"/>
        </w:rPr>
        <w:footnoteReference w:id="3"/>
      </w:r>
      <w:r w:rsidRPr="00E31F4F">
        <w:rPr>
          <w:rFonts w:ascii="Arial" w:hAnsi="Arial" w:cs="Arial"/>
          <w:sz w:val="24"/>
          <w:szCs w:val="24"/>
        </w:rPr>
        <w:t xml:space="preserve"> of the Committee. Such </w:t>
      </w:r>
      <w:r w:rsidRPr="00E31F4F" w:rsidR="00F83C51">
        <w:rPr>
          <w:rFonts w:ascii="Arial" w:hAnsi="Arial" w:cs="Arial"/>
          <w:sz w:val="24"/>
          <w:szCs w:val="24"/>
        </w:rPr>
        <w:t>c</w:t>
      </w:r>
      <w:r w:rsidRPr="00E31F4F">
        <w:rPr>
          <w:rFonts w:ascii="Arial" w:hAnsi="Arial" w:cs="Arial"/>
          <w:sz w:val="24"/>
          <w:szCs w:val="24"/>
        </w:rPr>
        <w:t xml:space="preserve">onsideration may take place electronically via the University’s designated software package for doing so. </w:t>
      </w:r>
    </w:p>
    <w:p w:rsidRPr="00E31F4F" w:rsidR="00C93EBB" w:rsidP="006531EB" w:rsidRDefault="00C93EBB" w14:paraId="4B84CF52" w14:textId="353964D5">
      <w:pPr>
        <w:pStyle w:val="Heading2"/>
        <w:numPr>
          <w:ilvl w:val="0"/>
          <w:numId w:val="11"/>
        </w:numPr>
        <w:ind w:left="567" w:hanging="567"/>
      </w:pPr>
      <w:bookmarkStart w:name="_Toc83120987" w:id="13"/>
      <w:r w:rsidRPr="00E31F4F">
        <w:t>Where intended primarily for use as part of a taught postgraduate course:</w:t>
      </w:r>
      <w:r w:rsidRPr="00E31F4F">
        <w:rPr>
          <w:rStyle w:val="FootnoteReference"/>
          <w:rFonts w:cs="Arial"/>
          <w:i/>
          <w:szCs w:val="24"/>
        </w:rPr>
        <w:footnoteReference w:id="4"/>
      </w:r>
      <w:bookmarkEnd w:id="13"/>
      <w:r w:rsidRPr="00E31F4F">
        <w:t xml:space="preserve"> </w:t>
      </w:r>
    </w:p>
    <w:p w:rsidRPr="00E31F4F" w:rsidR="00C93EBB" w:rsidP="00E31F4F" w:rsidRDefault="00C93EBB" w14:paraId="758CC770" w14:textId="77777777">
      <w:pPr>
        <w:pStyle w:val="ListParagraph"/>
        <w:numPr>
          <w:ilvl w:val="0"/>
          <w:numId w:val="2"/>
        </w:numPr>
        <w:spacing w:after="120"/>
        <w:ind w:left="851" w:right="95" w:hanging="851"/>
        <w:contextualSpacing w:val="0"/>
        <w:rPr>
          <w:rFonts w:ascii="Arial" w:hAnsi="Arial" w:cs="Arial"/>
          <w:sz w:val="24"/>
          <w:szCs w:val="24"/>
        </w:rPr>
      </w:pPr>
      <w:r w:rsidRPr="00E31F4F">
        <w:rPr>
          <w:rFonts w:ascii="Arial" w:hAnsi="Arial" w:cs="Arial"/>
          <w:sz w:val="24"/>
          <w:szCs w:val="24"/>
        </w:rPr>
        <w:t>Preparation of proposal.</w:t>
      </w:r>
    </w:p>
    <w:p w:rsidRPr="00E31F4F" w:rsidR="00C93EBB" w:rsidP="00E31F4F" w:rsidRDefault="00C93EBB" w14:paraId="34CBF9F7" w14:textId="77777777">
      <w:pPr>
        <w:pStyle w:val="ListParagraph"/>
        <w:numPr>
          <w:ilvl w:val="0"/>
          <w:numId w:val="2"/>
        </w:numPr>
        <w:spacing w:after="120"/>
        <w:ind w:left="851" w:right="95" w:hanging="851"/>
        <w:contextualSpacing w:val="0"/>
        <w:rPr>
          <w:rFonts w:ascii="Arial" w:hAnsi="Arial" w:cs="Arial"/>
          <w:sz w:val="24"/>
          <w:szCs w:val="24"/>
        </w:rPr>
      </w:pPr>
      <w:r w:rsidRPr="00E31F4F">
        <w:rPr>
          <w:rFonts w:ascii="Arial" w:hAnsi="Arial" w:cs="Arial"/>
          <w:sz w:val="24"/>
          <w:szCs w:val="24"/>
        </w:rPr>
        <w:t>Consideration of proposal by the Board of Studies and recommendation to the Divisional Graduate Studies and Student Experience Committee (DGSSEC).</w:t>
      </w:r>
    </w:p>
    <w:p w:rsidRPr="00E31F4F" w:rsidR="00C93EBB" w:rsidP="00E31F4F" w:rsidRDefault="00C93EBB" w14:paraId="10415053" w14:textId="77777777">
      <w:pPr>
        <w:pStyle w:val="ListParagraph"/>
        <w:numPr>
          <w:ilvl w:val="0"/>
          <w:numId w:val="2"/>
        </w:numPr>
        <w:spacing w:after="120"/>
        <w:ind w:left="851" w:right="95" w:hanging="851"/>
        <w:contextualSpacing w:val="0"/>
        <w:rPr>
          <w:rFonts w:ascii="Arial" w:hAnsi="Arial" w:cs="Arial"/>
          <w:sz w:val="24"/>
          <w:szCs w:val="24"/>
        </w:rPr>
      </w:pPr>
      <w:r w:rsidRPr="00E31F4F">
        <w:rPr>
          <w:rFonts w:ascii="Arial" w:hAnsi="Arial" w:cs="Arial"/>
          <w:sz w:val="24"/>
          <w:szCs w:val="24"/>
        </w:rPr>
        <w:t>Consideration of proposal and decision by the DGSSEC. The DGSSEC may approve the proposed module, approve the module subject to required revisions or reject the proposed module.</w:t>
      </w:r>
    </w:p>
    <w:p w:rsidRPr="00E31F4F" w:rsidR="00C93EBB" w:rsidP="00E31F4F" w:rsidRDefault="00C93EBB" w14:paraId="34B34097" w14:textId="77777777">
      <w:pPr>
        <w:pStyle w:val="ListParagraph"/>
        <w:numPr>
          <w:ilvl w:val="0"/>
          <w:numId w:val="2"/>
        </w:numPr>
        <w:spacing w:after="120"/>
        <w:ind w:left="851" w:right="95" w:hanging="851"/>
        <w:contextualSpacing w:val="0"/>
        <w:rPr>
          <w:rFonts w:ascii="Arial" w:hAnsi="Arial" w:cs="Arial"/>
          <w:sz w:val="24"/>
          <w:szCs w:val="24"/>
        </w:rPr>
      </w:pPr>
      <w:r w:rsidRPr="00E31F4F">
        <w:rPr>
          <w:rFonts w:ascii="Arial" w:hAnsi="Arial" w:cs="Arial"/>
          <w:sz w:val="24"/>
          <w:szCs w:val="24"/>
        </w:rPr>
        <w:t>Consideration of such proposals may be delegated by the DGSSEC to Chair’s Action or other designated member(s) of the Committee. Such consideration may take place electronically via the University’s designated software package for doing so.</w:t>
      </w:r>
    </w:p>
    <w:p w:rsidRPr="00E31F4F" w:rsidR="00C93EBB" w:rsidP="00E31F4F" w:rsidRDefault="00C93EBB" w14:paraId="5BC1C2C9" w14:textId="77777777">
      <w:pPr>
        <w:pStyle w:val="ListParagraph"/>
        <w:numPr>
          <w:ilvl w:val="0"/>
          <w:numId w:val="2"/>
        </w:numPr>
        <w:spacing w:after="120"/>
        <w:ind w:left="851" w:right="95" w:hanging="851"/>
        <w:contextualSpacing w:val="0"/>
        <w:rPr>
          <w:rFonts w:ascii="Arial" w:hAnsi="Arial" w:cs="Arial"/>
          <w:sz w:val="24"/>
          <w:szCs w:val="24"/>
        </w:rPr>
      </w:pPr>
      <w:r w:rsidRPr="006531EB">
        <w:rPr>
          <w:rFonts w:ascii="Arial" w:hAnsi="Arial" w:cs="Arial"/>
          <w:bCs/>
          <w:sz w:val="24"/>
          <w:szCs w:val="24"/>
        </w:rPr>
        <w:t>Note:</w:t>
      </w:r>
      <w:r w:rsidRPr="00E31F4F">
        <w:rPr>
          <w:rFonts w:ascii="Arial" w:hAnsi="Arial" w:cs="Arial"/>
          <w:sz w:val="24"/>
          <w:szCs w:val="24"/>
        </w:rPr>
        <w:t xml:space="preserve"> As a condition of approval, the Divisional Education and UG Student Experience Committee or Graduate Studies and PG Student Experience Committee should be assured that the proposed new curriculum, as far as can be reasonably anticipated, does not present any non-justifiable disadvantage to students with disabilities. </w:t>
      </w:r>
    </w:p>
    <w:p w:rsidRPr="00E31F4F" w:rsidR="00C93EBB" w:rsidP="00E31F4F" w:rsidRDefault="00C93EBB" w14:paraId="335A825F" w14:textId="77777777">
      <w:pPr>
        <w:ind w:right="95"/>
        <w:rPr>
          <w:szCs w:val="24"/>
        </w:rPr>
      </w:pPr>
    </w:p>
    <w:p w:rsidRPr="00E31F4F" w:rsidR="003C7747" w:rsidP="006531EB" w:rsidRDefault="00C93EBB" w14:paraId="324838D3" w14:textId="0D0C854B">
      <w:pPr>
        <w:pStyle w:val="Heading1"/>
        <w:tabs>
          <w:tab w:val="left" w:pos="567"/>
        </w:tabs>
      </w:pPr>
      <w:bookmarkStart w:name="_Toc83120988" w:id="14"/>
      <w:r w:rsidRPr="00E31F4F">
        <w:t>7.</w:t>
      </w:r>
      <w:r w:rsidRPr="00E31F4F">
        <w:tab/>
      </w:r>
      <w:r w:rsidRPr="00E31F4F" w:rsidR="003C7747">
        <w:t xml:space="preserve">Credit Framework </w:t>
      </w:r>
      <w:r w:rsidR="00B571E8">
        <w:t>C</w:t>
      </w:r>
      <w:r w:rsidRPr="00E31F4F" w:rsidR="003C7747">
        <w:t>riteria</w:t>
      </w:r>
      <w:bookmarkEnd w:id="14"/>
    </w:p>
    <w:p w:rsidRPr="00E31F4F" w:rsidR="00C93EBB" w:rsidP="006531EB" w:rsidRDefault="00C93EBB" w14:paraId="17B8C6FA" w14:textId="77777777">
      <w:pPr>
        <w:pStyle w:val="ListParagraph"/>
        <w:spacing w:after="120"/>
        <w:ind w:left="567" w:right="95"/>
        <w:contextualSpacing w:val="0"/>
        <w:rPr>
          <w:rFonts w:ascii="Arial" w:hAnsi="Arial" w:cs="Arial"/>
          <w:sz w:val="24"/>
          <w:szCs w:val="24"/>
        </w:rPr>
      </w:pPr>
      <w:r w:rsidRPr="00E31F4F">
        <w:rPr>
          <w:rFonts w:ascii="Arial" w:hAnsi="Arial" w:cs="Arial"/>
          <w:sz w:val="24"/>
          <w:szCs w:val="24"/>
        </w:rPr>
        <w:t xml:space="preserve">All modules must conform to the criteria as set out in the Kent Credit Framework sections 3.2-3.3. Approval of a module by the relevant DESEC or DGSSEC will confirm that the Committee is satisfied that the module is set at the appropriate level, that the module contains a variety of assessment methods which allow achievement of the Module Learning Outcomes at the threshold standard for a pass and, other than where the module as a whole is graded on a pass/fail basis, also afford students the opportunity to achieve standards beyond the threshold level.  </w:t>
      </w:r>
    </w:p>
    <w:p w:rsidRPr="00E31F4F" w:rsidR="00C93EBB" w:rsidP="00E31F4F" w:rsidRDefault="00C93EBB" w14:paraId="26B633DF" w14:textId="77777777">
      <w:pPr>
        <w:pStyle w:val="ListParagraph"/>
        <w:spacing w:after="120"/>
        <w:ind w:left="567" w:right="95"/>
        <w:contextualSpacing w:val="0"/>
        <w:rPr>
          <w:rFonts w:ascii="Arial" w:hAnsi="Arial" w:cs="Arial"/>
          <w:sz w:val="24"/>
          <w:szCs w:val="24"/>
        </w:rPr>
      </w:pPr>
    </w:p>
    <w:p w:rsidRPr="00E31F4F" w:rsidR="003C7747" w:rsidP="006531EB" w:rsidRDefault="00C93EBB" w14:paraId="36F0BDB1" w14:textId="77777777">
      <w:pPr>
        <w:pStyle w:val="Heading1"/>
        <w:tabs>
          <w:tab w:val="left" w:pos="567"/>
        </w:tabs>
      </w:pPr>
      <w:bookmarkStart w:name="_Toc83120989" w:id="15"/>
      <w:r w:rsidRPr="00E31F4F">
        <w:t>8.</w:t>
      </w:r>
      <w:r w:rsidRPr="00E31F4F">
        <w:tab/>
      </w:r>
      <w:r w:rsidRPr="00E31F4F" w:rsidR="003C7747">
        <w:t>Impact on Learning Outcomes</w:t>
      </w:r>
      <w:bookmarkEnd w:id="15"/>
    </w:p>
    <w:p w:rsidRPr="00E31F4F" w:rsidR="00C93EBB" w:rsidP="006531EB" w:rsidRDefault="00C93EBB" w14:paraId="4CA9F44F" w14:textId="77777777">
      <w:pPr>
        <w:pStyle w:val="ListParagraph"/>
        <w:spacing w:after="120"/>
        <w:ind w:left="567" w:right="95"/>
        <w:contextualSpacing w:val="0"/>
        <w:rPr>
          <w:rFonts w:ascii="Arial" w:hAnsi="Arial" w:cs="Arial"/>
          <w:sz w:val="24"/>
          <w:szCs w:val="24"/>
        </w:rPr>
      </w:pPr>
      <w:r w:rsidRPr="00E31F4F">
        <w:rPr>
          <w:rFonts w:ascii="Arial" w:hAnsi="Arial" w:cs="Arial"/>
          <w:sz w:val="24"/>
          <w:szCs w:val="24"/>
        </w:rPr>
        <w:t xml:space="preserve">The module-owning Division must state how the introduction of a new module will impact on the learning outcomes of all existing courses of study in which the module is compulsory and for which the module-owning Division is responsible. Where the introduction of a new module will impact on the Course Learning Outcomes, a revised course specification and module mapping must be submitted for re-approval as per Annex C. </w:t>
      </w:r>
    </w:p>
    <w:p w:rsidRPr="00E31F4F" w:rsidR="00C93EBB" w:rsidP="00E31F4F" w:rsidRDefault="00C93EBB" w14:paraId="2F0E5FB4" w14:textId="77777777">
      <w:pPr>
        <w:pStyle w:val="ListParagraph"/>
        <w:spacing w:after="120"/>
        <w:ind w:right="95"/>
        <w:contextualSpacing w:val="0"/>
        <w:rPr>
          <w:rFonts w:ascii="Arial" w:hAnsi="Arial" w:cs="Arial"/>
          <w:sz w:val="24"/>
          <w:szCs w:val="24"/>
        </w:rPr>
      </w:pPr>
    </w:p>
    <w:p w:rsidRPr="004861A6" w:rsidR="00D83AF0" w:rsidP="004861A6" w:rsidRDefault="00C93EBB" w14:paraId="557A5089" w14:textId="77777777">
      <w:pPr>
        <w:pStyle w:val="Heading1"/>
        <w:tabs>
          <w:tab w:val="left" w:pos="567"/>
        </w:tabs>
        <w:rPr>
          <w:b w:val="0"/>
          <w:bCs/>
        </w:rPr>
      </w:pPr>
      <w:bookmarkStart w:name="_Toc83120990" w:id="16"/>
      <w:r w:rsidRPr="004861A6">
        <w:t>9.</w:t>
      </w:r>
      <w:r w:rsidRPr="004861A6">
        <w:rPr>
          <w:b w:val="0"/>
          <w:bCs/>
        </w:rPr>
        <w:tab/>
      </w:r>
      <w:r w:rsidRPr="004861A6" w:rsidR="003C7747">
        <w:rPr>
          <w:rStyle w:val="Heading2Char"/>
          <w:rFonts w:cs="Arial"/>
          <w:b/>
          <w:bCs/>
          <w:szCs w:val="24"/>
        </w:rPr>
        <w:t>Pre-requisites</w:t>
      </w:r>
      <w:bookmarkEnd w:id="16"/>
      <w:r w:rsidRPr="004861A6" w:rsidR="003C7747">
        <w:rPr>
          <w:b w:val="0"/>
          <w:bCs/>
        </w:rPr>
        <w:t xml:space="preserve"> </w:t>
      </w:r>
    </w:p>
    <w:p w:rsidRPr="00E31F4F" w:rsidR="00C93EBB" w:rsidP="004861A6" w:rsidRDefault="00C93EBB" w14:paraId="507070EF" w14:textId="02E725D1">
      <w:pPr>
        <w:ind w:left="567" w:right="95" w:firstLine="0"/>
        <w:rPr>
          <w:szCs w:val="24"/>
        </w:rPr>
      </w:pPr>
      <w:r w:rsidRPr="00E31F4F">
        <w:rPr>
          <w:szCs w:val="24"/>
        </w:rPr>
        <w:t>The module specification must list all possible pre-requisites</w:t>
      </w:r>
      <w:r w:rsidR="0011713B">
        <w:rPr>
          <w:rStyle w:val="FootnoteReference"/>
          <w:szCs w:val="24"/>
        </w:rPr>
        <w:footnoteReference w:id="5"/>
      </w:r>
      <w:r w:rsidRPr="00E31F4F">
        <w:rPr>
          <w:szCs w:val="24"/>
        </w:rPr>
        <w:t xml:space="preserve"> relating to that module, including where the module is attached to two or more different courses of study. </w:t>
      </w:r>
    </w:p>
    <w:p w:rsidRPr="00E31F4F" w:rsidR="00C93EBB" w:rsidP="00E31F4F" w:rsidRDefault="00C93EBB" w14:paraId="04A96083" w14:textId="77777777">
      <w:pPr>
        <w:pStyle w:val="ListParagraph"/>
        <w:spacing w:after="120"/>
        <w:ind w:right="95"/>
        <w:contextualSpacing w:val="0"/>
        <w:rPr>
          <w:rFonts w:ascii="Arial" w:hAnsi="Arial" w:cs="Arial" w:eastAsiaTheme="minorHAnsi"/>
          <w:sz w:val="24"/>
          <w:szCs w:val="24"/>
        </w:rPr>
      </w:pPr>
    </w:p>
    <w:p w:rsidRPr="004861A6" w:rsidR="00D83AF0" w:rsidP="004861A6" w:rsidRDefault="00C93EBB" w14:paraId="70E83357" w14:textId="77777777">
      <w:pPr>
        <w:pStyle w:val="Heading1"/>
        <w:tabs>
          <w:tab w:val="left" w:pos="567"/>
        </w:tabs>
        <w:rPr>
          <w:rFonts w:eastAsiaTheme="minorHAnsi"/>
          <w:b w:val="0"/>
          <w:bCs/>
        </w:rPr>
      </w:pPr>
      <w:bookmarkStart w:name="_Toc83120991" w:id="17"/>
      <w:r w:rsidRPr="004861A6">
        <w:rPr>
          <w:rFonts w:eastAsiaTheme="minorHAnsi"/>
        </w:rPr>
        <w:t>10.</w:t>
      </w:r>
      <w:r w:rsidRPr="004861A6">
        <w:rPr>
          <w:rFonts w:eastAsiaTheme="minorHAnsi"/>
          <w:b w:val="0"/>
          <w:bCs/>
        </w:rPr>
        <w:tab/>
      </w:r>
      <w:r w:rsidRPr="004861A6" w:rsidR="00D83AF0">
        <w:rPr>
          <w:rStyle w:val="Heading2Char"/>
          <w:rFonts w:cs="Arial"/>
          <w:b/>
          <w:bCs/>
          <w:szCs w:val="24"/>
        </w:rPr>
        <w:t>Re-assessment Methods</w:t>
      </w:r>
      <w:bookmarkEnd w:id="17"/>
      <w:r w:rsidRPr="004861A6" w:rsidR="00D83AF0">
        <w:rPr>
          <w:rFonts w:eastAsiaTheme="minorHAnsi"/>
          <w:b w:val="0"/>
          <w:bCs/>
        </w:rPr>
        <w:t xml:space="preserve"> </w:t>
      </w:r>
    </w:p>
    <w:p w:rsidRPr="00E31F4F" w:rsidR="00C93EBB" w:rsidP="004861A6" w:rsidRDefault="00C93EBB" w14:paraId="170681D3" w14:textId="6EE2FC76">
      <w:pPr>
        <w:pStyle w:val="ListParagraph"/>
        <w:spacing w:after="120"/>
        <w:ind w:left="567" w:right="95"/>
        <w:contextualSpacing w:val="0"/>
        <w:rPr>
          <w:rFonts w:ascii="Arial" w:hAnsi="Arial" w:cs="Arial"/>
          <w:sz w:val="24"/>
          <w:szCs w:val="24"/>
        </w:rPr>
      </w:pPr>
      <w:r w:rsidRPr="00E31F4F">
        <w:rPr>
          <w:rFonts w:ascii="Arial" w:hAnsi="Arial" w:cs="Arial" w:eastAsiaTheme="minorHAnsi"/>
          <w:sz w:val="24"/>
          <w:szCs w:val="24"/>
        </w:rPr>
        <w:t>The module specification must specify which reassessment method will apply, either (a) via the like-for-like reassessment of failed individual component(s) of assessment; or (b) by reassessment instrument (</w:t>
      </w:r>
      <w:r w:rsidRPr="00E31F4F" w:rsidR="004861A6">
        <w:rPr>
          <w:rFonts w:ascii="Arial" w:hAnsi="Arial" w:cs="Arial" w:eastAsiaTheme="minorHAnsi"/>
          <w:sz w:val="24"/>
          <w:szCs w:val="24"/>
        </w:rPr>
        <w:t>i.e.,</w:t>
      </w:r>
      <w:r w:rsidRPr="00E31F4F">
        <w:rPr>
          <w:rFonts w:ascii="Arial" w:hAnsi="Arial" w:cs="Arial" w:eastAsiaTheme="minorHAnsi"/>
          <w:sz w:val="24"/>
          <w:szCs w:val="24"/>
        </w:rPr>
        <w:t xml:space="preserve"> retrieval by 100% exam, </w:t>
      </w:r>
      <w:proofErr w:type="gramStart"/>
      <w:r w:rsidRPr="00E31F4F">
        <w:rPr>
          <w:rFonts w:ascii="Arial" w:hAnsi="Arial" w:cs="Arial" w:eastAsiaTheme="minorHAnsi"/>
          <w:sz w:val="24"/>
          <w:szCs w:val="24"/>
        </w:rPr>
        <w:t>coursework</w:t>
      </w:r>
      <w:proofErr w:type="gramEnd"/>
      <w:r w:rsidRPr="00E31F4F">
        <w:rPr>
          <w:rFonts w:ascii="Arial" w:hAnsi="Arial" w:cs="Arial" w:eastAsiaTheme="minorHAnsi"/>
          <w:sz w:val="24"/>
          <w:szCs w:val="24"/>
        </w:rPr>
        <w:t xml:space="preserve"> or project). Variation of the method of reassessment stated in the approved module specification will only be considered for students with ILPs or in response to an extraordinary circumstance for an individual student. Such variations will require the prior written agreement of the relevant </w:t>
      </w:r>
      <w:r w:rsidRPr="00E31F4F">
        <w:rPr>
          <w:rFonts w:ascii="Arial" w:hAnsi="Arial" w:cs="Arial"/>
          <w:sz w:val="24"/>
          <w:szCs w:val="24"/>
        </w:rPr>
        <w:t>Divisional Director of Education and UG Student Experience (DDESE) or Divisional Director of Graduate Studies and PG Student Experience (DGSSE)</w:t>
      </w:r>
      <w:r w:rsidRPr="00E31F4F">
        <w:rPr>
          <w:rFonts w:ascii="Arial" w:hAnsi="Arial" w:cs="Arial" w:eastAsiaTheme="minorHAnsi"/>
          <w:sz w:val="24"/>
          <w:szCs w:val="24"/>
        </w:rPr>
        <w:t>.</w:t>
      </w:r>
    </w:p>
    <w:p w:rsidRPr="00E31F4F" w:rsidR="00C93EBB" w:rsidP="00E31F4F" w:rsidRDefault="00C93EBB" w14:paraId="6FAF40CF" w14:textId="77777777">
      <w:pPr>
        <w:pStyle w:val="ListParagraph"/>
        <w:spacing w:after="120"/>
        <w:ind w:right="95"/>
        <w:contextualSpacing w:val="0"/>
        <w:rPr>
          <w:rFonts w:ascii="Arial" w:hAnsi="Arial" w:cs="Arial"/>
          <w:sz w:val="24"/>
          <w:szCs w:val="24"/>
        </w:rPr>
      </w:pPr>
    </w:p>
    <w:p w:rsidRPr="00E31F4F" w:rsidR="00D83AF0" w:rsidP="008E2125" w:rsidRDefault="00C93EBB" w14:paraId="31563824" w14:textId="37ED8E7A">
      <w:pPr>
        <w:pStyle w:val="Heading1"/>
        <w:tabs>
          <w:tab w:val="left" w:pos="567"/>
        </w:tabs>
      </w:pPr>
      <w:bookmarkStart w:name="_Toc83120992" w:id="18"/>
      <w:r w:rsidRPr="00E31F4F">
        <w:t>11.</w:t>
      </w:r>
      <w:r w:rsidRPr="00E31F4F">
        <w:tab/>
      </w:r>
      <w:r w:rsidRPr="00E31F4F" w:rsidR="00D83AF0">
        <w:t xml:space="preserve">Pass-compulsory </w:t>
      </w:r>
      <w:r w:rsidR="00B571E8">
        <w:t>C</w:t>
      </w:r>
      <w:r w:rsidRPr="00E31F4F" w:rsidR="00D83AF0">
        <w:t>omponents</w:t>
      </w:r>
      <w:bookmarkEnd w:id="18"/>
    </w:p>
    <w:p w:rsidRPr="00E31F4F" w:rsidR="00C93EBB" w:rsidP="008E2125" w:rsidRDefault="00C93EBB" w14:paraId="53B48921" w14:textId="77777777">
      <w:pPr>
        <w:pStyle w:val="ListParagraph"/>
        <w:spacing w:after="120"/>
        <w:ind w:left="567" w:right="95"/>
        <w:contextualSpacing w:val="0"/>
        <w:rPr>
          <w:rFonts w:ascii="Arial" w:hAnsi="Arial" w:cs="Arial"/>
          <w:sz w:val="24"/>
          <w:szCs w:val="24"/>
        </w:rPr>
      </w:pPr>
      <w:r w:rsidRPr="00E31F4F">
        <w:rPr>
          <w:rFonts w:ascii="Arial" w:hAnsi="Arial" w:cs="Arial"/>
          <w:sz w:val="24"/>
          <w:szCs w:val="24"/>
        </w:rPr>
        <w:t xml:space="preserve">Modules must state explicitly where an assessment component is pass-compulsory. </w:t>
      </w:r>
    </w:p>
    <w:p w:rsidRPr="00E31F4F" w:rsidR="00C93EBB" w:rsidP="00E31F4F" w:rsidRDefault="00C93EBB" w14:paraId="4FFD9ED7" w14:textId="77777777">
      <w:pPr>
        <w:pStyle w:val="ListParagraph"/>
        <w:spacing w:after="120"/>
        <w:ind w:right="95"/>
        <w:contextualSpacing w:val="0"/>
        <w:rPr>
          <w:rFonts w:ascii="Arial" w:hAnsi="Arial" w:cs="Arial"/>
          <w:sz w:val="24"/>
          <w:szCs w:val="24"/>
        </w:rPr>
      </w:pPr>
    </w:p>
    <w:p w:rsidRPr="00E31F4F" w:rsidR="00C93EBB" w:rsidP="008E2125" w:rsidRDefault="00C93EBB" w14:paraId="4FC36E81" w14:textId="77777777">
      <w:pPr>
        <w:pStyle w:val="Heading1"/>
        <w:tabs>
          <w:tab w:val="left" w:pos="567"/>
        </w:tabs>
      </w:pPr>
      <w:bookmarkStart w:name="_Toc83120993" w:id="19"/>
      <w:r w:rsidRPr="00E31F4F">
        <w:t>12.   High Risk of Non-delivery</w:t>
      </w:r>
      <w:bookmarkEnd w:id="19"/>
      <w:r w:rsidRPr="00E31F4F">
        <w:t xml:space="preserve"> </w:t>
      </w:r>
    </w:p>
    <w:p w:rsidRPr="00E31F4F" w:rsidR="00C93EBB" w:rsidP="00E31F4F" w:rsidRDefault="00C93EBB" w14:paraId="177320E2" w14:textId="77777777">
      <w:pPr>
        <w:pStyle w:val="ListParagraph"/>
        <w:numPr>
          <w:ilvl w:val="0"/>
          <w:numId w:val="3"/>
        </w:numPr>
        <w:spacing w:after="120"/>
        <w:ind w:left="567" w:right="95" w:hanging="567"/>
        <w:contextualSpacing w:val="0"/>
        <w:rPr>
          <w:rFonts w:ascii="Arial" w:hAnsi="Arial" w:cs="Arial"/>
          <w:sz w:val="24"/>
          <w:szCs w:val="24"/>
        </w:rPr>
      </w:pPr>
      <w:r w:rsidRPr="00E31F4F">
        <w:rPr>
          <w:rFonts w:ascii="Arial" w:hAnsi="Arial" w:cs="Arial"/>
          <w:sz w:val="24"/>
          <w:szCs w:val="24"/>
        </w:rPr>
        <w:t xml:space="preserve">Module specifications must be designed in such a way that a high risk of non-delivery is not created (such a risk might include both a single member of teaching staff and/or a resourcing concern). A high risk of non-delivery creates risk for both student satisfaction and for compliance. </w:t>
      </w:r>
    </w:p>
    <w:p w:rsidRPr="00E31F4F" w:rsidR="00C93EBB" w:rsidP="00E31F4F" w:rsidRDefault="00C93EBB" w14:paraId="36C145A9" w14:textId="77777777">
      <w:pPr>
        <w:pStyle w:val="ListParagraph"/>
        <w:numPr>
          <w:ilvl w:val="0"/>
          <w:numId w:val="3"/>
        </w:numPr>
        <w:spacing w:after="120"/>
        <w:ind w:left="567" w:right="95" w:hanging="567"/>
        <w:contextualSpacing w:val="0"/>
        <w:rPr>
          <w:rFonts w:ascii="Arial" w:hAnsi="Arial" w:cs="Arial"/>
          <w:sz w:val="24"/>
          <w:szCs w:val="24"/>
        </w:rPr>
      </w:pPr>
      <w:r w:rsidRPr="00E31F4F">
        <w:rPr>
          <w:rFonts w:ascii="Arial" w:hAnsi="Arial" w:cs="Arial"/>
          <w:sz w:val="24"/>
          <w:szCs w:val="24"/>
        </w:rPr>
        <w:t xml:space="preserve">When a new or revised module is submitted for </w:t>
      </w:r>
      <w:proofErr w:type="gramStart"/>
      <w:r w:rsidRPr="00E31F4F">
        <w:rPr>
          <w:rFonts w:ascii="Arial" w:hAnsi="Arial" w:cs="Arial"/>
          <w:sz w:val="24"/>
          <w:szCs w:val="24"/>
        </w:rPr>
        <w:t>approval</w:t>
      </w:r>
      <w:proofErr w:type="gramEnd"/>
      <w:r w:rsidRPr="00E31F4F">
        <w:rPr>
          <w:rFonts w:ascii="Arial" w:hAnsi="Arial" w:cs="Arial"/>
          <w:sz w:val="24"/>
          <w:szCs w:val="24"/>
        </w:rPr>
        <w:t xml:space="preserve"> it should include a confirmation that more than one person is available to teach it and/or that the Division plan includes consideration of cover and succession planning. </w:t>
      </w:r>
    </w:p>
    <w:p w:rsidRPr="00E31F4F" w:rsidR="00C93EBB" w:rsidP="00E31F4F" w:rsidRDefault="00C93EBB" w14:paraId="2F9A29C8" w14:textId="77777777">
      <w:pPr>
        <w:pStyle w:val="ListParagraph"/>
        <w:numPr>
          <w:ilvl w:val="0"/>
          <w:numId w:val="3"/>
        </w:numPr>
        <w:spacing w:after="120"/>
        <w:ind w:left="567" w:right="95" w:hanging="567"/>
        <w:contextualSpacing w:val="0"/>
        <w:rPr>
          <w:rFonts w:ascii="Arial" w:hAnsi="Arial" w:cs="Arial"/>
          <w:sz w:val="24"/>
          <w:szCs w:val="24"/>
        </w:rPr>
      </w:pPr>
      <w:r w:rsidRPr="00E31F4F">
        <w:rPr>
          <w:rFonts w:ascii="Arial" w:hAnsi="Arial" w:cs="Arial"/>
          <w:sz w:val="24"/>
          <w:szCs w:val="24"/>
        </w:rPr>
        <w:t xml:space="preserve">Divisional approval of modules should include consideration of the title and curriculum description </w:t>
      </w:r>
      <w:proofErr w:type="gramStart"/>
      <w:r w:rsidRPr="00E31F4F">
        <w:rPr>
          <w:rFonts w:ascii="Arial" w:hAnsi="Arial" w:cs="Arial"/>
          <w:sz w:val="24"/>
          <w:szCs w:val="24"/>
        </w:rPr>
        <w:t>in order to</w:t>
      </w:r>
      <w:proofErr w:type="gramEnd"/>
      <w:r w:rsidRPr="00E31F4F">
        <w:rPr>
          <w:rFonts w:ascii="Arial" w:hAnsi="Arial" w:cs="Arial"/>
          <w:sz w:val="24"/>
          <w:szCs w:val="24"/>
        </w:rPr>
        <w:t xml:space="preserve"> confirm these are not overly constraining.  </w:t>
      </w:r>
    </w:p>
    <w:p w:rsidRPr="00E31F4F" w:rsidR="00C93EBB" w:rsidP="00E31F4F" w:rsidRDefault="00C93EBB" w14:paraId="484198C6" w14:textId="77777777">
      <w:pPr>
        <w:pStyle w:val="ListParagraph"/>
        <w:numPr>
          <w:ilvl w:val="0"/>
          <w:numId w:val="3"/>
        </w:numPr>
        <w:spacing w:after="120"/>
        <w:ind w:left="567" w:right="95" w:hanging="567"/>
        <w:contextualSpacing w:val="0"/>
        <w:rPr>
          <w:rFonts w:ascii="Arial" w:hAnsi="Arial" w:cs="Arial"/>
          <w:sz w:val="24"/>
          <w:szCs w:val="24"/>
        </w:rPr>
      </w:pPr>
      <w:r w:rsidRPr="00E31F4F">
        <w:rPr>
          <w:rFonts w:ascii="Arial" w:hAnsi="Arial" w:cs="Arial"/>
          <w:sz w:val="24"/>
          <w:szCs w:val="24"/>
        </w:rPr>
        <w:t xml:space="preserve">Consideration should be given as to whether any specialist modules might be delivered intensively across a few weeks rather than a full term, </w:t>
      </w:r>
      <w:proofErr w:type="gramStart"/>
      <w:r w:rsidRPr="00E31F4F">
        <w:rPr>
          <w:rFonts w:ascii="Arial" w:hAnsi="Arial" w:cs="Arial"/>
          <w:sz w:val="24"/>
          <w:szCs w:val="24"/>
        </w:rPr>
        <w:t>so as to</w:t>
      </w:r>
      <w:proofErr w:type="gramEnd"/>
      <w:r w:rsidRPr="00E31F4F">
        <w:rPr>
          <w:rFonts w:ascii="Arial" w:hAnsi="Arial" w:cs="Arial"/>
          <w:sz w:val="24"/>
          <w:szCs w:val="24"/>
        </w:rPr>
        <w:t xml:space="preserve"> minimise the risk of non-delivery.</w:t>
      </w:r>
    </w:p>
    <w:p w:rsidRPr="00E31F4F" w:rsidR="00C93EBB" w:rsidP="00E31F4F" w:rsidRDefault="00C93EBB" w14:paraId="178EC9D6" w14:textId="77777777">
      <w:pPr>
        <w:ind w:right="95"/>
        <w:rPr>
          <w:szCs w:val="24"/>
        </w:rPr>
      </w:pPr>
    </w:p>
    <w:p w:rsidRPr="00E31F4F" w:rsidR="00C93EBB" w:rsidP="00926E5E" w:rsidRDefault="00C93EBB" w14:paraId="5BE1CB6A" w14:textId="77777777">
      <w:pPr>
        <w:pStyle w:val="Heading1"/>
        <w:tabs>
          <w:tab w:val="left" w:pos="567"/>
        </w:tabs>
      </w:pPr>
      <w:bookmarkStart w:name="_Toc83120994" w:id="20"/>
      <w:r w:rsidRPr="00E31F4F">
        <w:t>13.   Changes to Approved Modules</w:t>
      </w:r>
      <w:bookmarkEnd w:id="20"/>
      <w:r w:rsidRPr="00E31F4F">
        <w:t xml:space="preserve"> </w:t>
      </w:r>
    </w:p>
    <w:p w:rsidRPr="00E31F4F" w:rsidR="00C93EBB" w:rsidP="00E31F4F" w:rsidRDefault="00C93EBB" w14:paraId="004595F3" w14:textId="77777777">
      <w:pPr>
        <w:pStyle w:val="ListParagraph"/>
        <w:numPr>
          <w:ilvl w:val="0"/>
          <w:numId w:val="4"/>
        </w:numPr>
        <w:spacing w:after="120"/>
        <w:ind w:left="567" w:right="95" w:hanging="567"/>
        <w:contextualSpacing w:val="0"/>
        <w:rPr>
          <w:rFonts w:ascii="Arial" w:hAnsi="Arial" w:cs="Arial"/>
          <w:sz w:val="24"/>
          <w:szCs w:val="24"/>
        </w:rPr>
      </w:pPr>
      <w:r w:rsidRPr="00E31F4F">
        <w:rPr>
          <w:rFonts w:ascii="Arial" w:hAnsi="Arial" w:cs="Arial"/>
          <w:sz w:val="24"/>
          <w:szCs w:val="24"/>
        </w:rPr>
        <w:t xml:space="preserve">Boards of Studies are authorised to approve minor changes to existing modules. Such changes should not be approved unless a revised module specification has been submitted. </w:t>
      </w:r>
    </w:p>
    <w:p w:rsidRPr="00E31F4F" w:rsidR="00C93EBB" w:rsidP="00E31F4F" w:rsidRDefault="00C93EBB" w14:paraId="087EF1F1" w14:textId="77777777">
      <w:pPr>
        <w:pStyle w:val="ListParagraph"/>
        <w:numPr>
          <w:ilvl w:val="0"/>
          <w:numId w:val="4"/>
        </w:numPr>
        <w:spacing w:after="120"/>
        <w:ind w:left="567" w:right="95" w:hanging="567"/>
        <w:contextualSpacing w:val="0"/>
        <w:rPr>
          <w:rFonts w:ascii="Arial" w:hAnsi="Arial" w:cs="Arial"/>
          <w:sz w:val="24"/>
          <w:szCs w:val="24"/>
        </w:rPr>
      </w:pPr>
      <w:r w:rsidRPr="00E31F4F">
        <w:rPr>
          <w:rFonts w:ascii="Arial" w:hAnsi="Arial" w:cs="Arial"/>
          <w:sz w:val="24"/>
          <w:szCs w:val="24"/>
        </w:rPr>
        <w:t xml:space="preserve">Where major changes to a module are proposed, a revised module specification must be submitted by the Board of Studies for approval by the Divisional Education and Student Experience Committee or the Divisional Graduate Studies and Student Experience Committee, as appropriate. </w:t>
      </w:r>
    </w:p>
    <w:p w:rsidRPr="00E31F4F" w:rsidR="00C93EBB" w:rsidP="00E31F4F" w:rsidRDefault="00C93EBB" w14:paraId="091472B3" w14:textId="77777777">
      <w:pPr>
        <w:pStyle w:val="ListParagraph"/>
        <w:numPr>
          <w:ilvl w:val="0"/>
          <w:numId w:val="4"/>
        </w:numPr>
        <w:spacing w:after="120"/>
        <w:ind w:left="567" w:right="95" w:hanging="567"/>
        <w:contextualSpacing w:val="0"/>
        <w:rPr>
          <w:rFonts w:ascii="Arial" w:hAnsi="Arial" w:cs="Arial"/>
          <w:sz w:val="24"/>
          <w:szCs w:val="24"/>
        </w:rPr>
      </w:pPr>
      <w:r w:rsidRPr="00E31F4F">
        <w:rPr>
          <w:rFonts w:ascii="Arial" w:hAnsi="Arial" w:cs="Arial"/>
          <w:sz w:val="24"/>
          <w:szCs w:val="24"/>
        </w:rPr>
        <w:t>A major change to a module includes:</w:t>
      </w:r>
    </w:p>
    <w:p w:rsidRPr="00E31F4F" w:rsidR="00C93EBB" w:rsidP="00E31F4F" w:rsidRDefault="00C93EBB" w14:paraId="70810489" w14:textId="77777777">
      <w:pPr>
        <w:pStyle w:val="ListParagraph"/>
        <w:numPr>
          <w:ilvl w:val="0"/>
          <w:numId w:val="5"/>
        </w:numPr>
        <w:spacing w:after="120"/>
        <w:ind w:left="992" w:right="95" w:hanging="425"/>
        <w:contextualSpacing w:val="0"/>
        <w:rPr>
          <w:rFonts w:ascii="Arial" w:hAnsi="Arial" w:cs="Arial"/>
          <w:sz w:val="24"/>
          <w:szCs w:val="24"/>
        </w:rPr>
      </w:pPr>
      <w:r w:rsidRPr="00E31F4F">
        <w:rPr>
          <w:rFonts w:ascii="Arial" w:hAnsi="Arial" w:cs="Arial"/>
          <w:sz w:val="24"/>
          <w:szCs w:val="24"/>
        </w:rPr>
        <w:t xml:space="preserve">Any amendment resulting in a change to the intended learning outcomes for the module. </w:t>
      </w:r>
    </w:p>
    <w:p w:rsidRPr="00E31F4F" w:rsidR="00C93EBB" w:rsidP="00E31F4F" w:rsidRDefault="00C93EBB" w14:paraId="2097E7F5" w14:textId="77777777">
      <w:pPr>
        <w:pStyle w:val="ListParagraph"/>
        <w:numPr>
          <w:ilvl w:val="0"/>
          <w:numId w:val="5"/>
        </w:numPr>
        <w:spacing w:after="120"/>
        <w:ind w:left="992" w:right="95" w:hanging="425"/>
        <w:contextualSpacing w:val="0"/>
        <w:rPr>
          <w:rFonts w:ascii="Arial" w:hAnsi="Arial" w:cs="Arial"/>
          <w:sz w:val="24"/>
          <w:szCs w:val="24"/>
        </w:rPr>
      </w:pPr>
      <w:r w:rsidRPr="00E31F4F">
        <w:rPr>
          <w:rFonts w:ascii="Arial" w:hAnsi="Arial" w:cs="Arial"/>
          <w:sz w:val="24"/>
          <w:szCs w:val="24"/>
        </w:rPr>
        <w:t xml:space="preserve">A major change to the learning or teaching methods or to the methods of assessment, </w:t>
      </w:r>
      <w:proofErr w:type="gramStart"/>
      <w:r w:rsidRPr="00E31F4F">
        <w:rPr>
          <w:rFonts w:ascii="Arial" w:hAnsi="Arial" w:cs="Arial"/>
          <w:sz w:val="24"/>
          <w:szCs w:val="24"/>
        </w:rPr>
        <w:t>e.g.</w:t>
      </w:r>
      <w:proofErr w:type="gramEnd"/>
      <w:r w:rsidRPr="00E31F4F">
        <w:rPr>
          <w:rFonts w:ascii="Arial" w:hAnsi="Arial" w:cs="Arial"/>
          <w:sz w:val="24"/>
          <w:szCs w:val="24"/>
        </w:rPr>
        <w:t xml:space="preserve"> a change to the delivery mode from lectures to e-learning.</w:t>
      </w:r>
    </w:p>
    <w:p w:rsidRPr="00E31F4F" w:rsidR="00C93EBB" w:rsidP="00E31F4F" w:rsidRDefault="00C93EBB" w14:paraId="7EAA77CB" w14:textId="77777777">
      <w:pPr>
        <w:pStyle w:val="ListParagraph"/>
        <w:numPr>
          <w:ilvl w:val="0"/>
          <w:numId w:val="5"/>
        </w:numPr>
        <w:spacing w:after="120"/>
        <w:ind w:left="992" w:right="95" w:hanging="425"/>
        <w:contextualSpacing w:val="0"/>
        <w:rPr>
          <w:rFonts w:ascii="Arial" w:hAnsi="Arial" w:cs="Arial"/>
          <w:sz w:val="24"/>
          <w:szCs w:val="24"/>
        </w:rPr>
      </w:pPr>
      <w:r w:rsidRPr="00E31F4F">
        <w:rPr>
          <w:rFonts w:ascii="Arial" w:hAnsi="Arial" w:cs="Arial"/>
          <w:sz w:val="24"/>
          <w:szCs w:val="24"/>
        </w:rPr>
        <w:t xml:space="preserve">A change in the level or volume of credit of a module, as this will necessarily involve a change in learning outcomes and assessment.  </w:t>
      </w:r>
    </w:p>
    <w:p w:rsidRPr="00E31F4F" w:rsidR="00C93EBB" w:rsidP="00E31F4F" w:rsidRDefault="00C93EBB" w14:paraId="6CC2A61F" w14:textId="77777777">
      <w:pPr>
        <w:pStyle w:val="ListParagraph"/>
        <w:numPr>
          <w:ilvl w:val="0"/>
          <w:numId w:val="5"/>
        </w:numPr>
        <w:spacing w:after="120"/>
        <w:ind w:left="992" w:right="95" w:hanging="425"/>
        <w:contextualSpacing w:val="0"/>
        <w:rPr>
          <w:rFonts w:ascii="Arial" w:hAnsi="Arial" w:cs="Arial"/>
          <w:sz w:val="24"/>
          <w:szCs w:val="24"/>
        </w:rPr>
      </w:pPr>
      <w:r w:rsidRPr="00E31F4F">
        <w:rPr>
          <w:rFonts w:ascii="Arial" w:hAnsi="Arial" w:cs="Arial"/>
          <w:sz w:val="24"/>
          <w:szCs w:val="24"/>
        </w:rPr>
        <w:t xml:space="preserve">A combination of minor changes that, when aggregated, can </w:t>
      </w:r>
      <w:proofErr w:type="gramStart"/>
      <w:r w:rsidRPr="00E31F4F">
        <w:rPr>
          <w:rFonts w:ascii="Arial" w:hAnsi="Arial" w:cs="Arial"/>
          <w:sz w:val="24"/>
          <w:szCs w:val="24"/>
        </w:rPr>
        <w:t>be considered to be</w:t>
      </w:r>
      <w:proofErr w:type="gramEnd"/>
      <w:r w:rsidRPr="00E31F4F">
        <w:rPr>
          <w:rFonts w:ascii="Arial" w:hAnsi="Arial" w:cs="Arial"/>
          <w:sz w:val="24"/>
          <w:szCs w:val="24"/>
        </w:rPr>
        <w:t xml:space="preserve"> a major change. </w:t>
      </w:r>
    </w:p>
    <w:p w:rsidRPr="00E31F4F" w:rsidR="00C93EBB" w:rsidP="00E31F4F" w:rsidRDefault="00C93EBB" w14:paraId="026BEB60" w14:textId="66CAD5E0">
      <w:pPr>
        <w:pStyle w:val="ListParagraph"/>
        <w:numPr>
          <w:ilvl w:val="0"/>
          <w:numId w:val="4"/>
        </w:numPr>
        <w:spacing w:after="120"/>
        <w:ind w:left="567" w:right="95" w:hanging="567"/>
        <w:contextualSpacing w:val="0"/>
        <w:rPr>
          <w:rFonts w:ascii="Arial" w:hAnsi="Arial" w:cs="Arial"/>
          <w:sz w:val="24"/>
          <w:szCs w:val="24"/>
        </w:rPr>
      </w:pPr>
      <w:r w:rsidRPr="00E31F4F">
        <w:rPr>
          <w:rFonts w:ascii="Arial" w:hAnsi="Arial" w:cs="Arial"/>
          <w:sz w:val="24"/>
          <w:szCs w:val="24"/>
        </w:rPr>
        <w:t>Where there is doubt as to whether a proposed change to a module constitutes a minor or major change, advice should be sought from the Quality Assurance and Compliance Office (qa</w:t>
      </w:r>
      <w:r w:rsidR="00926E5E">
        <w:rPr>
          <w:rFonts w:ascii="Arial" w:hAnsi="Arial" w:cs="Arial"/>
          <w:sz w:val="24"/>
          <w:szCs w:val="24"/>
        </w:rPr>
        <w:t>co</w:t>
      </w:r>
      <w:r w:rsidRPr="00E31F4F">
        <w:rPr>
          <w:rFonts w:ascii="Arial" w:hAnsi="Arial" w:cs="Arial"/>
          <w:sz w:val="24"/>
          <w:szCs w:val="24"/>
        </w:rPr>
        <w:t xml:space="preserve">@kent.ac.uk). </w:t>
      </w:r>
    </w:p>
    <w:p w:rsidRPr="00E31F4F" w:rsidR="00C93EBB" w:rsidP="00E31F4F" w:rsidRDefault="00C93EBB" w14:paraId="01317BF3" w14:textId="0AE1CFF9">
      <w:pPr>
        <w:pStyle w:val="ListParagraph"/>
        <w:numPr>
          <w:ilvl w:val="0"/>
          <w:numId w:val="4"/>
        </w:numPr>
        <w:spacing w:after="120"/>
        <w:ind w:left="567" w:right="95" w:hanging="567"/>
        <w:contextualSpacing w:val="0"/>
        <w:rPr>
          <w:rFonts w:ascii="Arial" w:hAnsi="Arial" w:cs="Arial"/>
          <w:sz w:val="24"/>
          <w:szCs w:val="24"/>
        </w:rPr>
      </w:pPr>
      <w:r w:rsidRPr="00926E5E">
        <w:rPr>
          <w:rFonts w:ascii="Arial" w:hAnsi="Arial" w:cs="Arial"/>
          <w:bCs/>
          <w:sz w:val="24"/>
          <w:szCs w:val="24"/>
        </w:rPr>
        <w:t>Note:</w:t>
      </w:r>
      <w:r w:rsidRPr="00E31F4F">
        <w:rPr>
          <w:rFonts w:ascii="Arial" w:hAnsi="Arial" w:cs="Arial"/>
          <w:sz w:val="24"/>
          <w:szCs w:val="24"/>
        </w:rPr>
        <w:t xml:space="preserve"> Where a new or revised course specification is to be submitted to the Course Approval Sub-committee (CASC) for approval, new and/or major revisions to module specifications must be approved by the Division first. It is necessary, therefore, to take account of the annual deadline for submissions to CASC when planning new modules or major changes to existing modules. Please refer to </w:t>
      </w:r>
      <w:hyperlink w:history="1" w:anchor="annex-c" r:id="rId13">
        <w:r w:rsidRPr="00C775DE">
          <w:rPr>
            <w:rStyle w:val="Hyperlink"/>
            <w:rFonts w:ascii="Arial" w:hAnsi="Arial" w:cs="Arial"/>
            <w:sz w:val="24"/>
            <w:szCs w:val="24"/>
          </w:rPr>
          <w:t>Annex C Appendix A</w:t>
        </w:r>
      </w:hyperlink>
      <w:r w:rsidRPr="00E31F4F">
        <w:rPr>
          <w:rFonts w:ascii="Arial" w:hAnsi="Arial" w:cs="Arial"/>
          <w:sz w:val="24"/>
          <w:szCs w:val="24"/>
        </w:rPr>
        <w:t xml:space="preserve"> for further guidance.</w:t>
      </w:r>
    </w:p>
    <w:p w:rsidRPr="00E31F4F" w:rsidR="00C93EBB" w:rsidP="00E31F4F" w:rsidRDefault="00C93EBB" w14:paraId="01A79FEB" w14:textId="7DC371AE">
      <w:pPr>
        <w:pStyle w:val="ListParagraph"/>
        <w:numPr>
          <w:ilvl w:val="0"/>
          <w:numId w:val="4"/>
        </w:numPr>
        <w:spacing w:after="120"/>
        <w:ind w:left="567" w:right="95" w:hanging="567"/>
        <w:contextualSpacing w:val="0"/>
        <w:rPr>
          <w:rFonts w:ascii="Arial" w:hAnsi="Arial" w:cs="Arial"/>
          <w:sz w:val="24"/>
          <w:szCs w:val="24"/>
        </w:rPr>
      </w:pPr>
      <w:r w:rsidRPr="00E31F4F">
        <w:rPr>
          <w:rFonts w:ascii="Arial" w:hAnsi="Arial" w:cs="Arial"/>
          <w:sz w:val="24"/>
          <w:szCs w:val="24"/>
        </w:rPr>
        <w:t>Whether a change to a module is regarded as either minor or major, the Division must give proper consideration as to whether the proposed change is compliant with CMA (</w:t>
      </w:r>
      <w:hyperlink w:history="1" r:id="rId14">
        <w:r w:rsidRPr="00C775DE">
          <w:rPr>
            <w:rStyle w:val="Hyperlink"/>
            <w:rFonts w:ascii="Arial" w:hAnsi="Arial" w:cs="Arial"/>
            <w:sz w:val="24"/>
            <w:szCs w:val="24"/>
          </w:rPr>
          <w:t>Competition and Markets Authority</w:t>
        </w:r>
      </w:hyperlink>
      <w:r w:rsidRPr="00E31F4F">
        <w:rPr>
          <w:rFonts w:ascii="Arial" w:hAnsi="Arial" w:cs="Arial"/>
          <w:sz w:val="24"/>
          <w:szCs w:val="24"/>
        </w:rPr>
        <w:t xml:space="preserve">) guidance and in particular whether it represents a change to ‘material information’. Divisions should refer to the </w:t>
      </w:r>
      <w:hyperlink w:history="1" r:id="rId15">
        <w:r w:rsidRPr="00C775DE">
          <w:rPr>
            <w:rStyle w:val="Hyperlink"/>
            <w:rFonts w:ascii="Arial" w:hAnsi="Arial" w:cs="Arial"/>
            <w:sz w:val="24"/>
            <w:szCs w:val="24"/>
          </w:rPr>
          <w:t>CMA information and guidance pages</w:t>
        </w:r>
      </w:hyperlink>
      <w:r w:rsidRPr="00E31F4F">
        <w:rPr>
          <w:rFonts w:ascii="Arial" w:hAnsi="Arial" w:cs="Arial"/>
          <w:sz w:val="24"/>
          <w:szCs w:val="24"/>
        </w:rPr>
        <w:t xml:space="preserve"> for details and should also seek advice from the Quality Assurance and Compliance Office. </w:t>
      </w:r>
    </w:p>
    <w:p w:rsidRPr="00E31F4F" w:rsidR="00C93EBB" w:rsidP="00E31F4F" w:rsidRDefault="00C93EBB" w14:paraId="5A33A8B4" w14:textId="77777777">
      <w:pPr>
        <w:pStyle w:val="ListParagraph"/>
        <w:numPr>
          <w:ilvl w:val="0"/>
          <w:numId w:val="4"/>
        </w:numPr>
        <w:spacing w:after="120"/>
        <w:ind w:left="567" w:right="95" w:hanging="567"/>
        <w:contextualSpacing w:val="0"/>
        <w:rPr>
          <w:rFonts w:ascii="Arial" w:hAnsi="Arial" w:cs="Arial"/>
          <w:sz w:val="24"/>
          <w:szCs w:val="24"/>
        </w:rPr>
      </w:pPr>
      <w:r w:rsidRPr="00E31F4F">
        <w:rPr>
          <w:rFonts w:ascii="Arial" w:hAnsi="Arial" w:cs="Arial"/>
          <w:sz w:val="24"/>
          <w:szCs w:val="24"/>
        </w:rPr>
        <w:t xml:space="preserve">Other interested Schools should be consulted as appropriate </w:t>
      </w:r>
      <w:proofErr w:type="gramStart"/>
      <w:r w:rsidRPr="00E31F4F">
        <w:rPr>
          <w:rFonts w:ascii="Arial" w:hAnsi="Arial" w:cs="Arial"/>
          <w:sz w:val="24"/>
          <w:szCs w:val="24"/>
        </w:rPr>
        <w:t>with regard to</w:t>
      </w:r>
      <w:proofErr w:type="gramEnd"/>
      <w:r w:rsidRPr="00E31F4F">
        <w:rPr>
          <w:rFonts w:ascii="Arial" w:hAnsi="Arial" w:cs="Arial"/>
          <w:sz w:val="24"/>
          <w:szCs w:val="24"/>
        </w:rPr>
        <w:t xml:space="preserve"> changes to modules.</w:t>
      </w:r>
    </w:p>
    <w:p w:rsidRPr="00E31F4F" w:rsidR="00C93EBB" w:rsidP="00E31F4F" w:rsidRDefault="00C93EBB" w14:paraId="0ADBE280" w14:textId="77777777">
      <w:pPr>
        <w:pStyle w:val="ListParagraph"/>
        <w:numPr>
          <w:ilvl w:val="0"/>
          <w:numId w:val="4"/>
        </w:numPr>
        <w:spacing w:after="120"/>
        <w:ind w:left="567" w:right="95" w:hanging="567"/>
        <w:contextualSpacing w:val="0"/>
        <w:rPr>
          <w:rFonts w:ascii="Arial" w:hAnsi="Arial" w:cs="Arial"/>
          <w:sz w:val="24"/>
          <w:szCs w:val="24"/>
        </w:rPr>
      </w:pPr>
      <w:r w:rsidRPr="00E31F4F">
        <w:rPr>
          <w:rFonts w:ascii="Arial" w:hAnsi="Arial" w:cs="Arial"/>
          <w:sz w:val="24"/>
          <w:szCs w:val="24"/>
        </w:rPr>
        <w:t xml:space="preserve">The module-owning Division must state how any change to an existing module (whether a minor or major change) will impact on the learning outcomes of all existing courses of study in which the module is compulsory and for which the module-owning Division is responsible. Where a change to a module will impact on the Course Learning Outcomes, a revised course specification and module mapping must be submitted for re-approval as per Annex C. </w:t>
      </w:r>
    </w:p>
    <w:p w:rsidRPr="00E31F4F" w:rsidR="00C93EBB" w:rsidP="00E31F4F" w:rsidRDefault="00C93EBB" w14:paraId="308D0B90" w14:textId="77777777">
      <w:pPr>
        <w:ind w:right="95"/>
        <w:rPr>
          <w:bCs/>
          <w:szCs w:val="24"/>
        </w:rPr>
      </w:pPr>
    </w:p>
    <w:p w:rsidRPr="00E31F4F" w:rsidR="00C93EBB" w:rsidP="00C775DE" w:rsidRDefault="00C93EBB" w14:paraId="2E015C98" w14:textId="77777777">
      <w:pPr>
        <w:pStyle w:val="Heading1"/>
        <w:tabs>
          <w:tab w:val="left" w:pos="567"/>
        </w:tabs>
      </w:pPr>
      <w:bookmarkStart w:name="_Toc83120995" w:id="21"/>
      <w:r w:rsidRPr="00E31F4F">
        <w:t>14.   Module Withdrawal</w:t>
      </w:r>
      <w:bookmarkEnd w:id="21"/>
    </w:p>
    <w:p w:rsidRPr="00E31F4F" w:rsidR="00C93EBB" w:rsidP="00E31F4F" w:rsidRDefault="00C93EBB" w14:paraId="0549FF6D" w14:textId="3ED2A096">
      <w:pPr>
        <w:pStyle w:val="ListParagraph"/>
        <w:numPr>
          <w:ilvl w:val="0"/>
          <w:numId w:val="6"/>
        </w:numPr>
        <w:spacing w:after="120"/>
        <w:ind w:left="567" w:right="95" w:hanging="567"/>
        <w:contextualSpacing w:val="0"/>
        <w:rPr>
          <w:rFonts w:ascii="Arial" w:hAnsi="Arial" w:cs="Arial"/>
          <w:sz w:val="24"/>
          <w:szCs w:val="24"/>
        </w:rPr>
      </w:pPr>
      <w:r w:rsidRPr="00E31F4F">
        <w:rPr>
          <w:rFonts w:ascii="Arial" w:hAnsi="Arial" w:cs="Arial"/>
          <w:sz w:val="24"/>
          <w:szCs w:val="24"/>
        </w:rPr>
        <w:t xml:space="preserve">Divisions will review annually the portfolio of modules that they offer and will make decisions about the retention and withdrawal of those modules (see </w:t>
      </w:r>
      <w:hyperlink w:history="1" w:anchor="annex-e" r:id="rId16">
        <w:r w:rsidRPr="005F70FA">
          <w:rPr>
            <w:rStyle w:val="Hyperlink"/>
            <w:rFonts w:ascii="Arial" w:hAnsi="Arial" w:cs="Arial"/>
            <w:sz w:val="24"/>
            <w:szCs w:val="24"/>
          </w:rPr>
          <w:t>Annex E</w:t>
        </w:r>
      </w:hyperlink>
      <w:r w:rsidRPr="00E31F4F">
        <w:rPr>
          <w:rFonts w:ascii="Arial" w:hAnsi="Arial" w:cs="Arial"/>
          <w:sz w:val="24"/>
          <w:szCs w:val="24"/>
        </w:rPr>
        <w:t xml:space="preserve"> section 5 of the </w:t>
      </w:r>
      <w:r w:rsidR="005F70FA">
        <w:rPr>
          <w:rFonts w:ascii="Arial" w:hAnsi="Arial" w:cs="Arial"/>
          <w:sz w:val="24"/>
          <w:szCs w:val="24"/>
        </w:rPr>
        <w:t xml:space="preserve">Taught </w:t>
      </w:r>
      <w:r w:rsidRPr="00E31F4F">
        <w:rPr>
          <w:rFonts w:ascii="Arial" w:hAnsi="Arial" w:cs="Arial"/>
          <w:sz w:val="24"/>
          <w:szCs w:val="24"/>
        </w:rPr>
        <w:t xml:space="preserve">Code of Practice). </w:t>
      </w:r>
    </w:p>
    <w:p w:rsidRPr="00E31F4F" w:rsidR="00C93EBB" w:rsidP="00E31F4F" w:rsidRDefault="00C93EBB" w14:paraId="4BBE988D" w14:textId="77777777">
      <w:pPr>
        <w:pStyle w:val="ListParagraph"/>
        <w:numPr>
          <w:ilvl w:val="0"/>
          <w:numId w:val="6"/>
        </w:numPr>
        <w:spacing w:after="120"/>
        <w:ind w:left="567" w:right="95" w:hanging="567"/>
        <w:contextualSpacing w:val="0"/>
        <w:rPr>
          <w:rFonts w:ascii="Arial" w:hAnsi="Arial" w:cs="Arial"/>
          <w:sz w:val="24"/>
          <w:szCs w:val="24"/>
        </w:rPr>
      </w:pPr>
      <w:r w:rsidRPr="00E31F4F">
        <w:rPr>
          <w:rFonts w:ascii="Arial" w:hAnsi="Arial" w:cs="Arial"/>
          <w:sz w:val="24"/>
          <w:szCs w:val="24"/>
        </w:rPr>
        <w:t>Any module that does not register any students for a period of three consecutive academic years will be considered for withdrawal. To facilitate this process, the Quality Assurance and Compliance Office will present each Division in the Autumn Term with a list of modules that have not recorded any student registrations over a three-year period</w:t>
      </w:r>
      <w:r w:rsidRPr="00E31F4F">
        <w:rPr>
          <w:rStyle w:val="FootnoteReference"/>
          <w:rFonts w:ascii="Arial" w:hAnsi="Arial" w:cs="Arial" w:eastAsiaTheme="majorEastAsia"/>
          <w:sz w:val="24"/>
          <w:szCs w:val="24"/>
        </w:rPr>
        <w:footnoteReference w:id="6"/>
      </w:r>
      <w:r w:rsidRPr="00E31F4F">
        <w:rPr>
          <w:rFonts w:ascii="Arial" w:hAnsi="Arial" w:cs="Arial"/>
          <w:sz w:val="24"/>
          <w:szCs w:val="24"/>
        </w:rPr>
        <w:t xml:space="preserve">. Divisions will be required to annotate and return the list by a stated deadline, indicating which if any of the modules should be retained. Any modules not identified by the Division for retention within the deadline set will be withdrawn on the authority of the relevant Divisional Director of Education and UG Student Experience or Divisional Director of Graduate Studies and PG Student Experience. Where a non-recruiting module is marked by a </w:t>
      </w:r>
      <w:proofErr w:type="gramStart"/>
      <w:r w:rsidRPr="00E31F4F">
        <w:rPr>
          <w:rFonts w:ascii="Arial" w:hAnsi="Arial" w:cs="Arial"/>
          <w:sz w:val="24"/>
          <w:szCs w:val="24"/>
        </w:rPr>
        <w:t>Division</w:t>
      </w:r>
      <w:proofErr w:type="gramEnd"/>
      <w:r w:rsidRPr="00E31F4F">
        <w:rPr>
          <w:rFonts w:ascii="Arial" w:hAnsi="Arial" w:cs="Arial"/>
          <w:sz w:val="24"/>
          <w:szCs w:val="24"/>
        </w:rPr>
        <w:t xml:space="preserve"> for retention, a rationale for doing so must be provided. In such cases, the DDESE/DDGSSE will take the rationale into account before reaching a decision. If the DDESE/DDGSSE is satisfied by the rationale, they will sanction the retention of the module for a further academic year. Where the DDESE/DDGSSE is not satisfied, the module will be withdrawn. Where module(s) not owned by a </w:t>
      </w:r>
      <w:proofErr w:type="gramStart"/>
      <w:r w:rsidRPr="00E31F4F">
        <w:rPr>
          <w:rFonts w:ascii="Arial" w:hAnsi="Arial" w:cs="Arial"/>
          <w:sz w:val="24"/>
          <w:szCs w:val="24"/>
        </w:rPr>
        <w:t>Division</w:t>
      </w:r>
      <w:proofErr w:type="gramEnd"/>
      <w:r w:rsidRPr="00E31F4F">
        <w:rPr>
          <w:rFonts w:ascii="Arial" w:hAnsi="Arial" w:cs="Arial"/>
          <w:sz w:val="24"/>
          <w:szCs w:val="24"/>
        </w:rPr>
        <w:t xml:space="preserve"> contribute to course(s)</w:t>
      </w:r>
      <w:r w:rsidRPr="00E31F4F" w:rsidDel="0011518E">
        <w:rPr>
          <w:rFonts w:ascii="Arial" w:hAnsi="Arial" w:cs="Arial"/>
          <w:sz w:val="24"/>
          <w:szCs w:val="24"/>
        </w:rPr>
        <w:t xml:space="preserve"> </w:t>
      </w:r>
      <w:r w:rsidRPr="00E31F4F">
        <w:rPr>
          <w:rFonts w:ascii="Arial" w:hAnsi="Arial" w:cs="Arial"/>
          <w:sz w:val="24"/>
          <w:szCs w:val="24"/>
        </w:rPr>
        <w:t xml:space="preserve">offered by that Division, the Division in question must check the list for such modules and must annotate the list to indicate such modules should be retained. </w:t>
      </w:r>
    </w:p>
    <w:p w:rsidRPr="00E31F4F" w:rsidR="00C93EBB" w:rsidP="00E31F4F" w:rsidRDefault="00C93EBB" w14:paraId="1810FACB" w14:textId="77777777">
      <w:pPr>
        <w:pStyle w:val="ListParagraph"/>
        <w:numPr>
          <w:ilvl w:val="0"/>
          <w:numId w:val="6"/>
        </w:numPr>
        <w:spacing w:after="120"/>
        <w:ind w:left="567" w:right="95" w:hanging="567"/>
        <w:contextualSpacing w:val="0"/>
        <w:rPr>
          <w:rFonts w:ascii="Arial" w:hAnsi="Arial" w:cs="Arial"/>
          <w:sz w:val="24"/>
          <w:szCs w:val="24"/>
        </w:rPr>
      </w:pPr>
      <w:r w:rsidRPr="00E31F4F">
        <w:rPr>
          <w:rFonts w:ascii="Arial" w:hAnsi="Arial" w:cs="Arial"/>
          <w:sz w:val="24"/>
          <w:szCs w:val="24"/>
        </w:rPr>
        <w:t xml:space="preserve">Modules withdrawn through this exercise will be reported as such to the relevant Divisional Education and Student Experience Committee (DESEC) or Divisional Graduate Studies and Student Experience Committee (DGSSEC), as appropriate), which will formally record the withdrawal. The DDESEC/DGSSEC will report these decisions to the Central Student Administration Office (CSAO). </w:t>
      </w:r>
    </w:p>
    <w:p w:rsidRPr="00E31F4F" w:rsidR="00C93EBB" w:rsidP="00E31F4F" w:rsidRDefault="00C93EBB" w14:paraId="5E71F737" w14:textId="77777777">
      <w:pPr>
        <w:pStyle w:val="ListParagraph"/>
        <w:numPr>
          <w:ilvl w:val="0"/>
          <w:numId w:val="6"/>
        </w:numPr>
        <w:spacing w:after="120"/>
        <w:ind w:left="567" w:right="95" w:hanging="567"/>
        <w:contextualSpacing w:val="0"/>
        <w:rPr>
          <w:rFonts w:ascii="Arial" w:hAnsi="Arial" w:cs="Arial"/>
          <w:sz w:val="24"/>
          <w:szCs w:val="24"/>
        </w:rPr>
      </w:pPr>
      <w:r w:rsidRPr="00E31F4F">
        <w:rPr>
          <w:rFonts w:ascii="Arial" w:hAnsi="Arial" w:cs="Arial"/>
          <w:sz w:val="24"/>
          <w:szCs w:val="24"/>
          <w:lang w:eastAsia="en-GB"/>
        </w:rPr>
        <w:t xml:space="preserve">Other than via the annual exercise set out at 14.1 above, where a </w:t>
      </w:r>
      <w:proofErr w:type="gramStart"/>
      <w:r w:rsidRPr="00E31F4F">
        <w:rPr>
          <w:rFonts w:ascii="Arial" w:hAnsi="Arial" w:cs="Arial"/>
          <w:sz w:val="24"/>
          <w:szCs w:val="24"/>
          <w:lang w:eastAsia="en-GB"/>
        </w:rPr>
        <w:t>Division</w:t>
      </w:r>
      <w:proofErr w:type="gramEnd"/>
      <w:r w:rsidRPr="00E31F4F">
        <w:rPr>
          <w:rFonts w:ascii="Arial" w:hAnsi="Arial" w:cs="Arial"/>
          <w:sz w:val="24"/>
          <w:szCs w:val="24"/>
          <w:lang w:eastAsia="en-GB"/>
        </w:rPr>
        <w:t xml:space="preserve"> wishes to propose the withdrawal of a module, it must s</w:t>
      </w:r>
      <w:r w:rsidRPr="00E31F4F" w:rsidR="00CA62AC">
        <w:rPr>
          <w:rFonts w:ascii="Arial" w:hAnsi="Arial" w:cs="Arial"/>
          <w:sz w:val="24"/>
          <w:szCs w:val="24"/>
          <w:lang w:eastAsia="en-GB"/>
        </w:rPr>
        <w:t>ubmit</w:t>
      </w:r>
      <w:r w:rsidRPr="00E31F4F">
        <w:rPr>
          <w:rFonts w:ascii="Arial" w:hAnsi="Arial" w:cs="Arial"/>
          <w:sz w:val="24"/>
          <w:szCs w:val="24"/>
          <w:lang w:eastAsia="en-GB"/>
        </w:rPr>
        <w:t xml:space="preserve"> a request to the appropriate D</w:t>
      </w:r>
      <w:r w:rsidRPr="00E31F4F">
        <w:rPr>
          <w:rFonts w:ascii="Arial" w:hAnsi="Arial" w:cs="Arial"/>
          <w:sz w:val="24"/>
          <w:szCs w:val="24"/>
        </w:rPr>
        <w:t xml:space="preserve">ESEC/DGSSEC </w:t>
      </w:r>
      <w:r w:rsidRPr="00E31F4F">
        <w:rPr>
          <w:rFonts w:ascii="Arial" w:hAnsi="Arial" w:cs="Arial"/>
          <w:sz w:val="24"/>
          <w:szCs w:val="24"/>
          <w:lang w:eastAsia="en-GB"/>
        </w:rPr>
        <w:t xml:space="preserve">via the system used for module approval. The request should be accompanied by the following: </w:t>
      </w:r>
    </w:p>
    <w:p w:rsidRPr="00E31F4F" w:rsidR="00C93EBB" w:rsidP="00E31F4F" w:rsidRDefault="00671147" w14:paraId="5525DF08" w14:textId="2AEE0E4F">
      <w:pPr>
        <w:pStyle w:val="ListParagraph"/>
        <w:numPr>
          <w:ilvl w:val="0"/>
          <w:numId w:val="7"/>
        </w:numPr>
        <w:spacing w:after="120"/>
        <w:ind w:left="993" w:right="95" w:hanging="426"/>
        <w:contextualSpacing w:val="0"/>
        <w:rPr>
          <w:rFonts w:ascii="Arial" w:hAnsi="Arial" w:cs="Arial"/>
          <w:sz w:val="24"/>
          <w:szCs w:val="24"/>
        </w:rPr>
      </w:pPr>
      <w:r>
        <w:rPr>
          <w:rFonts w:ascii="Arial" w:hAnsi="Arial" w:cs="Arial"/>
          <w:sz w:val="24"/>
          <w:szCs w:val="24"/>
        </w:rPr>
        <w:t>A</w:t>
      </w:r>
      <w:r w:rsidRPr="00E31F4F" w:rsidR="00C93EBB">
        <w:rPr>
          <w:rFonts w:ascii="Arial" w:hAnsi="Arial" w:cs="Arial"/>
          <w:sz w:val="24"/>
          <w:szCs w:val="24"/>
        </w:rPr>
        <w:t xml:space="preserve"> statement confirming that no students are registered for the module or will be required to take it, including resitting and intermitting students. I</w:t>
      </w:r>
      <w:r w:rsidRPr="00E31F4F" w:rsidR="00C93EBB">
        <w:rPr>
          <w:rFonts w:ascii="Arial" w:hAnsi="Arial" w:cs="Arial" w:eastAsiaTheme="minorEastAsia"/>
          <w:sz w:val="24"/>
          <w:szCs w:val="24"/>
        </w:rPr>
        <w:t>f there are students still registered on the module the statement should set out how those students will be properly taught and supported</w:t>
      </w:r>
      <w:r>
        <w:rPr>
          <w:rFonts w:ascii="Arial" w:hAnsi="Arial" w:cs="Arial" w:eastAsiaTheme="minorEastAsia"/>
          <w:sz w:val="24"/>
          <w:szCs w:val="24"/>
        </w:rPr>
        <w:t>.</w:t>
      </w:r>
    </w:p>
    <w:p w:rsidRPr="00E31F4F" w:rsidR="00C93EBB" w:rsidP="00E31F4F" w:rsidRDefault="00671147" w14:paraId="28EA1EE2" w14:textId="01CC4C97">
      <w:pPr>
        <w:pStyle w:val="ListParagraph"/>
        <w:numPr>
          <w:ilvl w:val="0"/>
          <w:numId w:val="7"/>
        </w:numPr>
        <w:spacing w:after="120"/>
        <w:ind w:left="993" w:right="95" w:hanging="426"/>
        <w:contextualSpacing w:val="0"/>
        <w:rPr>
          <w:rFonts w:ascii="Arial" w:hAnsi="Arial" w:cs="Arial"/>
          <w:sz w:val="24"/>
          <w:szCs w:val="24"/>
        </w:rPr>
      </w:pPr>
      <w:r>
        <w:rPr>
          <w:rFonts w:ascii="Arial" w:hAnsi="Arial" w:cs="Arial"/>
          <w:sz w:val="24"/>
          <w:szCs w:val="24"/>
        </w:rPr>
        <w:t>A</w:t>
      </w:r>
      <w:r w:rsidRPr="00E31F4F" w:rsidR="00C93EBB">
        <w:rPr>
          <w:rFonts w:ascii="Arial" w:hAnsi="Arial" w:cs="Arial"/>
          <w:sz w:val="24"/>
          <w:szCs w:val="24"/>
        </w:rPr>
        <w:t xml:space="preserve"> statement that the module is either not a component of any course offered in another School, or, if the module is a component of a course offered in another School a statement that the </w:t>
      </w:r>
      <w:proofErr w:type="gramStart"/>
      <w:r w:rsidRPr="00E31F4F" w:rsidR="00C93EBB">
        <w:rPr>
          <w:rFonts w:ascii="Arial" w:hAnsi="Arial" w:cs="Arial"/>
          <w:sz w:val="24"/>
          <w:szCs w:val="24"/>
        </w:rPr>
        <w:t>School</w:t>
      </w:r>
      <w:proofErr w:type="gramEnd"/>
      <w:r w:rsidRPr="00E31F4F" w:rsidR="00C93EBB">
        <w:rPr>
          <w:rFonts w:ascii="Arial" w:hAnsi="Arial" w:cs="Arial"/>
          <w:sz w:val="24"/>
          <w:szCs w:val="24"/>
        </w:rPr>
        <w:t xml:space="preserve"> has been advised. Evidence in the form of a response from the other School must be provided with the withdrawal request. </w:t>
      </w:r>
    </w:p>
    <w:p w:rsidRPr="00E31F4F" w:rsidR="00C93EBB" w:rsidP="00E31F4F" w:rsidRDefault="00671147" w14:paraId="38AF89EF" w14:textId="2C92349E">
      <w:pPr>
        <w:pStyle w:val="ListParagraph"/>
        <w:numPr>
          <w:ilvl w:val="0"/>
          <w:numId w:val="7"/>
        </w:numPr>
        <w:spacing w:after="120"/>
        <w:ind w:left="993" w:right="95" w:hanging="426"/>
        <w:contextualSpacing w:val="0"/>
        <w:rPr>
          <w:rFonts w:ascii="Arial" w:hAnsi="Arial" w:cs="Arial"/>
          <w:sz w:val="24"/>
          <w:szCs w:val="24"/>
        </w:rPr>
      </w:pPr>
      <w:r>
        <w:rPr>
          <w:rFonts w:ascii="Arial" w:hAnsi="Arial" w:cs="Arial"/>
          <w:sz w:val="24"/>
          <w:szCs w:val="24"/>
        </w:rPr>
        <w:t>A</w:t>
      </w:r>
      <w:r w:rsidRPr="00E31F4F" w:rsidR="00C93EBB">
        <w:rPr>
          <w:rFonts w:ascii="Arial" w:hAnsi="Arial" w:cs="Arial"/>
          <w:sz w:val="24"/>
          <w:szCs w:val="24"/>
        </w:rPr>
        <w:t xml:space="preserve"> statement confirming that the Division has engaged with the requirements of </w:t>
      </w:r>
      <w:hyperlink w:history="1" r:id="rId17">
        <w:r w:rsidRPr="00671147" w:rsidR="00C93EBB">
          <w:rPr>
            <w:rStyle w:val="Hyperlink"/>
            <w:rFonts w:ascii="Arial" w:hAnsi="Arial" w:cs="Arial"/>
            <w:sz w:val="24"/>
            <w:szCs w:val="24"/>
          </w:rPr>
          <w:t>Competition and Markets Authority guidance</w:t>
        </w:r>
      </w:hyperlink>
      <w:r w:rsidRPr="00E31F4F" w:rsidR="00C93EBB">
        <w:rPr>
          <w:rFonts w:ascii="Arial" w:hAnsi="Arial" w:cs="Arial"/>
          <w:sz w:val="24"/>
          <w:szCs w:val="24"/>
        </w:rPr>
        <w:t xml:space="preserve"> in considering the proposed withdrawal.</w:t>
      </w:r>
    </w:p>
    <w:p w:rsidRPr="00E31F4F" w:rsidR="00C93EBB" w:rsidP="00E31F4F" w:rsidRDefault="00C93EBB" w14:paraId="07B10B4B" w14:textId="77777777">
      <w:pPr>
        <w:pStyle w:val="ListParagraph"/>
        <w:numPr>
          <w:ilvl w:val="0"/>
          <w:numId w:val="6"/>
        </w:numPr>
        <w:spacing w:after="120"/>
        <w:ind w:left="567" w:right="95" w:hanging="567"/>
        <w:contextualSpacing w:val="0"/>
        <w:rPr>
          <w:rFonts w:ascii="Arial" w:hAnsi="Arial" w:cs="Arial"/>
          <w:sz w:val="24"/>
          <w:szCs w:val="24"/>
        </w:rPr>
      </w:pPr>
      <w:r w:rsidRPr="00E31F4F">
        <w:rPr>
          <w:rFonts w:ascii="Arial" w:hAnsi="Arial" w:cs="Arial"/>
          <w:sz w:val="24"/>
          <w:szCs w:val="24"/>
        </w:rPr>
        <w:t>Where withdrawals are part of a course restructure the withdrawal request should be submitted at the same time as the revised course specification and the withdrawal submission should indicate that it is part of a course restructure.</w:t>
      </w:r>
    </w:p>
    <w:p w:rsidRPr="00E31F4F" w:rsidR="00C93EBB" w:rsidP="00E31F4F" w:rsidRDefault="00C93EBB" w14:paraId="2E0AF32C" w14:textId="77777777">
      <w:pPr>
        <w:pStyle w:val="ListParagraph"/>
        <w:numPr>
          <w:ilvl w:val="0"/>
          <w:numId w:val="6"/>
        </w:numPr>
        <w:spacing w:after="120"/>
        <w:ind w:left="567" w:right="95" w:hanging="567"/>
        <w:contextualSpacing w:val="0"/>
        <w:rPr>
          <w:rFonts w:ascii="Arial" w:hAnsi="Arial" w:cs="Arial"/>
          <w:sz w:val="24"/>
          <w:szCs w:val="24"/>
        </w:rPr>
      </w:pPr>
      <w:r w:rsidRPr="00E31F4F">
        <w:rPr>
          <w:rFonts w:ascii="Arial" w:hAnsi="Arial" w:cs="Arial"/>
          <w:sz w:val="24"/>
          <w:szCs w:val="24"/>
        </w:rPr>
        <w:t xml:space="preserve">Where a module to be withdrawn is subject to an existing Articulation Agreement, the Division will notify the Quality Assurance and Compliance Office. This may result in a review of the Articulation Agreement. </w:t>
      </w:r>
    </w:p>
    <w:p w:rsidRPr="00E31F4F" w:rsidR="00C93EBB" w:rsidP="00E31F4F" w:rsidRDefault="00C93EBB" w14:paraId="751F97ED" w14:textId="77777777">
      <w:pPr>
        <w:ind w:right="95"/>
        <w:rPr>
          <w:szCs w:val="24"/>
        </w:rPr>
      </w:pPr>
    </w:p>
    <w:p w:rsidRPr="00E31F4F" w:rsidR="00C93EBB" w:rsidP="00671147" w:rsidRDefault="00C93EBB" w14:paraId="58146119" w14:textId="77777777">
      <w:pPr>
        <w:pStyle w:val="Heading1"/>
        <w:tabs>
          <w:tab w:val="left" w:pos="567"/>
        </w:tabs>
      </w:pPr>
      <w:bookmarkStart w:name="_Toc83120996" w:id="22"/>
      <w:r w:rsidRPr="00E31F4F">
        <w:t>15.    Alternative Assessment</w:t>
      </w:r>
      <w:bookmarkEnd w:id="22"/>
    </w:p>
    <w:p w:rsidRPr="00E31F4F" w:rsidR="00C93EBB" w:rsidP="00E31F4F" w:rsidRDefault="00C93EBB" w14:paraId="20DDDB9E" w14:textId="77777777">
      <w:pPr>
        <w:pStyle w:val="ListParagraph"/>
        <w:numPr>
          <w:ilvl w:val="0"/>
          <w:numId w:val="8"/>
        </w:numPr>
        <w:spacing w:after="120"/>
        <w:ind w:left="567" w:right="95" w:hanging="567"/>
        <w:contextualSpacing w:val="0"/>
        <w:rPr>
          <w:rFonts w:ascii="Arial" w:hAnsi="Arial" w:cs="Arial"/>
          <w:sz w:val="24"/>
          <w:szCs w:val="24"/>
        </w:rPr>
      </w:pPr>
      <w:r w:rsidRPr="00E31F4F">
        <w:rPr>
          <w:rFonts w:ascii="Arial" w:hAnsi="Arial" w:cs="Arial"/>
          <w:sz w:val="24"/>
          <w:szCs w:val="24"/>
        </w:rPr>
        <w:t>Occasionally it is necessary to create an alternative assessment, for example, for students with ILPs or in response to an exceptional circumstance for an individual student. The process for approval of alternative assessment is as follows.</w:t>
      </w:r>
    </w:p>
    <w:p w:rsidRPr="00E31F4F" w:rsidR="00C93EBB" w:rsidP="00E31F4F" w:rsidRDefault="00C93EBB" w14:paraId="7A3F0693" w14:textId="77777777">
      <w:pPr>
        <w:pStyle w:val="ListParagraph"/>
        <w:numPr>
          <w:ilvl w:val="0"/>
          <w:numId w:val="8"/>
        </w:numPr>
        <w:spacing w:after="120"/>
        <w:ind w:left="567" w:right="95" w:hanging="567"/>
        <w:contextualSpacing w:val="0"/>
        <w:rPr>
          <w:rFonts w:ascii="Arial" w:hAnsi="Arial" w:cs="Arial"/>
          <w:sz w:val="24"/>
          <w:szCs w:val="24"/>
        </w:rPr>
      </w:pPr>
      <w:r w:rsidRPr="00E31F4F">
        <w:rPr>
          <w:rFonts w:ascii="Arial" w:hAnsi="Arial" w:cs="Arial"/>
          <w:sz w:val="24"/>
          <w:szCs w:val="24"/>
        </w:rPr>
        <w:t xml:space="preserve">The relevant School will draw up a rationale that sets out why the alternative assessment is required, details of the form that it will take, which student(s) will undertake the assessment and confirmation that the alternative assessment meets the required Module Learning Outcomes. </w:t>
      </w:r>
    </w:p>
    <w:p w:rsidRPr="00E31F4F" w:rsidR="00C93EBB" w:rsidP="00E31F4F" w:rsidRDefault="00C93EBB" w14:paraId="5EEC2EDC" w14:textId="77777777">
      <w:pPr>
        <w:pStyle w:val="ListParagraph"/>
        <w:numPr>
          <w:ilvl w:val="0"/>
          <w:numId w:val="8"/>
        </w:numPr>
        <w:spacing w:after="120"/>
        <w:ind w:left="567" w:right="95" w:hanging="567"/>
        <w:contextualSpacing w:val="0"/>
        <w:rPr>
          <w:rFonts w:ascii="Arial" w:hAnsi="Arial" w:cs="Arial"/>
          <w:sz w:val="24"/>
          <w:szCs w:val="24"/>
        </w:rPr>
      </w:pPr>
      <w:r w:rsidRPr="00E31F4F">
        <w:rPr>
          <w:rFonts w:ascii="Arial" w:hAnsi="Arial" w:cs="Arial"/>
          <w:sz w:val="24"/>
          <w:szCs w:val="24"/>
        </w:rPr>
        <w:t xml:space="preserve">The </w:t>
      </w:r>
      <w:proofErr w:type="gramStart"/>
      <w:r w:rsidRPr="00E31F4F">
        <w:rPr>
          <w:rFonts w:ascii="Arial" w:hAnsi="Arial" w:cs="Arial"/>
          <w:sz w:val="24"/>
          <w:szCs w:val="24"/>
        </w:rPr>
        <w:t>School</w:t>
      </w:r>
      <w:proofErr w:type="gramEnd"/>
      <w:r w:rsidRPr="00E31F4F">
        <w:rPr>
          <w:rFonts w:ascii="Arial" w:hAnsi="Arial" w:cs="Arial"/>
          <w:sz w:val="24"/>
          <w:szCs w:val="24"/>
        </w:rPr>
        <w:t xml:space="preserve"> will submit the rationale to the appropriate Divisional Director of Education and UG Student Experience/Divisional Director of Graduate Studies and PG Student Experience for approval or rejection. The outcome will be recorded at the next DESEC/DGSSEC, as appropriate. </w:t>
      </w:r>
    </w:p>
    <w:p w:rsidRPr="00E31F4F" w:rsidR="00C93EBB" w:rsidP="00E31F4F" w:rsidRDefault="00C93EBB" w14:paraId="25CE98B2" w14:textId="77777777">
      <w:pPr>
        <w:pStyle w:val="ListParagraph"/>
        <w:numPr>
          <w:ilvl w:val="0"/>
          <w:numId w:val="8"/>
        </w:numPr>
        <w:spacing w:after="120"/>
        <w:ind w:left="567" w:right="95" w:hanging="567"/>
        <w:contextualSpacing w:val="0"/>
        <w:rPr>
          <w:rFonts w:ascii="Arial" w:hAnsi="Arial" w:cs="Arial"/>
          <w:sz w:val="24"/>
          <w:szCs w:val="24"/>
        </w:rPr>
      </w:pPr>
      <w:r w:rsidRPr="00E31F4F">
        <w:rPr>
          <w:rFonts w:ascii="Arial" w:hAnsi="Arial" w:cs="Arial"/>
          <w:sz w:val="24"/>
          <w:szCs w:val="24"/>
        </w:rPr>
        <w:t xml:space="preserve">Validated Institutions will be required to have their own internal procedure in place for the approval of alternative assessments, including a process to ensure that the relevant External Examiner is satisfied with the alternative assessment. The Validated Institution must inform the Quality Assurance and Compliance Office of any alternative assessments once approved.  </w:t>
      </w:r>
    </w:p>
    <w:p w:rsidRPr="00E31F4F" w:rsidR="00C93EBB" w:rsidP="00E31F4F" w:rsidRDefault="00C93EBB" w14:paraId="01C4B84A" w14:textId="77777777">
      <w:pPr>
        <w:tabs>
          <w:tab w:val="left" w:pos="3930"/>
        </w:tabs>
        <w:ind w:right="95"/>
        <w:rPr>
          <w:szCs w:val="24"/>
        </w:rPr>
      </w:pPr>
      <w:r w:rsidRPr="00E31F4F">
        <w:rPr>
          <w:szCs w:val="24"/>
        </w:rPr>
        <w:tab/>
      </w:r>
    </w:p>
    <w:p w:rsidRPr="00E31F4F" w:rsidR="00F54211" w:rsidP="00E31F4F" w:rsidRDefault="00690397" w14:paraId="72DE9744" w14:textId="77777777">
      <w:pPr>
        <w:ind w:right="95"/>
        <w:rPr>
          <w:szCs w:val="24"/>
        </w:rPr>
      </w:pPr>
    </w:p>
    <w:sectPr w:rsidRPr="00E31F4F" w:rsidR="00F54211" w:rsidSect="002750C2">
      <w:headerReference w:type="even" r:id="rId18"/>
      <w:headerReference w:type="default" r:id="rId19"/>
      <w:footerReference w:type="even" r:id="rId20"/>
      <w:footerReference w:type="default" r:id="rId21"/>
      <w:headerReference w:type="first" r:id="rId22"/>
      <w:footerReference w:type="first" r:id="rId23"/>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4AD4" w:rsidP="00C93EBB" w:rsidRDefault="008F4AD4" w14:paraId="36122000" w14:textId="77777777">
      <w:pPr>
        <w:spacing w:after="0"/>
      </w:pPr>
      <w:r>
        <w:separator/>
      </w:r>
    </w:p>
  </w:endnote>
  <w:endnote w:type="continuationSeparator" w:id="0">
    <w:p w:rsidR="008F4AD4" w:rsidP="00C93EBB" w:rsidRDefault="008F4AD4" w14:paraId="0B2B72D4" w14:textId="77777777">
      <w:pPr>
        <w:spacing w:after="0"/>
      </w:pPr>
      <w:r>
        <w:continuationSeparator/>
      </w:r>
    </w:p>
  </w:endnote>
  <w:endnote w:type="continuationNotice" w:id="1">
    <w:p w:rsidR="00583CED" w:rsidRDefault="00583CED" w14:paraId="46F34DCF"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57FF" w:rsidRDefault="003857FF" w14:paraId="77A82D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F7E36" w:rsidRDefault="00C93EBB" w14:paraId="1A4C2943" w14:textId="77777777">
    <w:pPr>
      <w:pStyle w:val="Header"/>
      <w:rPr>
        <w:rStyle w:val="eop"/>
        <w:sz w:val="20"/>
        <w:szCs w:val="20"/>
      </w:rPr>
    </w:pPr>
    <w:r>
      <w:rPr>
        <w:rStyle w:val="normaltextrun"/>
        <w:sz w:val="20"/>
        <w:szCs w:val="20"/>
      </w:rPr>
      <w:t>Author: QACO</w:t>
    </w:r>
    <w:r>
      <w:rPr>
        <w:rStyle w:val="eop"/>
        <w:sz w:val="20"/>
        <w:szCs w:val="20"/>
      </w:rPr>
      <w:t> </w:t>
    </w:r>
  </w:p>
  <w:p w:rsidR="002D27FE" w:rsidP="002F7E36" w:rsidRDefault="002D27FE" w14:paraId="28E116D6" w14:textId="06BF2788">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6C7040">
      <w:rPr>
        <w:rStyle w:val="eop"/>
        <w:sz w:val="20"/>
        <w:szCs w:val="20"/>
      </w:rPr>
      <w:t>2</w:t>
    </w:r>
    <w:r>
      <w:rPr>
        <w:rStyle w:val="eop"/>
        <w:sz w:val="20"/>
        <w:szCs w:val="20"/>
      </w:rPr>
      <w:t>/2</w:t>
    </w:r>
    <w:r w:rsidR="006C7040">
      <w:rPr>
        <w:rStyle w:val="eop"/>
        <w:sz w:val="20"/>
        <w:szCs w:val="20"/>
      </w:rPr>
      <w:t>3</w:t>
    </w:r>
  </w:p>
  <w:p w:rsidR="002F7E36" w:rsidP="002F7E36" w:rsidRDefault="00C93EBB" w14:paraId="76D7A98E"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08512637" w:rsidRDefault="00C93EBB" w14:paraId="4A90B1F5" w14:textId="3C9582C1">
    <w:pPr>
      <w:pStyle w:val="paragraph"/>
      <w:spacing w:before="0" w:beforeAutospacing="off" w:after="0" w:afterAutospacing="off"/>
      <w:textAlignment w:val="baseline"/>
      <w:rPr>
        <w:rStyle w:val="normaltextrun"/>
        <w:rFonts w:ascii="Arial" w:hAnsi="Arial" w:cs="Arial"/>
        <w:sz w:val="20"/>
        <w:szCs w:val="20"/>
      </w:rPr>
    </w:pPr>
    <w:r w:rsidRPr="08512637" w:rsidR="08512637">
      <w:rPr>
        <w:rStyle w:val="normaltextrun"/>
        <w:rFonts w:ascii="Arial" w:hAnsi="Arial" w:cs="Arial"/>
        <w:sz w:val="20"/>
        <w:szCs w:val="20"/>
      </w:rPr>
      <w:t xml:space="preserve">Last Revised: </w:t>
    </w:r>
    <w:r w:rsidRPr="08512637" w:rsidR="08512637">
      <w:rPr>
        <w:rStyle w:val="normaltextrun"/>
        <w:rFonts w:ascii="Arial" w:hAnsi="Arial" w:cs="Arial"/>
        <w:sz w:val="20"/>
        <w:szCs w:val="20"/>
      </w:rPr>
      <w:t>November 2023</w:t>
    </w:r>
  </w:p>
  <w:p w:rsidR="002750C2" w:rsidP="08512637" w:rsidRDefault="00C93EBB" w14:paraId="2C07EA22" w14:textId="2A067D06">
    <w:pPr>
      <w:pStyle w:val="paragraph"/>
      <w:spacing w:before="0" w:beforeAutospacing="off" w:after="0" w:afterAutospacing="off"/>
      <w:textAlignment w:val="baseline"/>
      <w:rPr>
        <w:rStyle w:val="normaltextrun"/>
        <w:rFonts w:ascii="Arial" w:hAnsi="Arial" w:cs="Arial"/>
        <w:sz w:val="20"/>
        <w:szCs w:val="20"/>
        <w:lang w:val="en-US"/>
      </w:rPr>
    </w:pPr>
    <w:r w:rsidRPr="08512637" w:rsidR="08512637">
      <w:rPr>
        <w:rStyle w:val="normaltextrun"/>
        <w:rFonts w:ascii="Arial" w:hAnsi="Arial" w:cs="Arial"/>
        <w:sz w:val="20"/>
        <w:szCs w:val="20"/>
      </w:rPr>
      <w:t>Next review: September 202</w:t>
    </w:r>
    <w:r w:rsidRPr="08512637" w:rsidR="08512637">
      <w:rPr>
        <w:rStyle w:val="normaltextrun"/>
        <w:rFonts w:ascii="Arial" w:hAnsi="Arial" w:cs="Arial"/>
        <w:sz w:val="20"/>
        <w:szCs w:val="20"/>
      </w:rPr>
      <w:t>4</w:t>
    </w:r>
  </w:p>
  <w:p w:rsidR="002750C2" w:rsidP="002750C2" w:rsidRDefault="00C93EBB" w14:paraId="46ADE3EE"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7921E5">
      <w:rPr>
        <w:rStyle w:val="PageNumber"/>
        <w:noProof/>
        <w:sz w:val="20"/>
      </w:rPr>
      <w:t>4</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7921E5">
      <w:rPr>
        <w:rStyle w:val="PageNumber"/>
        <w:noProof/>
        <w:sz w:val="20"/>
      </w:rPr>
      <w:t>9</w:t>
    </w:r>
    <w:r w:rsidRPr="006A5596">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57FF" w:rsidRDefault="003857FF" w14:paraId="717395C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4AD4" w:rsidP="00C93EBB" w:rsidRDefault="008F4AD4" w14:paraId="30849E7F" w14:textId="77777777">
      <w:pPr>
        <w:spacing w:after="0"/>
      </w:pPr>
      <w:r>
        <w:separator/>
      </w:r>
    </w:p>
  </w:footnote>
  <w:footnote w:type="continuationSeparator" w:id="0">
    <w:p w:rsidR="008F4AD4" w:rsidP="00C93EBB" w:rsidRDefault="008F4AD4" w14:paraId="11FC0A21" w14:textId="77777777">
      <w:pPr>
        <w:spacing w:after="0"/>
      </w:pPr>
      <w:r>
        <w:continuationSeparator/>
      </w:r>
    </w:p>
  </w:footnote>
  <w:footnote w:type="continuationNotice" w:id="1">
    <w:p w:rsidR="00583CED" w:rsidRDefault="00583CED" w14:paraId="6BD692AE" w14:textId="77777777">
      <w:pPr>
        <w:spacing w:after="0"/>
      </w:pPr>
    </w:p>
  </w:footnote>
  <w:footnote w:id="2">
    <w:p w:rsidRPr="00F33E38" w:rsidR="00C93EBB" w:rsidP="006531EB" w:rsidRDefault="00C93EBB" w14:paraId="6C5C3967" w14:textId="77777777">
      <w:pPr>
        <w:pStyle w:val="FootnoteText"/>
        <w:spacing w:before="60" w:after="60"/>
        <w:ind w:right="284"/>
        <w:rPr>
          <w:rFonts w:ascii="Arial" w:hAnsi="Arial" w:cs="Arial"/>
          <w:sz w:val="22"/>
          <w:szCs w:val="22"/>
        </w:rPr>
      </w:pPr>
      <w:r w:rsidRPr="00F33E38">
        <w:rPr>
          <w:rStyle w:val="FootnoteReference"/>
          <w:rFonts w:ascii="Arial" w:hAnsi="Arial" w:cs="Arial" w:eastAsiaTheme="majorEastAsia"/>
          <w:sz w:val="22"/>
          <w:szCs w:val="22"/>
        </w:rPr>
        <w:footnoteRef/>
      </w:r>
      <w:r w:rsidRPr="00F33E38">
        <w:rPr>
          <w:rFonts w:ascii="Arial" w:hAnsi="Arial" w:cs="Arial"/>
          <w:sz w:val="22"/>
          <w:szCs w:val="22"/>
        </w:rPr>
        <w:t xml:space="preserve"> For the purposes of this Code integrated </w:t>
      </w:r>
      <w:proofErr w:type="gramStart"/>
      <w:r w:rsidRPr="00F33E38">
        <w:rPr>
          <w:rFonts w:ascii="Arial" w:hAnsi="Arial" w:cs="Arial"/>
          <w:sz w:val="22"/>
          <w:szCs w:val="22"/>
        </w:rPr>
        <w:t>Master’s</w:t>
      </w:r>
      <w:proofErr w:type="gramEnd"/>
      <w:r w:rsidRPr="00F33E38">
        <w:rPr>
          <w:rFonts w:ascii="Arial" w:hAnsi="Arial" w:cs="Arial"/>
          <w:sz w:val="22"/>
          <w:szCs w:val="22"/>
        </w:rPr>
        <w:t xml:space="preserve"> courses are regarded as undergraduate courses.</w:t>
      </w:r>
    </w:p>
  </w:footnote>
  <w:footnote w:id="3">
    <w:p w:rsidRPr="009A04C4" w:rsidR="00C93EBB" w:rsidP="006531EB" w:rsidRDefault="00C93EBB" w14:paraId="29131051" w14:textId="77777777">
      <w:pPr>
        <w:pStyle w:val="FootnoteText"/>
        <w:spacing w:before="60" w:after="60"/>
        <w:ind w:right="284"/>
        <w:rPr>
          <w:rFonts w:ascii="Arial" w:hAnsi="Arial" w:cs="Arial"/>
          <w:sz w:val="22"/>
          <w:szCs w:val="22"/>
        </w:rPr>
      </w:pPr>
      <w:r w:rsidRPr="009A04C4">
        <w:rPr>
          <w:rStyle w:val="FootnoteReference"/>
          <w:rFonts w:ascii="Arial" w:hAnsi="Arial" w:cs="Arial" w:eastAsiaTheme="majorEastAsia"/>
          <w:sz w:val="22"/>
          <w:szCs w:val="22"/>
        </w:rPr>
        <w:footnoteRef/>
      </w:r>
      <w:r w:rsidRPr="009A04C4">
        <w:rPr>
          <w:rFonts w:ascii="Arial" w:hAnsi="Arial" w:cs="Arial"/>
          <w:sz w:val="22"/>
          <w:szCs w:val="22"/>
        </w:rPr>
        <w:t xml:space="preserve"> </w:t>
      </w:r>
      <w:r w:rsidRPr="009A04C4">
        <w:rPr>
          <w:rFonts w:ascii="Arial" w:hAnsi="Arial" w:cs="Arial"/>
          <w:sz w:val="22"/>
          <w:szCs w:val="22"/>
          <w:bdr w:val="none" w:color="auto" w:sz="0" w:space="0" w:frame="1"/>
        </w:rPr>
        <w:t>The designated member will be a Director of the Board of Studies from a different subject area.</w:t>
      </w:r>
    </w:p>
  </w:footnote>
  <w:footnote w:id="4">
    <w:p w:rsidRPr="00F33E38" w:rsidR="00C93EBB" w:rsidP="006531EB" w:rsidRDefault="00C93EBB" w14:paraId="5B65BC7B" w14:textId="77777777">
      <w:pPr>
        <w:pStyle w:val="FootnoteText"/>
        <w:spacing w:before="60" w:after="60"/>
        <w:ind w:right="284"/>
        <w:rPr>
          <w:rFonts w:ascii="Arial" w:hAnsi="Arial" w:cs="Arial"/>
          <w:sz w:val="22"/>
          <w:szCs w:val="22"/>
        </w:rPr>
      </w:pPr>
      <w:r w:rsidRPr="00F33E38">
        <w:rPr>
          <w:rStyle w:val="FootnoteReference"/>
          <w:rFonts w:ascii="Arial" w:hAnsi="Arial" w:cs="Arial" w:eastAsiaTheme="majorEastAsia"/>
          <w:sz w:val="22"/>
          <w:szCs w:val="22"/>
        </w:rPr>
        <w:footnoteRef/>
      </w:r>
      <w:r w:rsidRPr="00F33E38">
        <w:rPr>
          <w:rFonts w:ascii="Arial" w:hAnsi="Arial" w:cs="Arial"/>
          <w:sz w:val="22"/>
          <w:szCs w:val="22"/>
        </w:rPr>
        <w:t xml:space="preserve"> For the purposes of this Code Graduate Certificate and Graduate Diploma courses are regarded as postgraduate courses. </w:t>
      </w:r>
    </w:p>
  </w:footnote>
  <w:footnote w:id="5">
    <w:p w:rsidRPr="00726819" w:rsidR="0011713B" w:rsidRDefault="0011713B" w14:paraId="78A27F8A" w14:textId="6BAB8910">
      <w:pPr>
        <w:pStyle w:val="FootnoteText"/>
        <w:rPr>
          <w:rFonts w:ascii="Arial" w:hAnsi="Arial" w:cs="Arial"/>
        </w:rPr>
      </w:pPr>
      <w:r w:rsidRPr="00726819">
        <w:rPr>
          <w:rStyle w:val="FootnoteReference"/>
          <w:rFonts w:ascii="Arial" w:hAnsi="Arial" w:cs="Arial"/>
        </w:rPr>
        <w:footnoteRef/>
      </w:r>
      <w:r w:rsidRPr="00726819">
        <w:rPr>
          <w:rFonts w:ascii="Arial" w:hAnsi="Arial" w:cs="Arial"/>
        </w:rPr>
        <w:t xml:space="preserve"> </w:t>
      </w:r>
      <w:r w:rsidRPr="00726819" w:rsidR="00D93187">
        <w:rPr>
          <w:rFonts w:ascii="Arial" w:hAnsi="Arial" w:cs="Arial"/>
        </w:rPr>
        <w:t>Pre-requisite module is a module that students are required to take prior to the module in question. Normal progression requirements through the stages do not need to be listed as a</w:t>
      </w:r>
      <w:r w:rsidRPr="00726819" w:rsidR="00726819">
        <w:rPr>
          <w:rFonts w:ascii="Arial" w:hAnsi="Arial" w:cs="Arial"/>
        </w:rPr>
        <w:t xml:space="preserve"> pre-requisite in the module specification.</w:t>
      </w:r>
    </w:p>
  </w:footnote>
  <w:footnote w:id="6">
    <w:p w:rsidRPr="0075107D" w:rsidR="00C93EBB" w:rsidP="00C93EBB" w:rsidRDefault="00C93EBB" w14:paraId="2C1661EB" w14:textId="77777777">
      <w:pPr>
        <w:pStyle w:val="FootnoteText"/>
        <w:spacing w:before="60" w:after="60"/>
        <w:ind w:right="284"/>
        <w:rPr>
          <w:rFonts w:ascii="Arial" w:hAnsi="Arial" w:cs="Arial"/>
          <w:sz w:val="22"/>
          <w:szCs w:val="22"/>
        </w:rPr>
      </w:pPr>
      <w:r w:rsidRPr="0075107D">
        <w:rPr>
          <w:rStyle w:val="FootnoteReference"/>
          <w:rFonts w:ascii="Arial" w:hAnsi="Arial" w:cs="Arial" w:eastAsiaTheme="majorEastAsia"/>
          <w:sz w:val="22"/>
          <w:szCs w:val="22"/>
        </w:rPr>
        <w:footnoteRef/>
      </w:r>
      <w:r w:rsidRPr="0075107D">
        <w:rPr>
          <w:rFonts w:ascii="Arial" w:hAnsi="Arial" w:cs="Arial"/>
          <w:sz w:val="22"/>
          <w:szCs w:val="22"/>
        </w:rPr>
        <w:t xml:space="preserve"> Such lists to be requested from the Data Quality Team.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57FF" w:rsidRDefault="003857FF" w14:paraId="5E743D0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DE4EE8" w14:paraId="126ED25F" w14:textId="3E38418F">
    <w:pPr>
      <w:pStyle w:val="Header"/>
      <w:jc w:val="right"/>
    </w:pPr>
    <w:r>
      <w:rPr>
        <w:noProof/>
      </w:rPr>
      <w:drawing>
        <wp:anchor distT="0" distB="0" distL="114300" distR="114300" simplePos="0" relativeHeight="251658240" behindDoc="0" locked="0" layoutInCell="1" allowOverlap="1" wp14:anchorId="0F37E192" wp14:editId="6A1DB987">
          <wp:simplePos x="0" y="0"/>
          <wp:positionH relativeFrom="column">
            <wp:posOffset>-914400</wp:posOffset>
          </wp:positionH>
          <wp:positionV relativeFrom="paragraph">
            <wp:posOffset>-448945</wp:posOffset>
          </wp:positionV>
          <wp:extent cx="7560000" cy="111817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C93EBB" w14:paraId="4089418E" w14:textId="5D2E5A80">
    <w:pPr>
      <w:pStyle w:val="Header"/>
      <w:ind w:right="284"/>
      <w:jc w:val="center"/>
      <w:rPr>
        <w:b/>
      </w:rPr>
    </w:pPr>
    <w:r>
      <w:rPr>
        <w:b/>
      </w:rPr>
      <w:t xml:space="preserve">                </w:t>
    </w:r>
    <w:r w:rsidRPr="002750C2">
      <w:rPr>
        <w:b/>
      </w:rPr>
      <w:t xml:space="preserve">Code of Practice for Quality Assurance of </w:t>
    </w:r>
    <w:r>
      <w:rPr>
        <w:b/>
      </w:rPr>
      <w:t xml:space="preserve">Taught </w:t>
    </w:r>
    <w:r w:rsidRPr="002750C2">
      <w:rPr>
        <w:b/>
      </w:rPr>
      <w:t>Courses of Study</w:t>
    </w:r>
  </w:p>
  <w:p w:rsidR="002750C2" w:rsidRDefault="00690397" w14:paraId="6CA4C38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57FF" w:rsidRDefault="003857FF" w14:paraId="0A7C3F6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018"/>
    <w:multiLevelType w:val="hybridMultilevel"/>
    <w:tmpl w:val="23C492D8"/>
    <w:lvl w:ilvl="0" w:tplc="F7E0DFD8">
      <w:start w:val="1"/>
      <w:numFmt w:val="decimal"/>
      <w:lvlText w:val="13.%1"/>
      <w:lvlJc w:val="left"/>
      <w:pPr>
        <w:ind w:left="720" w:hanging="360"/>
      </w:pPr>
      <w:rPr>
        <w:rFonts w:hint="default" w:ascii="Arial" w:hAnsi="Arial" w:cs="Arial"/>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921EB"/>
    <w:multiLevelType w:val="hybridMultilevel"/>
    <w:tmpl w:val="C7DCF05E"/>
    <w:lvl w:ilvl="0" w:tplc="FF2E2FF8">
      <w:start w:val="1"/>
      <w:numFmt w:val="decimal"/>
      <w:lvlText w:val="2.%1"/>
      <w:lvlJc w:val="left"/>
      <w:pPr>
        <w:ind w:left="3558" w:hanging="360"/>
      </w:pPr>
      <w:rPr>
        <w:rFonts w:hint="default" w:ascii="Arial" w:hAnsi="Arial" w:cs="Arial"/>
        <w:b w:val="0"/>
        <w:sz w:val="24"/>
        <w:szCs w:val="22"/>
      </w:rPr>
    </w:lvl>
    <w:lvl w:ilvl="1" w:tplc="08090019" w:tentative="1">
      <w:start w:val="1"/>
      <w:numFmt w:val="lowerLetter"/>
      <w:lvlText w:val="%2."/>
      <w:lvlJc w:val="left"/>
      <w:pPr>
        <w:ind w:left="4278" w:hanging="360"/>
      </w:pPr>
    </w:lvl>
    <w:lvl w:ilvl="2" w:tplc="0809001B" w:tentative="1">
      <w:start w:val="1"/>
      <w:numFmt w:val="lowerRoman"/>
      <w:lvlText w:val="%3."/>
      <w:lvlJc w:val="right"/>
      <w:pPr>
        <w:ind w:left="4998" w:hanging="180"/>
      </w:pPr>
    </w:lvl>
    <w:lvl w:ilvl="3" w:tplc="0809000F" w:tentative="1">
      <w:start w:val="1"/>
      <w:numFmt w:val="decimal"/>
      <w:lvlText w:val="%4."/>
      <w:lvlJc w:val="left"/>
      <w:pPr>
        <w:ind w:left="5718" w:hanging="360"/>
      </w:pPr>
    </w:lvl>
    <w:lvl w:ilvl="4" w:tplc="08090019" w:tentative="1">
      <w:start w:val="1"/>
      <w:numFmt w:val="lowerLetter"/>
      <w:lvlText w:val="%5."/>
      <w:lvlJc w:val="left"/>
      <w:pPr>
        <w:ind w:left="6438" w:hanging="360"/>
      </w:pPr>
    </w:lvl>
    <w:lvl w:ilvl="5" w:tplc="0809001B" w:tentative="1">
      <w:start w:val="1"/>
      <w:numFmt w:val="lowerRoman"/>
      <w:lvlText w:val="%6."/>
      <w:lvlJc w:val="right"/>
      <w:pPr>
        <w:ind w:left="7158" w:hanging="180"/>
      </w:pPr>
    </w:lvl>
    <w:lvl w:ilvl="6" w:tplc="0809000F" w:tentative="1">
      <w:start w:val="1"/>
      <w:numFmt w:val="decimal"/>
      <w:lvlText w:val="%7."/>
      <w:lvlJc w:val="left"/>
      <w:pPr>
        <w:ind w:left="7878" w:hanging="360"/>
      </w:pPr>
    </w:lvl>
    <w:lvl w:ilvl="7" w:tplc="08090019" w:tentative="1">
      <w:start w:val="1"/>
      <w:numFmt w:val="lowerLetter"/>
      <w:lvlText w:val="%8."/>
      <w:lvlJc w:val="left"/>
      <w:pPr>
        <w:ind w:left="8598" w:hanging="360"/>
      </w:pPr>
    </w:lvl>
    <w:lvl w:ilvl="8" w:tplc="0809001B" w:tentative="1">
      <w:start w:val="1"/>
      <w:numFmt w:val="lowerRoman"/>
      <w:lvlText w:val="%9."/>
      <w:lvlJc w:val="right"/>
      <w:pPr>
        <w:ind w:left="9318" w:hanging="180"/>
      </w:pPr>
    </w:lvl>
  </w:abstractNum>
  <w:abstractNum w:abstractNumId="2" w15:restartNumberingAfterBreak="0">
    <w:nsid w:val="13FB3C59"/>
    <w:multiLevelType w:val="hybridMultilevel"/>
    <w:tmpl w:val="D60C3A8A"/>
    <w:lvl w:ilvl="0" w:tplc="6BDC6D4C">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C474984"/>
    <w:multiLevelType w:val="hybridMultilevel"/>
    <w:tmpl w:val="B50C0890"/>
    <w:lvl w:ilvl="0" w:tplc="25B05ED6">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390F4510"/>
    <w:multiLevelType w:val="hybridMultilevel"/>
    <w:tmpl w:val="C45A5F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9E19AA"/>
    <w:multiLevelType w:val="hybridMultilevel"/>
    <w:tmpl w:val="9692F6A4"/>
    <w:lvl w:ilvl="0" w:tplc="9498208A">
      <w:start w:val="1"/>
      <w:numFmt w:val="decimal"/>
      <w:lvlText w:val="12.%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7E03B9"/>
    <w:multiLevelType w:val="hybridMultilevel"/>
    <w:tmpl w:val="09B009D8"/>
    <w:lvl w:ilvl="0" w:tplc="6BDC6D4C">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C1D66C1"/>
    <w:multiLevelType w:val="hybridMultilevel"/>
    <w:tmpl w:val="E6808168"/>
    <w:lvl w:ilvl="0" w:tplc="DB5ABF32">
      <w:start w:val="1"/>
      <w:numFmt w:val="decimal"/>
      <w:lvlText w:val="6.3.%1"/>
      <w:lvlJc w:val="left"/>
      <w:pPr>
        <w:ind w:left="720" w:hanging="360"/>
      </w:pPr>
      <w:rPr>
        <w:rFonts w:hint="default" w:ascii="Arial" w:hAnsi="Arial" w:cs="Arial"/>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5E1007"/>
    <w:multiLevelType w:val="hybridMultilevel"/>
    <w:tmpl w:val="1DACA136"/>
    <w:lvl w:ilvl="0" w:tplc="3A3C57E8">
      <w:start w:val="1"/>
      <w:numFmt w:val="decimal"/>
      <w:lvlText w:val="15.%1"/>
      <w:lvlJc w:val="left"/>
      <w:pPr>
        <w:ind w:left="720" w:hanging="360"/>
      </w:pPr>
      <w:rPr>
        <w:rFonts w:hint="default" w:ascii="Arial" w:hAnsi="Arial" w:cs="Arial"/>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E86078"/>
    <w:multiLevelType w:val="hybridMultilevel"/>
    <w:tmpl w:val="FBCC89AC"/>
    <w:lvl w:ilvl="0" w:tplc="2DD82C58">
      <w:start w:val="1"/>
      <w:numFmt w:val="decimal"/>
      <w:lvlText w:val="14.%1"/>
      <w:lvlJc w:val="left"/>
      <w:pPr>
        <w:ind w:left="720" w:hanging="360"/>
      </w:pPr>
      <w:rPr>
        <w:rFonts w:hint="default" w:ascii="Arial" w:hAnsi="Arial" w:cs="Arial"/>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B1715F"/>
    <w:multiLevelType w:val="hybridMultilevel"/>
    <w:tmpl w:val="86D2AF0C"/>
    <w:lvl w:ilvl="0" w:tplc="CAB88B8C">
      <w:start w:val="1"/>
      <w:numFmt w:val="decimal"/>
      <w:lvlText w:val="6.%1"/>
      <w:lvlJc w:val="left"/>
      <w:pPr>
        <w:ind w:left="360" w:hanging="360"/>
      </w:pPr>
      <w:rPr>
        <w:rFonts w:hint="default" w:ascii="Arial" w:hAnsi="Arial" w:cs="Arial"/>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55660233">
    <w:abstractNumId w:val="10"/>
  </w:num>
  <w:num w:numId="2" w16cid:durableId="365452587">
    <w:abstractNumId w:val="7"/>
  </w:num>
  <w:num w:numId="3" w16cid:durableId="568081629">
    <w:abstractNumId w:val="5"/>
  </w:num>
  <w:num w:numId="4" w16cid:durableId="1600530015">
    <w:abstractNumId w:val="0"/>
  </w:num>
  <w:num w:numId="5" w16cid:durableId="1031106749">
    <w:abstractNumId w:val="2"/>
  </w:num>
  <w:num w:numId="6" w16cid:durableId="164561457">
    <w:abstractNumId w:val="9"/>
  </w:num>
  <w:num w:numId="7" w16cid:durableId="167335544">
    <w:abstractNumId w:val="6"/>
  </w:num>
  <w:num w:numId="8" w16cid:durableId="294289236">
    <w:abstractNumId w:val="8"/>
  </w:num>
  <w:num w:numId="9" w16cid:durableId="1163551471">
    <w:abstractNumId w:val="1"/>
  </w:num>
  <w:num w:numId="10" w16cid:durableId="1871675195">
    <w:abstractNumId w:val="3"/>
  </w:num>
  <w:num w:numId="11" w16cid:durableId="205180323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EBB"/>
    <w:rsid w:val="0011713B"/>
    <w:rsid w:val="001418F9"/>
    <w:rsid w:val="00297DFE"/>
    <w:rsid w:val="002A69E5"/>
    <w:rsid w:val="002D27FE"/>
    <w:rsid w:val="003327C3"/>
    <w:rsid w:val="003857FF"/>
    <w:rsid w:val="0039736E"/>
    <w:rsid w:val="003C7747"/>
    <w:rsid w:val="00403298"/>
    <w:rsid w:val="004861A6"/>
    <w:rsid w:val="004C2AAD"/>
    <w:rsid w:val="00583CED"/>
    <w:rsid w:val="005A2393"/>
    <w:rsid w:val="005F70FA"/>
    <w:rsid w:val="00602594"/>
    <w:rsid w:val="00606F4D"/>
    <w:rsid w:val="006147E1"/>
    <w:rsid w:val="006531EB"/>
    <w:rsid w:val="00665000"/>
    <w:rsid w:val="00671147"/>
    <w:rsid w:val="00690397"/>
    <w:rsid w:val="006C7040"/>
    <w:rsid w:val="00726819"/>
    <w:rsid w:val="007921E5"/>
    <w:rsid w:val="008068B7"/>
    <w:rsid w:val="00817FF9"/>
    <w:rsid w:val="00831DD3"/>
    <w:rsid w:val="00895B41"/>
    <w:rsid w:val="008D0FB6"/>
    <w:rsid w:val="008E2125"/>
    <w:rsid w:val="008F4AD4"/>
    <w:rsid w:val="009172BA"/>
    <w:rsid w:val="00926E5E"/>
    <w:rsid w:val="00AA7D71"/>
    <w:rsid w:val="00AF6C00"/>
    <w:rsid w:val="00B04E2F"/>
    <w:rsid w:val="00B20C27"/>
    <w:rsid w:val="00B571E8"/>
    <w:rsid w:val="00BA2A06"/>
    <w:rsid w:val="00BA2D1E"/>
    <w:rsid w:val="00BD2A3C"/>
    <w:rsid w:val="00C775DE"/>
    <w:rsid w:val="00C93EBB"/>
    <w:rsid w:val="00CA62AC"/>
    <w:rsid w:val="00D52F3B"/>
    <w:rsid w:val="00D65237"/>
    <w:rsid w:val="00D83AF0"/>
    <w:rsid w:val="00D93187"/>
    <w:rsid w:val="00D95EC1"/>
    <w:rsid w:val="00DE4EE8"/>
    <w:rsid w:val="00DE62BA"/>
    <w:rsid w:val="00E1539A"/>
    <w:rsid w:val="00E31F4F"/>
    <w:rsid w:val="00F55A02"/>
    <w:rsid w:val="00F83C51"/>
    <w:rsid w:val="00FB0CDB"/>
    <w:rsid w:val="085126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2B4800"/>
  <w15:chartTrackingRefBased/>
  <w15:docId w15:val="{797FD598-4AA2-4D32-8904-B26551DFB9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1F4F"/>
    <w:pPr>
      <w:snapToGrid w:val="0"/>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uiPriority w:val="9"/>
    <w:qFormat/>
    <w:rsid w:val="00B20C27"/>
    <w:pPr>
      <w:keepNext/>
      <w:keepLines/>
      <w:ind w:left="0" w:firstLine="0"/>
      <w:outlineLvl w:val="0"/>
    </w:pPr>
    <w:rPr>
      <w:rFonts w:eastAsiaTheme="majorEastAsia" w:cstheme="majorBidi"/>
      <w:b/>
      <w:color w:val="auto"/>
      <w:szCs w:val="32"/>
      <w:lang w:eastAsia="en-US"/>
    </w:rPr>
  </w:style>
  <w:style w:type="paragraph" w:styleId="Heading2">
    <w:name w:val="heading 2"/>
    <w:basedOn w:val="Normal"/>
    <w:next w:val="Normal"/>
    <w:link w:val="Heading2Char"/>
    <w:uiPriority w:val="9"/>
    <w:unhideWhenUsed/>
    <w:qFormat/>
    <w:rsid w:val="00606F4D"/>
    <w:pPr>
      <w:keepNext/>
      <w:keepLines/>
      <w:ind w:left="0" w:firstLine="0"/>
      <w:outlineLvl w:val="1"/>
    </w:pPr>
    <w:rPr>
      <w:rFonts w:eastAsiaTheme="majorEastAsia" w:cstheme="majorBidi"/>
      <w:b/>
      <w:color w:val="auto"/>
      <w:szCs w:val="26"/>
      <w:lang w:eastAsia="en-US"/>
    </w:rPr>
  </w:style>
  <w:style w:type="paragraph" w:styleId="Heading3">
    <w:name w:val="heading 3"/>
    <w:basedOn w:val="Normal"/>
    <w:next w:val="Normal"/>
    <w:link w:val="Heading3Char"/>
    <w:uiPriority w:val="9"/>
    <w:unhideWhenUsed/>
    <w:qFormat/>
    <w:rsid w:val="00C93EBB"/>
    <w:pPr>
      <w:keepNext/>
      <w:keepLines/>
      <w:spacing w:before="40" w:after="0"/>
      <w:ind w:left="0" w:firstLine="0"/>
      <w:outlineLvl w:val="2"/>
    </w:pPr>
    <w:rPr>
      <w:rFonts w:asciiTheme="majorHAnsi" w:hAnsiTheme="majorHAnsi" w:eastAsiaTheme="majorEastAsia" w:cstheme="majorBidi"/>
      <w:color w:val="1F4D78" w:themeColor="accent1" w:themeShade="7F"/>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C93EBB"/>
    <w:pPr>
      <w:tabs>
        <w:tab w:val="center" w:pos="4513"/>
        <w:tab w:val="right" w:pos="9026"/>
      </w:tabs>
      <w:spacing w:after="0"/>
    </w:pPr>
  </w:style>
  <w:style w:type="character" w:styleId="HeaderChar" w:customStyle="1">
    <w:name w:val="Header Char"/>
    <w:basedOn w:val="DefaultParagraphFont"/>
    <w:link w:val="Header"/>
    <w:rsid w:val="00C93EBB"/>
    <w:rPr>
      <w:rFonts w:ascii="Arial" w:hAnsi="Arial" w:eastAsia="Arial" w:cs="Arial"/>
      <w:color w:val="000000"/>
      <w:lang w:eastAsia="en-GB"/>
    </w:rPr>
  </w:style>
  <w:style w:type="paragraph" w:styleId="Footer">
    <w:name w:val="footer"/>
    <w:basedOn w:val="Normal"/>
    <w:link w:val="FooterChar"/>
    <w:uiPriority w:val="99"/>
    <w:unhideWhenUsed/>
    <w:rsid w:val="00C93EBB"/>
    <w:pPr>
      <w:tabs>
        <w:tab w:val="center" w:pos="4513"/>
        <w:tab w:val="right" w:pos="9026"/>
      </w:tabs>
      <w:spacing w:after="0"/>
    </w:pPr>
  </w:style>
  <w:style w:type="character" w:styleId="FooterChar" w:customStyle="1">
    <w:name w:val="Footer Char"/>
    <w:basedOn w:val="DefaultParagraphFont"/>
    <w:link w:val="Footer"/>
    <w:uiPriority w:val="99"/>
    <w:rsid w:val="00C93EBB"/>
    <w:rPr>
      <w:rFonts w:ascii="Arial" w:hAnsi="Arial" w:eastAsia="Arial" w:cs="Arial"/>
      <w:color w:val="000000"/>
      <w:lang w:eastAsia="en-GB"/>
    </w:rPr>
  </w:style>
  <w:style w:type="character" w:styleId="PageNumber">
    <w:name w:val="page number"/>
    <w:basedOn w:val="DefaultParagraphFont"/>
    <w:rsid w:val="00C93EBB"/>
  </w:style>
  <w:style w:type="paragraph" w:styleId="paragraph" w:customStyle="1">
    <w:name w:val="paragraph"/>
    <w:basedOn w:val="Normal"/>
    <w:rsid w:val="00C93EBB"/>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C93EBB"/>
  </w:style>
  <w:style w:type="character" w:styleId="eop" w:customStyle="1">
    <w:name w:val="eop"/>
    <w:basedOn w:val="DefaultParagraphFont"/>
    <w:rsid w:val="00C93EBB"/>
  </w:style>
  <w:style w:type="character" w:styleId="Heading1Char" w:customStyle="1">
    <w:name w:val="Heading 1 Char"/>
    <w:basedOn w:val="DefaultParagraphFont"/>
    <w:link w:val="Heading1"/>
    <w:uiPriority w:val="9"/>
    <w:rsid w:val="00B20C27"/>
    <w:rPr>
      <w:rFonts w:ascii="Arial" w:hAnsi="Arial" w:eastAsiaTheme="majorEastAsia" w:cstheme="majorBidi"/>
      <w:b/>
      <w:sz w:val="24"/>
      <w:szCs w:val="32"/>
    </w:rPr>
  </w:style>
  <w:style w:type="character" w:styleId="Heading2Char" w:customStyle="1">
    <w:name w:val="Heading 2 Char"/>
    <w:basedOn w:val="DefaultParagraphFont"/>
    <w:link w:val="Heading2"/>
    <w:uiPriority w:val="9"/>
    <w:rsid w:val="00606F4D"/>
    <w:rPr>
      <w:rFonts w:ascii="Arial" w:hAnsi="Arial" w:eastAsiaTheme="majorEastAsia" w:cstheme="majorBidi"/>
      <w:b/>
      <w:sz w:val="24"/>
      <w:szCs w:val="26"/>
    </w:rPr>
  </w:style>
  <w:style w:type="character" w:styleId="Heading3Char" w:customStyle="1">
    <w:name w:val="Heading 3 Char"/>
    <w:basedOn w:val="DefaultParagraphFont"/>
    <w:link w:val="Heading3"/>
    <w:uiPriority w:val="9"/>
    <w:rsid w:val="00C93EBB"/>
    <w:rPr>
      <w:rFonts w:asciiTheme="majorHAnsi" w:hAnsiTheme="majorHAnsi" w:eastAsiaTheme="majorEastAsia" w:cstheme="majorBidi"/>
      <w:color w:val="1F4D78" w:themeColor="accent1" w:themeShade="7F"/>
      <w:sz w:val="24"/>
      <w:szCs w:val="24"/>
    </w:rPr>
  </w:style>
  <w:style w:type="paragraph" w:styleId="FootnoteText">
    <w:name w:val="footnote text"/>
    <w:basedOn w:val="Normal"/>
    <w:link w:val="FootnoteTextChar"/>
    <w:semiHidden/>
    <w:rsid w:val="00C93EBB"/>
    <w:pPr>
      <w:spacing w:after="0"/>
      <w:ind w:left="0" w:firstLine="0"/>
    </w:pPr>
    <w:rPr>
      <w:rFonts w:ascii="Times New Roman" w:hAnsi="Times New Roman" w:eastAsia="Times New Roman" w:cs="Times New Roman"/>
      <w:color w:val="auto"/>
      <w:sz w:val="20"/>
      <w:szCs w:val="20"/>
      <w:lang w:eastAsia="en-US"/>
    </w:rPr>
  </w:style>
  <w:style w:type="character" w:styleId="FootnoteTextChar" w:customStyle="1">
    <w:name w:val="Footnote Text Char"/>
    <w:basedOn w:val="DefaultParagraphFont"/>
    <w:link w:val="FootnoteText"/>
    <w:semiHidden/>
    <w:rsid w:val="00C93EBB"/>
    <w:rPr>
      <w:rFonts w:ascii="Times New Roman" w:hAnsi="Times New Roman" w:eastAsia="Times New Roman" w:cs="Times New Roman"/>
      <w:sz w:val="20"/>
      <w:szCs w:val="20"/>
    </w:rPr>
  </w:style>
  <w:style w:type="character" w:styleId="FootnoteReference">
    <w:name w:val="footnote reference"/>
    <w:basedOn w:val="DefaultParagraphFont"/>
    <w:semiHidden/>
    <w:rsid w:val="00C93EBB"/>
    <w:rPr>
      <w:vertAlign w:val="superscript"/>
    </w:rPr>
  </w:style>
  <w:style w:type="character" w:styleId="Hyperlink">
    <w:name w:val="Hyperlink"/>
    <w:basedOn w:val="DefaultParagraphFont"/>
    <w:uiPriority w:val="99"/>
    <w:unhideWhenUsed/>
    <w:rsid w:val="00C93EBB"/>
    <w:rPr>
      <w:color w:val="0563C1" w:themeColor="hyperlink"/>
      <w:u w:val="single"/>
    </w:rPr>
  </w:style>
  <w:style w:type="paragraph" w:styleId="ListParagraph">
    <w:name w:val="List Paragraph"/>
    <w:basedOn w:val="Normal"/>
    <w:uiPriority w:val="34"/>
    <w:qFormat/>
    <w:rsid w:val="00C93EBB"/>
    <w:pPr>
      <w:spacing w:after="0"/>
      <w:ind w:left="720" w:firstLine="0"/>
      <w:contextualSpacing/>
    </w:pPr>
    <w:rPr>
      <w:rFonts w:ascii="Times New Roman" w:hAnsi="Times New Roman" w:eastAsia="Times New Roman" w:cs="Times New Roman"/>
      <w:color w:val="auto"/>
      <w:sz w:val="20"/>
      <w:szCs w:val="20"/>
      <w:lang w:eastAsia="en-US"/>
    </w:rPr>
  </w:style>
  <w:style w:type="paragraph" w:styleId="NormalWeb">
    <w:name w:val="Normal (Web)"/>
    <w:basedOn w:val="Normal"/>
    <w:uiPriority w:val="99"/>
    <w:unhideWhenUsed/>
    <w:rsid w:val="00C93EBB"/>
    <w:pPr>
      <w:spacing w:before="100" w:beforeAutospacing="1" w:after="100" w:afterAutospacing="1"/>
      <w:ind w:left="0" w:firstLine="0"/>
    </w:pPr>
    <w:rPr>
      <w:rFonts w:ascii="Times New Roman" w:hAnsi="Times New Roman" w:eastAsia="Times New Roman" w:cs="Times New Roman"/>
      <w:color w:val="auto"/>
      <w:szCs w:val="24"/>
    </w:rPr>
  </w:style>
  <w:style w:type="paragraph" w:styleId="TOCHeading">
    <w:name w:val="TOC Heading"/>
    <w:basedOn w:val="Heading1"/>
    <w:next w:val="Normal"/>
    <w:uiPriority w:val="39"/>
    <w:unhideWhenUsed/>
    <w:qFormat/>
    <w:rsid w:val="00C93EBB"/>
    <w:pPr>
      <w:spacing w:line="259" w:lineRule="auto"/>
      <w:outlineLvl w:val="9"/>
    </w:pPr>
    <w:rPr>
      <w:lang w:val="en-US"/>
    </w:rPr>
  </w:style>
  <w:style w:type="paragraph" w:styleId="TOC1">
    <w:name w:val="toc 1"/>
    <w:basedOn w:val="Normal"/>
    <w:next w:val="Normal"/>
    <w:autoRedefine/>
    <w:uiPriority w:val="39"/>
    <w:unhideWhenUsed/>
    <w:rsid w:val="00C93EBB"/>
    <w:pPr>
      <w:spacing w:after="100"/>
      <w:ind w:left="0" w:firstLine="0"/>
    </w:pPr>
    <w:rPr>
      <w:rFonts w:ascii="Times New Roman" w:hAnsi="Times New Roman" w:eastAsia="Times New Roman" w:cs="Times New Roman"/>
      <w:color w:val="auto"/>
      <w:sz w:val="20"/>
      <w:szCs w:val="20"/>
      <w:lang w:eastAsia="en-US"/>
    </w:rPr>
  </w:style>
  <w:style w:type="paragraph" w:styleId="TOC2">
    <w:name w:val="toc 2"/>
    <w:basedOn w:val="Normal"/>
    <w:next w:val="Normal"/>
    <w:autoRedefine/>
    <w:uiPriority w:val="39"/>
    <w:unhideWhenUsed/>
    <w:rsid w:val="00C93EBB"/>
    <w:pPr>
      <w:tabs>
        <w:tab w:val="left" w:pos="880"/>
        <w:tab w:val="right" w:leader="dot" w:pos="9063"/>
      </w:tabs>
      <w:spacing w:after="100"/>
      <w:ind w:left="200" w:firstLine="0"/>
    </w:pPr>
    <w:rPr>
      <w:rFonts w:eastAsia="Times New Roman"/>
      <w:noProof/>
      <w:color w:val="auto"/>
      <w:szCs w:val="24"/>
      <w:lang w:eastAsia="en-US"/>
    </w:rPr>
  </w:style>
  <w:style w:type="paragraph" w:styleId="TOC3">
    <w:name w:val="toc 3"/>
    <w:basedOn w:val="Normal"/>
    <w:next w:val="Normal"/>
    <w:autoRedefine/>
    <w:uiPriority w:val="39"/>
    <w:unhideWhenUsed/>
    <w:rsid w:val="00C93EBB"/>
    <w:pPr>
      <w:spacing w:after="100"/>
      <w:ind w:left="400" w:firstLine="0"/>
    </w:pPr>
    <w:rPr>
      <w:rFonts w:ascii="Times New Roman" w:hAnsi="Times New Roman" w:eastAsia="Times New Roman" w:cs="Times New Roman"/>
      <w:color w:val="auto"/>
      <w:sz w:val="20"/>
      <w:szCs w:val="20"/>
      <w:lang w:eastAsia="en-US"/>
    </w:rPr>
  </w:style>
  <w:style w:type="paragraph" w:styleId="Title">
    <w:name w:val="Title"/>
    <w:basedOn w:val="Normal"/>
    <w:next w:val="Normal"/>
    <w:link w:val="TitleChar"/>
    <w:uiPriority w:val="10"/>
    <w:qFormat/>
    <w:rsid w:val="00B20C27"/>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B20C27"/>
    <w:rPr>
      <w:rFonts w:ascii="Arial" w:hAnsi="Arial" w:eastAsiaTheme="majorEastAsia" w:cstheme="majorBidi"/>
      <w:b/>
      <w:spacing w:val="-10"/>
      <w:kern w:val="28"/>
      <w:sz w:val="32"/>
      <w:szCs w:val="56"/>
      <w:lang w:eastAsia="en-GB"/>
    </w:rPr>
  </w:style>
  <w:style w:type="character" w:styleId="UnresolvedMention">
    <w:name w:val="Unresolved Mention"/>
    <w:basedOn w:val="DefaultParagraphFont"/>
    <w:uiPriority w:val="99"/>
    <w:semiHidden/>
    <w:unhideWhenUsed/>
    <w:rsid w:val="00AF6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kent.ac.uk/education/regulatory-framework/codes-of-practice-for-taught-courses"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hyperlink" Target="https://www.kent.ac.uk/education/regulatory-framework/codes-of-practice-for-taught-courses" TargetMode="External" Id="rId12" /><Relationship Type="http://schemas.openxmlformats.org/officeDocument/2006/relationships/hyperlink" Target="https://www.kent.ac.uk/academic/cma/index.html"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kent.ac.uk/education/regulatory-framework/codes-of-practice-for-taught-courses"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regulatory-framework/codes-of-practice-for-taught-courses"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www.kent.ac.uk/academic/cma/index.html" TargetMode="External" Id="rId15" /><Relationship Type="http://schemas.openxmlformats.org/officeDocument/2006/relationships/footer" Target="footer3.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organisations/competition-and-markets-authority" TargetMode="External" Id="rId14" /><Relationship Type="http://schemas.openxmlformats.org/officeDocument/2006/relationships/header" Target="header3.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2469B-FAEF-415D-AD54-BF8FE3BEAB66}">
  <ds:schemaRefs>
    <ds:schemaRef ds:uri="http://schemas.microsoft.com/sharepoint/v3/contenttype/forms"/>
  </ds:schemaRefs>
</ds:datastoreItem>
</file>

<file path=customXml/itemProps2.xml><?xml version="1.0" encoding="utf-8"?>
<ds:datastoreItem xmlns:ds="http://schemas.openxmlformats.org/officeDocument/2006/customXml" ds:itemID="{FE032467-B28C-4A40-AE23-153B92656A4C}">
  <ds:schemaRefs>
    <ds:schemaRef ds:uri="http://purl.org/dc/terms/"/>
    <ds:schemaRef ds:uri="http://www.w3.org/XML/1998/namespace"/>
    <ds:schemaRef ds:uri="http://schemas.microsoft.com/office/2006/documentManagement/types"/>
    <ds:schemaRef ds:uri="http://purl.org/dc/elements/1.1/"/>
    <ds:schemaRef ds:uri="72950014-329e-4a27-bc61-1434010e9bc4"/>
    <ds:schemaRef ds:uri="http://schemas.microsoft.com/office/infopath/2007/PartnerControls"/>
    <ds:schemaRef ds:uri="http://schemas.openxmlformats.org/package/2006/metadata/core-properties"/>
    <ds:schemaRef ds:uri="08b17af1-5e59-4af2-a04a-b30e1df0a2aa"/>
    <ds:schemaRef ds:uri="http://schemas.microsoft.com/office/2006/metadata/properties"/>
    <ds:schemaRef ds:uri="http://purl.org/dc/dcmitype/"/>
    <ds:schemaRef ds:uri="4844a565-d903-479b-8f5d-e7c9db0d7e7d"/>
  </ds:schemaRefs>
</ds:datastoreItem>
</file>

<file path=customXml/itemProps3.xml><?xml version="1.0" encoding="utf-8"?>
<ds:datastoreItem xmlns:ds="http://schemas.openxmlformats.org/officeDocument/2006/customXml" ds:itemID="{DC7C2CCE-4986-48DF-95D6-1E32E0FA735B}"/>
</file>

<file path=customXml/itemProps4.xml><?xml version="1.0" encoding="utf-8"?>
<ds:datastoreItem xmlns:ds="http://schemas.openxmlformats.org/officeDocument/2006/customXml" ds:itemID="{7DAA9B2C-CED9-47A4-97C7-A758FC67926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Collins</dc:creator>
  <cp:keywords/>
  <dc:description/>
  <cp:lastModifiedBy>Philip Blake</cp:lastModifiedBy>
  <cp:revision>36</cp:revision>
  <dcterms:created xsi:type="dcterms:W3CDTF">2021-09-21T11:00:00Z</dcterms:created>
  <dcterms:modified xsi:type="dcterms:W3CDTF">2023-11-09T15:42:05Z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