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0C25" w:rsidR="00453D2C" w:rsidP="005E0C25" w:rsidRDefault="00453D2C" w14:paraId="6BC664F5" w14:textId="77777777">
      <w:pPr>
        <w:pStyle w:val="Title"/>
        <w:snapToGrid w:val="0"/>
        <w:spacing w:after="120"/>
        <w:contextualSpacing w:val="0"/>
        <w:rPr>
          <w:rFonts w:ascii="Arial" w:hAnsi="Arial" w:cs="Arial"/>
          <w:b/>
          <w:bCs/>
          <w:sz w:val="32"/>
          <w:szCs w:val="32"/>
        </w:rPr>
      </w:pPr>
      <w:r w:rsidRPr="005E0C25">
        <w:rPr>
          <w:rFonts w:ascii="Arial" w:hAnsi="Arial" w:cs="Arial"/>
          <w:b/>
          <w:bCs/>
          <w:sz w:val="32"/>
          <w:szCs w:val="32"/>
        </w:rPr>
        <w:t>Annex A: University Curriculum Policy</w:t>
      </w:r>
    </w:p>
    <w:p w:rsidR="005E0C25" w:rsidP="005E0C25" w:rsidRDefault="005E0C25" w14:paraId="293958E7" w14:textId="77777777">
      <w:pPr>
        <w:spacing w:after="120"/>
        <w:ind w:left="0" w:firstLine="0"/>
        <w:jc w:val="left"/>
        <w:rPr>
          <w:sz w:val="24"/>
          <w:szCs w:val="24"/>
        </w:rPr>
      </w:pPr>
    </w:p>
    <w:p w:rsidR="00453D2C" w:rsidP="005E0C25" w:rsidRDefault="00453D2C" w14:paraId="5A021AD5" w14:textId="1DAA4C2F">
      <w:pPr>
        <w:spacing w:after="120"/>
        <w:ind w:left="0" w:firstLine="0"/>
        <w:jc w:val="left"/>
        <w:rPr>
          <w:sz w:val="24"/>
          <w:szCs w:val="24"/>
        </w:rPr>
      </w:pPr>
      <w:r w:rsidRPr="003613BC">
        <w:rPr>
          <w:sz w:val="24"/>
          <w:szCs w:val="24"/>
        </w:rPr>
        <w:t>Note where the text states ‘School’ this should be understood to refer to ‘School’ or ’Department’ at the sub-divisional level, as appropriate.</w:t>
      </w:r>
    </w:p>
    <w:p w:rsidRPr="003613BC" w:rsidR="005E0C25" w:rsidP="00A54C0A" w:rsidRDefault="005E0C25" w14:paraId="131B697B" w14:textId="77777777">
      <w:pPr>
        <w:spacing w:after="120"/>
        <w:ind w:left="993" w:firstLine="0"/>
        <w:jc w:val="left"/>
        <w:rPr>
          <w:sz w:val="24"/>
          <w:szCs w:val="24"/>
        </w:rPr>
      </w:pPr>
    </w:p>
    <w:p w:rsidRPr="00453D2C" w:rsidR="005E0C25" w:rsidP="005E0C25" w:rsidRDefault="005E0C25" w14:paraId="0DD4E953" w14:textId="77777777">
      <w:pPr>
        <w:pStyle w:val="Heading1"/>
      </w:pPr>
      <w:r w:rsidRPr="00453D2C">
        <w:t xml:space="preserve">Overview </w:t>
      </w:r>
    </w:p>
    <w:p w:rsidR="005E0C25" w:rsidP="005E0C25" w:rsidRDefault="00453D2C" w14:paraId="49D413D3" w14:textId="50035FBD">
      <w:pPr>
        <w:ind w:left="567" w:firstLine="0"/>
        <w:jc w:val="left"/>
        <w:rPr>
          <w:sz w:val="24"/>
          <w:szCs w:val="24"/>
        </w:rPr>
      </w:pPr>
      <w:r w:rsidRPr="003613BC">
        <w:rPr>
          <w:sz w:val="24"/>
          <w:szCs w:val="24"/>
        </w:rPr>
        <w:t xml:space="preserve">Curriculum development involves the effort of all the University's members to create, sustain and change modules, </w:t>
      </w:r>
      <w:r w:rsidR="005E0C25">
        <w:rPr>
          <w:sz w:val="24"/>
          <w:szCs w:val="24"/>
        </w:rPr>
        <w:t xml:space="preserve">courses </w:t>
      </w:r>
      <w:r w:rsidRPr="003613BC">
        <w:rPr>
          <w:sz w:val="24"/>
          <w:szCs w:val="24"/>
        </w:rPr>
        <w:t>of study and other activities supporting learning and skills development. Schools and Divisions, and central services that support teaching and curriculum development initiatives</w:t>
      </w:r>
      <w:r w:rsidR="005E0C25">
        <w:rPr>
          <w:sz w:val="24"/>
          <w:szCs w:val="24"/>
        </w:rPr>
        <w:t>,</w:t>
      </w:r>
      <w:r w:rsidRPr="003613BC">
        <w:rPr>
          <w:sz w:val="24"/>
          <w:szCs w:val="24"/>
        </w:rPr>
        <w:t xml:space="preserve"> should all nourish proposals which will </w:t>
      </w:r>
      <w:proofErr w:type="spellStart"/>
      <w:r w:rsidRPr="003613BC">
        <w:rPr>
          <w:sz w:val="24"/>
          <w:szCs w:val="24"/>
        </w:rPr>
        <w:t>effect</w:t>
      </w:r>
      <w:proofErr w:type="spellEnd"/>
      <w:r w:rsidRPr="003613BC">
        <w:rPr>
          <w:sz w:val="24"/>
          <w:szCs w:val="24"/>
        </w:rPr>
        <w:t xml:space="preserve"> the principles of the University's curriculum policy. </w:t>
      </w:r>
    </w:p>
    <w:p w:rsidR="005E0C25" w:rsidP="005E0C25" w:rsidRDefault="005E0C25" w14:paraId="4B33CFD9" w14:textId="2C7CB366">
      <w:pPr>
        <w:ind w:left="567" w:firstLine="0"/>
        <w:jc w:val="left"/>
        <w:rPr>
          <w:sz w:val="24"/>
          <w:szCs w:val="24"/>
        </w:rPr>
      </w:pPr>
    </w:p>
    <w:p w:rsidR="005E0C25" w:rsidP="005E0C25" w:rsidRDefault="005E0C25" w14:paraId="46FB0C72" w14:textId="38231C2B">
      <w:pPr>
        <w:pStyle w:val="Heading1"/>
      </w:pPr>
      <w:r>
        <w:t>Requirements</w:t>
      </w:r>
    </w:p>
    <w:p w:rsidRPr="003613BC" w:rsidR="00453D2C" w:rsidP="005E0C25" w:rsidRDefault="00453D2C" w14:paraId="4182CD95" w14:textId="68096350">
      <w:pPr>
        <w:ind w:left="567" w:firstLine="0"/>
        <w:jc w:val="left"/>
        <w:rPr>
          <w:sz w:val="24"/>
          <w:szCs w:val="24"/>
        </w:rPr>
      </w:pPr>
      <w:r w:rsidRPr="003613BC">
        <w:rPr>
          <w:sz w:val="24"/>
          <w:szCs w:val="24"/>
        </w:rPr>
        <w:t>In pursuance of this policy, the University's courses of study and modules should:</w:t>
      </w:r>
    </w:p>
    <w:p w:rsidRPr="003613BC" w:rsidR="00453D2C" w:rsidP="005E0C25" w:rsidRDefault="00453D2C" w14:paraId="2123E741" w14:textId="338670EE">
      <w:pPr>
        <w:numPr>
          <w:ilvl w:val="0"/>
          <w:numId w:val="3"/>
        </w:numPr>
        <w:tabs>
          <w:tab w:val="clear" w:pos="576"/>
          <w:tab w:val="num" w:pos="993"/>
        </w:tabs>
        <w:snapToGrid w:val="0"/>
        <w:spacing w:after="120" w:line="240" w:lineRule="auto"/>
        <w:ind w:left="993" w:right="0" w:hanging="426"/>
        <w:jc w:val="left"/>
        <w:rPr>
          <w:sz w:val="24"/>
          <w:szCs w:val="24"/>
        </w:rPr>
      </w:pPr>
      <w:r w:rsidRPr="003613BC">
        <w:rPr>
          <w:sz w:val="24"/>
          <w:szCs w:val="24"/>
        </w:rPr>
        <w:t>offer all students taking University-provided modules, irrespective of mode of enrolment, employment status, award or credit and</w:t>
      </w:r>
      <w:r w:rsidRPr="003613BC">
        <w:rPr>
          <w:i/>
          <w:sz w:val="24"/>
          <w:szCs w:val="24"/>
        </w:rPr>
        <w:t xml:space="preserve"> </w:t>
      </w:r>
      <w:r w:rsidRPr="003613BC">
        <w:rPr>
          <w:sz w:val="24"/>
          <w:szCs w:val="24"/>
        </w:rPr>
        <w:t xml:space="preserve">without regard to gender, ethnicity or disability, educational opportunities appropriate to an institution of higher education, with the support </w:t>
      </w:r>
      <w:r w:rsidR="002533AA">
        <w:rPr>
          <w:sz w:val="24"/>
          <w:szCs w:val="24"/>
        </w:rPr>
        <w:t xml:space="preserve">that </w:t>
      </w:r>
      <w:r w:rsidRPr="003613BC">
        <w:rPr>
          <w:sz w:val="24"/>
          <w:szCs w:val="24"/>
        </w:rPr>
        <w:t>the students need in order to realise those opportunities;</w:t>
      </w:r>
    </w:p>
    <w:p w:rsidRPr="003613BC" w:rsidR="00453D2C" w:rsidP="005E0C25" w:rsidRDefault="00453D2C" w14:paraId="297BD037" w14:textId="77777777">
      <w:pPr>
        <w:numPr>
          <w:ilvl w:val="0"/>
          <w:numId w:val="3"/>
        </w:numPr>
        <w:tabs>
          <w:tab w:val="clear" w:pos="576"/>
          <w:tab w:val="num" w:pos="993"/>
        </w:tabs>
        <w:snapToGrid w:val="0"/>
        <w:spacing w:after="120" w:line="240" w:lineRule="auto"/>
        <w:ind w:left="993" w:right="0" w:hanging="426"/>
        <w:jc w:val="left"/>
        <w:rPr>
          <w:sz w:val="24"/>
          <w:szCs w:val="24"/>
        </w:rPr>
      </w:pPr>
      <w:r w:rsidRPr="003613BC">
        <w:rPr>
          <w:sz w:val="24"/>
          <w:szCs w:val="24"/>
        </w:rPr>
        <w:t>offer courses of study and modules congruent with the University mission and plans;</w:t>
      </w:r>
    </w:p>
    <w:p w:rsidRPr="003613BC" w:rsidR="00453D2C" w:rsidP="005E0C25" w:rsidRDefault="00453D2C" w14:paraId="3B8211EE" w14:textId="77777777">
      <w:pPr>
        <w:numPr>
          <w:ilvl w:val="0"/>
          <w:numId w:val="3"/>
        </w:numPr>
        <w:tabs>
          <w:tab w:val="clear" w:pos="576"/>
          <w:tab w:val="num" w:pos="993"/>
        </w:tabs>
        <w:snapToGrid w:val="0"/>
        <w:spacing w:after="120" w:line="240" w:lineRule="auto"/>
        <w:ind w:left="993" w:right="0" w:hanging="426"/>
        <w:jc w:val="left"/>
        <w:rPr>
          <w:sz w:val="24"/>
          <w:szCs w:val="24"/>
        </w:rPr>
      </w:pPr>
      <w:r w:rsidRPr="003613BC">
        <w:rPr>
          <w:sz w:val="24"/>
          <w:szCs w:val="24"/>
        </w:rPr>
        <w:t>provide a wide range of entry levels for courses and facilitate progression through levels of achievement;</w:t>
      </w:r>
    </w:p>
    <w:p w:rsidRPr="003613BC" w:rsidR="00453D2C" w:rsidP="005E0C25" w:rsidRDefault="00453D2C" w14:paraId="1E476549" w14:textId="77777777">
      <w:pPr>
        <w:numPr>
          <w:ilvl w:val="0"/>
          <w:numId w:val="3"/>
        </w:numPr>
        <w:tabs>
          <w:tab w:val="clear" w:pos="576"/>
          <w:tab w:val="num" w:pos="993"/>
        </w:tabs>
        <w:snapToGrid w:val="0"/>
        <w:spacing w:after="120" w:line="240" w:lineRule="auto"/>
        <w:ind w:left="993" w:right="0" w:hanging="426"/>
        <w:jc w:val="left"/>
        <w:rPr>
          <w:sz w:val="24"/>
          <w:szCs w:val="24"/>
        </w:rPr>
      </w:pPr>
      <w:r w:rsidRPr="003613BC">
        <w:rPr>
          <w:sz w:val="24"/>
          <w:szCs w:val="24"/>
        </w:rPr>
        <w:t>encompass a broad range of subjects, with a mix of appropriate compulsory and optional modules;</w:t>
      </w:r>
    </w:p>
    <w:p w:rsidRPr="003613BC" w:rsidR="00453D2C" w:rsidP="005E0C25" w:rsidRDefault="00453D2C" w14:paraId="4CB9FF60" w14:textId="77777777">
      <w:pPr>
        <w:numPr>
          <w:ilvl w:val="0"/>
          <w:numId w:val="3"/>
        </w:numPr>
        <w:tabs>
          <w:tab w:val="clear" w:pos="576"/>
          <w:tab w:val="num" w:pos="993"/>
        </w:tabs>
        <w:snapToGrid w:val="0"/>
        <w:spacing w:after="120" w:line="240" w:lineRule="auto"/>
        <w:ind w:left="993" w:right="0" w:hanging="426"/>
        <w:jc w:val="left"/>
        <w:rPr>
          <w:sz w:val="24"/>
          <w:szCs w:val="24"/>
        </w:rPr>
      </w:pPr>
      <w:r w:rsidRPr="003613BC">
        <w:rPr>
          <w:sz w:val="24"/>
          <w:szCs w:val="24"/>
        </w:rPr>
        <w:t>offer an appropriate range of methods of teaching and learning related to the objectives of each module, which, as far as can be reasonably anticipated, do not present any non-justifiable disadvantage to students with disabilities;</w:t>
      </w:r>
    </w:p>
    <w:p w:rsidRPr="003613BC" w:rsidR="00453D2C" w:rsidP="002533AA" w:rsidRDefault="00453D2C" w14:paraId="50AB70DB" w14:textId="77777777">
      <w:pPr>
        <w:numPr>
          <w:ilvl w:val="0"/>
          <w:numId w:val="3"/>
        </w:numPr>
        <w:tabs>
          <w:tab w:val="clear" w:pos="576"/>
          <w:tab w:val="num" w:pos="993"/>
        </w:tabs>
        <w:spacing w:after="0" w:line="240" w:lineRule="auto"/>
        <w:ind w:left="993" w:right="0" w:hanging="426"/>
        <w:jc w:val="left"/>
        <w:rPr>
          <w:sz w:val="24"/>
          <w:szCs w:val="24"/>
        </w:rPr>
      </w:pPr>
      <w:r w:rsidRPr="003613BC">
        <w:rPr>
          <w:sz w:val="24"/>
          <w:szCs w:val="24"/>
        </w:rPr>
        <w:t>promote the development of knowledge with critical judgement, understanding and ability;</w:t>
      </w:r>
    </w:p>
    <w:p w:rsidRPr="003613BC" w:rsidR="00453D2C" w:rsidP="002533AA" w:rsidRDefault="00453D2C" w14:paraId="3CFB0BB9" w14:textId="77777777">
      <w:pPr>
        <w:numPr>
          <w:ilvl w:val="0"/>
          <w:numId w:val="3"/>
        </w:numPr>
        <w:tabs>
          <w:tab w:val="clear" w:pos="576"/>
          <w:tab w:val="num" w:pos="993"/>
        </w:tabs>
        <w:spacing w:after="0" w:line="240" w:lineRule="auto"/>
        <w:ind w:left="993" w:right="0" w:hanging="426"/>
        <w:jc w:val="left"/>
        <w:rPr>
          <w:sz w:val="24"/>
          <w:szCs w:val="24"/>
        </w:rPr>
      </w:pPr>
      <w:r w:rsidRPr="003613BC">
        <w:rPr>
          <w:sz w:val="24"/>
          <w:szCs w:val="24"/>
        </w:rPr>
        <w:t>be of high quality and assessed by standards which are widely communicated;</w:t>
      </w:r>
    </w:p>
    <w:p w:rsidRPr="003613BC" w:rsidR="00453D2C" w:rsidP="00A54C0A" w:rsidRDefault="00453D2C" w14:paraId="05FD9499" w14:textId="77777777">
      <w:pPr>
        <w:tabs>
          <w:tab w:val="left" w:pos="516"/>
          <w:tab w:val="num" w:pos="993"/>
          <w:tab w:val="left" w:pos="9449"/>
        </w:tabs>
        <w:ind w:left="993" w:hanging="709"/>
        <w:jc w:val="left"/>
        <w:rPr>
          <w:sz w:val="24"/>
          <w:szCs w:val="24"/>
        </w:rPr>
      </w:pPr>
    </w:p>
    <w:p w:rsidRPr="003613BC" w:rsidR="00453D2C" w:rsidP="002533AA" w:rsidRDefault="00453D2C" w14:paraId="6C3A63A2" w14:textId="77777777">
      <w:pPr>
        <w:numPr>
          <w:ilvl w:val="0"/>
          <w:numId w:val="3"/>
        </w:numPr>
        <w:tabs>
          <w:tab w:val="clear" w:pos="576"/>
          <w:tab w:val="num" w:pos="993"/>
        </w:tabs>
        <w:snapToGrid w:val="0"/>
        <w:spacing w:after="120" w:line="240" w:lineRule="auto"/>
        <w:ind w:left="993" w:right="0" w:hanging="426"/>
        <w:jc w:val="left"/>
        <w:rPr>
          <w:sz w:val="24"/>
          <w:szCs w:val="24"/>
        </w:rPr>
      </w:pPr>
      <w:r w:rsidRPr="003613BC">
        <w:rPr>
          <w:sz w:val="24"/>
          <w:szCs w:val="24"/>
        </w:rPr>
        <w:lastRenderedPageBreak/>
        <w:t>be informed by good practice elsewhere in the University and higher education, by developments in schools and colleges from which students are drawn, and by the needs of the community;</w:t>
      </w:r>
    </w:p>
    <w:p w:rsidRPr="003613BC" w:rsidR="00453D2C" w:rsidP="002533AA" w:rsidRDefault="00453D2C" w14:paraId="6E411CCD" w14:textId="15DCA8D0">
      <w:pPr>
        <w:numPr>
          <w:ilvl w:val="0"/>
          <w:numId w:val="3"/>
        </w:numPr>
        <w:tabs>
          <w:tab w:val="clear" w:pos="576"/>
          <w:tab w:val="num" w:pos="993"/>
        </w:tabs>
        <w:snapToGrid w:val="0"/>
        <w:spacing w:after="120" w:line="240" w:lineRule="auto"/>
        <w:ind w:left="993" w:right="0" w:hanging="426"/>
        <w:jc w:val="left"/>
        <w:rPr>
          <w:sz w:val="24"/>
          <w:szCs w:val="24"/>
        </w:rPr>
      </w:pPr>
      <w:r w:rsidRPr="003613BC">
        <w:rPr>
          <w:sz w:val="24"/>
          <w:szCs w:val="24"/>
        </w:rPr>
        <w:t xml:space="preserve">be informed as appropriate by the requirements of external agencies such as </w:t>
      </w:r>
      <w:hyperlink w:history="1" w:anchor="annex-s" r:id="rId10">
        <w:r w:rsidRPr="00AE262F">
          <w:rPr>
            <w:rStyle w:val="Hyperlink"/>
            <w:sz w:val="24"/>
            <w:szCs w:val="24"/>
          </w:rPr>
          <w:t>Professional Statutory and Regulatory Bodies (PSRBs) and QAA Benchmark Statements</w:t>
        </w:r>
      </w:hyperlink>
      <w:r w:rsidRPr="003613BC">
        <w:rPr>
          <w:sz w:val="24"/>
          <w:szCs w:val="24"/>
        </w:rPr>
        <w:t xml:space="preserve">; </w:t>
      </w:r>
    </w:p>
    <w:p w:rsidRPr="003613BC" w:rsidR="00453D2C" w:rsidP="002533AA" w:rsidRDefault="00453D2C" w14:paraId="7C6046F8" w14:textId="77777777">
      <w:pPr>
        <w:numPr>
          <w:ilvl w:val="0"/>
          <w:numId w:val="3"/>
        </w:numPr>
        <w:tabs>
          <w:tab w:val="clear" w:pos="576"/>
          <w:tab w:val="num" w:pos="993"/>
        </w:tabs>
        <w:snapToGrid w:val="0"/>
        <w:spacing w:after="120" w:line="240" w:lineRule="auto"/>
        <w:ind w:left="993" w:right="0" w:hanging="426"/>
        <w:jc w:val="left"/>
        <w:rPr>
          <w:sz w:val="24"/>
          <w:szCs w:val="24"/>
        </w:rPr>
      </w:pPr>
      <w:r w:rsidRPr="003613BC">
        <w:rPr>
          <w:sz w:val="24"/>
          <w:szCs w:val="24"/>
        </w:rPr>
        <w:t>lead to qualifications at appropriate levels of competence and achievement, including appropriate high level core and transferable skills; and</w:t>
      </w:r>
    </w:p>
    <w:p w:rsidRPr="003613BC" w:rsidR="00453D2C" w:rsidP="002533AA" w:rsidRDefault="00453D2C" w14:paraId="65117F13" w14:textId="77777777">
      <w:pPr>
        <w:numPr>
          <w:ilvl w:val="0"/>
          <w:numId w:val="3"/>
        </w:numPr>
        <w:tabs>
          <w:tab w:val="clear" w:pos="576"/>
          <w:tab w:val="num" w:pos="993"/>
        </w:tabs>
        <w:snapToGrid w:val="0"/>
        <w:spacing w:after="120" w:line="240" w:lineRule="auto"/>
        <w:ind w:left="993" w:right="0" w:hanging="426"/>
        <w:jc w:val="left"/>
        <w:rPr>
          <w:sz w:val="24"/>
          <w:szCs w:val="24"/>
        </w:rPr>
      </w:pPr>
      <w:r w:rsidRPr="003613BC">
        <w:rPr>
          <w:sz w:val="24"/>
          <w:szCs w:val="24"/>
        </w:rPr>
        <w:t>be relevant to external opportunities for graduates, including employment, appropriate professional accreditation and further study.</w:t>
      </w:r>
    </w:p>
    <w:p w:rsidRPr="003613BC" w:rsidR="00453D2C" w:rsidP="002533AA" w:rsidRDefault="00453D2C" w14:paraId="4D3E2F5F" w14:textId="1926E0CF">
      <w:pPr>
        <w:snapToGrid w:val="0"/>
        <w:spacing w:after="120" w:line="240" w:lineRule="auto"/>
        <w:ind w:left="567" w:firstLine="0"/>
        <w:jc w:val="left"/>
        <w:rPr>
          <w:sz w:val="24"/>
          <w:szCs w:val="24"/>
          <w:lang w:val="en-US"/>
        </w:rPr>
      </w:pPr>
      <w:r w:rsidRPr="003613BC">
        <w:rPr>
          <w:sz w:val="24"/>
          <w:szCs w:val="24"/>
        </w:rPr>
        <w:t xml:space="preserve">This policy should be brought to bear and be seen to be brought to bear in the creation and development of modules and </w:t>
      </w:r>
      <w:r w:rsidR="005E0C25">
        <w:rPr>
          <w:sz w:val="24"/>
          <w:szCs w:val="24"/>
        </w:rPr>
        <w:t xml:space="preserve">courses </w:t>
      </w:r>
      <w:r w:rsidRPr="003613BC">
        <w:rPr>
          <w:sz w:val="24"/>
          <w:szCs w:val="24"/>
        </w:rPr>
        <w:t>of study and be used in the process of validation, monitoring and evaluation, and review.</w:t>
      </w:r>
    </w:p>
    <w:p w:rsidRPr="003613BC" w:rsidR="00453D2C" w:rsidP="00A54C0A" w:rsidRDefault="00453D2C" w14:paraId="65AC3B2F" w14:textId="77777777">
      <w:pPr>
        <w:jc w:val="left"/>
        <w:rPr>
          <w:sz w:val="24"/>
          <w:szCs w:val="24"/>
          <w:lang w:val="en-US"/>
        </w:rPr>
      </w:pPr>
    </w:p>
    <w:p w:rsidRPr="00146B68" w:rsidR="002750C2" w:rsidP="00A54C0A" w:rsidRDefault="002750C2" w14:paraId="2F92BD8A" w14:textId="77777777">
      <w:pPr>
        <w:jc w:val="left"/>
      </w:pPr>
    </w:p>
    <w:sectPr w:rsidRPr="00146B68" w:rsidR="002750C2" w:rsidSect="002750C2">
      <w:headerReference w:type="default" r:id="rId11"/>
      <w:footerReference w:type="default" r:id="rId12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35C0" w:rsidP="002750C2" w:rsidRDefault="000235C0" w14:paraId="1EC7185D" w14:textId="77777777">
      <w:pPr>
        <w:spacing w:after="0" w:line="240" w:lineRule="auto"/>
      </w:pPr>
      <w:r>
        <w:separator/>
      </w:r>
    </w:p>
  </w:endnote>
  <w:endnote w:type="continuationSeparator" w:id="0">
    <w:p w:rsidR="000235C0" w:rsidP="002750C2" w:rsidRDefault="000235C0" w14:paraId="7C1BD02A" w14:textId="77777777">
      <w:pPr>
        <w:spacing w:after="0" w:line="240" w:lineRule="auto"/>
      </w:pPr>
      <w:r>
        <w:continuationSeparator/>
      </w:r>
    </w:p>
  </w:endnote>
  <w:endnote w:type="continuationNotice" w:id="1">
    <w:p w:rsidR="000D794B" w:rsidRDefault="000D794B" w14:paraId="4090596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F7E36" w:rsidRDefault="002750C2" w14:paraId="5C2B5CAF" w14:textId="77777777">
    <w:pPr>
      <w:pStyle w:val="Header"/>
      <w:jc w:val="left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3F0998" w:rsidP="002F7E36" w:rsidRDefault="003F0998" w14:paraId="4FB32E51" w14:textId="71D549A8">
    <w:pPr>
      <w:pStyle w:val="Header"/>
      <w:jc w:val="left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>Applies to: 202</w:t>
    </w:r>
    <w:r w:rsidR="002C64F8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2C64F8">
      <w:rPr>
        <w:rStyle w:val="eop"/>
        <w:sz w:val="20"/>
        <w:szCs w:val="20"/>
      </w:rPr>
      <w:t>3</w:t>
    </w:r>
  </w:p>
  <w:p w:rsidR="002F7E36" w:rsidP="002F7E36" w:rsidRDefault="002750C2" w14:paraId="068F95BF" w14:textId="77777777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0E8813FF" w:rsidRDefault="002750C2" w14:paraId="4D7070A4" w14:textId="228A6F35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</w:rPr>
    </w:pPr>
    <w:r w:rsidRPr="0E8813FF" w:rsidR="0E8813FF">
      <w:rPr>
        <w:rStyle w:val="normaltextrun"/>
        <w:rFonts w:ascii="Arial" w:hAnsi="Arial" w:cs="Arial"/>
        <w:sz w:val="20"/>
        <w:szCs w:val="20"/>
      </w:rPr>
      <w:t xml:space="preserve">Last Revised: </w:t>
    </w:r>
    <w:r w:rsidRPr="0E8813FF" w:rsidR="0E8813FF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0E8813FF" w:rsidRDefault="002750C2" w14:paraId="6D9E1C84" w14:textId="0C3AED0B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0E8813FF" w:rsidR="0E8813FF">
      <w:rPr>
        <w:rStyle w:val="normaltextrun"/>
        <w:rFonts w:ascii="Arial" w:hAnsi="Arial" w:cs="Arial"/>
        <w:sz w:val="20"/>
        <w:szCs w:val="20"/>
      </w:rPr>
      <w:t>Next review: September 202</w:t>
    </w:r>
    <w:r w:rsidRPr="0E8813FF" w:rsidR="0E8813FF">
      <w:rPr>
        <w:rStyle w:val="normaltextrun"/>
        <w:rFonts w:ascii="Arial" w:hAnsi="Arial" w:cs="Arial"/>
        <w:sz w:val="20"/>
        <w:szCs w:val="20"/>
      </w:rPr>
      <w:t>4</w:t>
    </w:r>
  </w:p>
  <w:p w:rsidR="002750C2" w:rsidP="002750C2" w:rsidRDefault="002750C2" w14:paraId="65B8E518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EE7692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EE7692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35C0" w:rsidP="002750C2" w:rsidRDefault="000235C0" w14:paraId="5129F611" w14:textId="77777777">
      <w:pPr>
        <w:spacing w:after="0" w:line="240" w:lineRule="auto"/>
      </w:pPr>
      <w:r>
        <w:separator/>
      </w:r>
    </w:p>
  </w:footnote>
  <w:footnote w:type="continuationSeparator" w:id="0">
    <w:p w:rsidR="000235C0" w:rsidP="002750C2" w:rsidRDefault="000235C0" w14:paraId="78B56F79" w14:textId="77777777">
      <w:pPr>
        <w:spacing w:after="0" w:line="240" w:lineRule="auto"/>
      </w:pPr>
      <w:r>
        <w:continuationSeparator/>
      </w:r>
    </w:p>
  </w:footnote>
  <w:footnote w:type="continuationNotice" w:id="1">
    <w:p w:rsidR="000D794B" w:rsidRDefault="000D794B" w14:paraId="340A4F7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F20D09" w14:paraId="69DD7280" w14:textId="6B45421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4E0E4" wp14:editId="6DF6B37F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516BB0" w14:paraId="6F7E88AA" w14:textId="448ED141">
    <w:pPr>
      <w:pStyle w:val="Header"/>
      <w:ind w:right="284"/>
      <w:jc w:val="center"/>
      <w:rPr>
        <w:b/>
        <w:sz w:val="24"/>
      </w:rPr>
    </w:pPr>
    <w:r>
      <w:rPr>
        <w:b/>
        <w:sz w:val="24"/>
      </w:rPr>
      <w:t xml:space="preserve">                </w:t>
    </w:r>
    <w:r w:rsidRPr="002750C2" w:rsidR="002750C2">
      <w:rPr>
        <w:b/>
        <w:sz w:val="24"/>
      </w:rPr>
      <w:t xml:space="preserve">Code of Practice for Quality Assurance of </w:t>
    </w:r>
    <w:r w:rsidR="00EE7692">
      <w:rPr>
        <w:b/>
        <w:sz w:val="24"/>
      </w:rPr>
      <w:t xml:space="preserve">Taught </w:t>
    </w:r>
    <w:r w:rsidRPr="002750C2" w:rsidR="002750C2">
      <w:rPr>
        <w:b/>
        <w:sz w:val="24"/>
      </w:rPr>
      <w:t>Courses of Study</w:t>
    </w:r>
  </w:p>
  <w:p w:rsidR="002750C2" w:rsidRDefault="002750C2" w14:paraId="644DDEB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5CEF"/>
    <w:multiLevelType w:val="multilevel"/>
    <w:tmpl w:val="2034BD7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hint="default" w:ascii="Symbol" w:hAnsi="Symbol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 w:ascii="Plantin" w:hAnsi="Planti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hint="default" w:ascii="Plantin" w:hAnsi="Plantin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 w:ascii="Plantin" w:hAnsi="Planti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6234DB"/>
    <w:multiLevelType w:val="multilevel"/>
    <w:tmpl w:val="9FC03766"/>
    <w:lvl w:ilvl="0">
      <w:start w:val="1"/>
      <w:numFmt w:val="decimal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7B413EE2"/>
    <w:multiLevelType w:val="hybridMultilevel"/>
    <w:tmpl w:val="7DE4F73A"/>
    <w:lvl w:ilvl="0" w:tplc="2362BA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1762869520">
    <w:abstractNumId w:val="1"/>
  </w:num>
  <w:num w:numId="2" w16cid:durableId="1461726443">
    <w:abstractNumId w:val="3"/>
  </w:num>
  <w:num w:numId="3" w16cid:durableId="199051551">
    <w:abstractNumId w:val="0"/>
  </w:num>
  <w:num w:numId="4" w16cid:durableId="2144537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235C0"/>
    <w:rsid w:val="000D794B"/>
    <w:rsid w:val="00146B68"/>
    <w:rsid w:val="002533AA"/>
    <w:rsid w:val="002750C2"/>
    <w:rsid w:val="002C64F8"/>
    <w:rsid w:val="002E2660"/>
    <w:rsid w:val="002F7E36"/>
    <w:rsid w:val="003F0998"/>
    <w:rsid w:val="004111BF"/>
    <w:rsid w:val="00453D2C"/>
    <w:rsid w:val="00516BB0"/>
    <w:rsid w:val="005A1DB1"/>
    <w:rsid w:val="005E0C25"/>
    <w:rsid w:val="006942C1"/>
    <w:rsid w:val="006F60A4"/>
    <w:rsid w:val="00A54C0A"/>
    <w:rsid w:val="00A61FE2"/>
    <w:rsid w:val="00AB6796"/>
    <w:rsid w:val="00AE262F"/>
    <w:rsid w:val="00DE2EFA"/>
    <w:rsid w:val="00EE7692"/>
    <w:rsid w:val="00F20D09"/>
    <w:rsid w:val="0E8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C5852D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E36"/>
    <w:pPr>
      <w:spacing w:after="113" w:line="249" w:lineRule="auto"/>
      <w:ind w:left="862" w:right="1" w:hanging="862"/>
      <w:jc w:val="both"/>
    </w:pPr>
    <w:rPr>
      <w:rFonts w:ascii="Arial" w:hAnsi="Arial"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0C25"/>
    <w:pPr>
      <w:keepNext/>
      <w:keepLines/>
      <w:numPr>
        <w:numId w:val="4"/>
      </w:numPr>
      <w:tabs>
        <w:tab w:val="left" w:pos="567"/>
      </w:tabs>
      <w:snapToGrid w:val="0"/>
      <w:spacing w:after="120" w:line="240" w:lineRule="auto"/>
      <w:ind w:left="993" w:right="0" w:hanging="993"/>
      <w:jc w:val="left"/>
      <w:outlineLvl w:val="0"/>
    </w:pPr>
    <w:rPr>
      <w:rFonts w:eastAsiaTheme="majorEastAsia"/>
      <w:b/>
      <w:bCs/>
      <w:color w:val="000000" w:themeColor="text1"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E0C25"/>
    <w:rPr>
      <w:rFonts w:ascii="Arial" w:hAnsi="Arial" w:cs="Arial" w:eastAsiaTheme="majorEastAsia"/>
      <w:b/>
      <w:bCs/>
      <w:color w:val="000000" w:themeColor="text1"/>
      <w:sz w:val="24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D2C"/>
    <w:pPr>
      <w:spacing w:after="0" w:line="240" w:lineRule="auto"/>
      <w:ind w:left="720" w:right="0" w:firstLine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53D2C"/>
    <w:pPr>
      <w:spacing w:after="0" w:line="240" w:lineRule="auto"/>
      <w:ind w:left="0" w:right="0" w:firstLine="0"/>
      <w:contextualSpacing/>
      <w:jc w:val="left"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453D2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E26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kent.ac.uk/education/regulatory-framework/codes-of-practice-for-taught-course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832ABC05-D9A8-4CFE-BD93-A5DAD939F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93394-889A-446A-90BA-EAEB2CC20C5C}"/>
</file>

<file path=customXml/itemProps3.xml><?xml version="1.0" encoding="utf-8"?>
<ds:datastoreItem xmlns:ds="http://schemas.openxmlformats.org/officeDocument/2006/customXml" ds:itemID="{C6D39118-95AC-4393-BFE3-61C2FB3ADC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2950014-329e-4a27-bc61-1434010e9bc4"/>
    <ds:schemaRef ds:uri="08b17af1-5e59-4af2-a04a-b30e1df0a2aa"/>
    <ds:schemaRef ds:uri="http://www.w3.org/XML/1998/namespace"/>
    <ds:schemaRef ds:uri="4844a565-d903-479b-8f5d-e7c9db0d7e7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12</cp:revision>
  <dcterms:created xsi:type="dcterms:W3CDTF">2021-09-22T07:42:00Z</dcterms:created>
  <dcterms:modified xsi:type="dcterms:W3CDTF">2023-11-09T15:39:57Z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