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27B6" w:rsidR="00113233" w:rsidP="00B127B6" w:rsidRDefault="00113233" w14:paraId="2CBFD627" w14:textId="77777777">
      <w:pPr>
        <w:pStyle w:val="Title"/>
        <w:rPr>
          <w:b/>
        </w:rPr>
      </w:pPr>
      <w:r w:rsidRPr="00B127B6">
        <w:rPr>
          <w:b/>
        </w:rPr>
        <w:t>Annex P: Research Student Teachers and Demonstrators</w:t>
      </w:r>
    </w:p>
    <w:p w:rsidR="00113233" w:rsidP="00B127B6" w:rsidRDefault="00113233" w14:paraId="5687558E" w14:textId="0C218231">
      <w:pPr>
        <w:ind w:left="567" w:right="384" w:hanging="567"/>
        <w:rPr>
          <w:b/>
          <w:szCs w:val="24"/>
        </w:rPr>
      </w:pPr>
    </w:p>
    <w:p w:rsidR="00F06ED2" w:rsidP="00B127B6" w:rsidRDefault="00F06ED2" w14:paraId="7C8C3F47" w14:textId="58A1A7D5">
      <w:pPr>
        <w:ind w:left="567" w:right="384" w:hanging="567"/>
        <w:rPr>
          <w:b/>
          <w:szCs w:val="24"/>
        </w:rPr>
      </w:pPr>
      <w:r>
        <w:rPr>
          <w:b/>
          <w:szCs w:val="24"/>
        </w:rPr>
        <w:t>Contents</w:t>
      </w:r>
    </w:p>
    <w:p w:rsidR="00F06ED2" w:rsidP="00F06ED2" w:rsidRDefault="00F06ED2" w14:paraId="31839B44" w14:textId="5B344B31">
      <w:pPr>
        <w:pStyle w:val="TOC1"/>
        <w:tabs>
          <w:tab w:val="left" w:pos="567"/>
          <w:tab w:val="right" w:leader="dot" w:pos="9016"/>
        </w:tabs>
        <w:ind w:left="567" w:hanging="567"/>
        <w:rPr>
          <w:noProof/>
        </w:rPr>
      </w:pPr>
      <w:r>
        <w:rPr>
          <w:b/>
          <w:szCs w:val="24"/>
        </w:rPr>
        <w:fldChar w:fldCharType="begin"/>
      </w:r>
      <w:r>
        <w:rPr>
          <w:b/>
          <w:szCs w:val="24"/>
        </w:rPr>
        <w:instrText xml:space="preserve"> TOC \o "1-2" \h \z \u </w:instrText>
      </w:r>
      <w:r>
        <w:rPr>
          <w:b/>
          <w:szCs w:val="24"/>
        </w:rPr>
        <w:fldChar w:fldCharType="separate"/>
      </w:r>
      <w:hyperlink w:history="1" w:anchor="_Toc85106055">
        <w:r w:rsidRPr="00424D86">
          <w:rPr>
            <w:rStyle w:val="Hyperlink"/>
            <w:bCs/>
            <w:noProof/>
            <w:u w:color="000000"/>
          </w:rPr>
          <w:t>1.</w:t>
        </w:r>
        <w:r>
          <w:rPr>
            <w:noProof/>
          </w:rPr>
          <w:tab/>
        </w:r>
        <w:r w:rsidRPr="00424D86">
          <w:rPr>
            <w:rStyle w:val="Hyperlink"/>
            <w:noProof/>
          </w:rPr>
          <w:t>Overview</w:t>
        </w:r>
        <w:r>
          <w:rPr>
            <w:noProof/>
            <w:webHidden/>
          </w:rPr>
          <w:tab/>
        </w:r>
        <w:r>
          <w:rPr>
            <w:noProof/>
            <w:webHidden/>
          </w:rPr>
          <w:fldChar w:fldCharType="begin"/>
        </w:r>
        <w:r>
          <w:rPr>
            <w:noProof/>
            <w:webHidden/>
          </w:rPr>
          <w:instrText xml:space="preserve"> PAGEREF _Toc85106055 \h </w:instrText>
        </w:r>
        <w:r>
          <w:rPr>
            <w:noProof/>
            <w:webHidden/>
          </w:rPr>
        </w:r>
        <w:r>
          <w:rPr>
            <w:noProof/>
            <w:webHidden/>
          </w:rPr>
          <w:fldChar w:fldCharType="separate"/>
        </w:r>
        <w:r w:rsidR="001A2123">
          <w:rPr>
            <w:noProof/>
            <w:webHidden/>
          </w:rPr>
          <w:t>2</w:t>
        </w:r>
        <w:r>
          <w:rPr>
            <w:noProof/>
            <w:webHidden/>
          </w:rPr>
          <w:fldChar w:fldCharType="end"/>
        </w:r>
      </w:hyperlink>
    </w:p>
    <w:p w:rsidR="00F06ED2" w:rsidP="00F06ED2" w:rsidRDefault="00162C81" w14:paraId="20E8586C" w14:textId="4B9A56CB">
      <w:pPr>
        <w:pStyle w:val="TOC1"/>
        <w:tabs>
          <w:tab w:val="left" w:pos="567"/>
          <w:tab w:val="right" w:leader="dot" w:pos="9016"/>
        </w:tabs>
        <w:ind w:left="567" w:hanging="567"/>
        <w:rPr>
          <w:noProof/>
        </w:rPr>
      </w:pPr>
      <w:hyperlink w:history="1" w:anchor="_Toc85106056">
        <w:r w:rsidRPr="00424D86" w:rsidR="00F06ED2">
          <w:rPr>
            <w:rStyle w:val="Hyperlink"/>
            <w:bCs/>
            <w:noProof/>
            <w:u w:color="000000"/>
          </w:rPr>
          <w:t>2.</w:t>
        </w:r>
        <w:r w:rsidR="00F06ED2">
          <w:rPr>
            <w:noProof/>
          </w:rPr>
          <w:tab/>
        </w:r>
        <w:r w:rsidRPr="00424D86" w:rsidR="00F06ED2">
          <w:rPr>
            <w:rStyle w:val="Hyperlink"/>
            <w:noProof/>
          </w:rPr>
          <w:t>Divisional Level Support</w:t>
        </w:r>
        <w:r w:rsidR="00F06ED2">
          <w:rPr>
            <w:noProof/>
            <w:webHidden/>
          </w:rPr>
          <w:tab/>
        </w:r>
        <w:r w:rsidR="00F06ED2">
          <w:rPr>
            <w:noProof/>
            <w:webHidden/>
          </w:rPr>
          <w:fldChar w:fldCharType="begin"/>
        </w:r>
        <w:r w:rsidR="00F06ED2">
          <w:rPr>
            <w:noProof/>
            <w:webHidden/>
          </w:rPr>
          <w:instrText xml:space="preserve"> PAGEREF _Toc85106056 \h </w:instrText>
        </w:r>
        <w:r w:rsidR="00F06ED2">
          <w:rPr>
            <w:noProof/>
            <w:webHidden/>
          </w:rPr>
        </w:r>
        <w:r w:rsidR="00F06ED2">
          <w:rPr>
            <w:noProof/>
            <w:webHidden/>
          </w:rPr>
          <w:fldChar w:fldCharType="separate"/>
        </w:r>
        <w:r w:rsidR="001A2123">
          <w:rPr>
            <w:noProof/>
            <w:webHidden/>
          </w:rPr>
          <w:t>2</w:t>
        </w:r>
        <w:r w:rsidR="00F06ED2">
          <w:rPr>
            <w:noProof/>
            <w:webHidden/>
          </w:rPr>
          <w:fldChar w:fldCharType="end"/>
        </w:r>
      </w:hyperlink>
    </w:p>
    <w:p w:rsidR="00F06ED2" w:rsidP="00F06ED2" w:rsidRDefault="00162C81" w14:paraId="0C94DD1C" w14:textId="59F3A0A9">
      <w:pPr>
        <w:pStyle w:val="TOC2"/>
        <w:tabs>
          <w:tab w:val="left" w:pos="709"/>
          <w:tab w:val="left" w:pos="880"/>
          <w:tab w:val="right" w:leader="dot" w:pos="9016"/>
        </w:tabs>
        <w:ind w:left="709" w:hanging="709"/>
        <w:rPr>
          <w:noProof/>
        </w:rPr>
      </w:pPr>
      <w:hyperlink w:history="1" w:anchor="_Toc85106057">
        <w:r w:rsidRPr="00424D86" w:rsidR="00F06ED2">
          <w:rPr>
            <w:rStyle w:val="Hyperlink"/>
            <w:noProof/>
          </w:rPr>
          <w:t>2.1</w:t>
        </w:r>
        <w:r w:rsidR="00F06ED2">
          <w:rPr>
            <w:noProof/>
          </w:rPr>
          <w:tab/>
        </w:r>
        <w:r w:rsidRPr="00424D86" w:rsidR="00F06ED2">
          <w:rPr>
            <w:rStyle w:val="Hyperlink"/>
            <w:noProof/>
          </w:rPr>
          <w:t>Academic Contact for Research Student Teachers and Demonstrators</w:t>
        </w:r>
        <w:r w:rsidR="00F06ED2">
          <w:rPr>
            <w:noProof/>
            <w:webHidden/>
          </w:rPr>
          <w:tab/>
        </w:r>
        <w:r w:rsidR="00F06ED2">
          <w:rPr>
            <w:noProof/>
            <w:webHidden/>
          </w:rPr>
          <w:fldChar w:fldCharType="begin"/>
        </w:r>
        <w:r w:rsidR="00F06ED2">
          <w:rPr>
            <w:noProof/>
            <w:webHidden/>
          </w:rPr>
          <w:instrText xml:space="preserve"> PAGEREF _Toc85106057 \h </w:instrText>
        </w:r>
        <w:r w:rsidR="00F06ED2">
          <w:rPr>
            <w:noProof/>
            <w:webHidden/>
          </w:rPr>
        </w:r>
        <w:r w:rsidR="00F06ED2">
          <w:rPr>
            <w:noProof/>
            <w:webHidden/>
          </w:rPr>
          <w:fldChar w:fldCharType="separate"/>
        </w:r>
        <w:r w:rsidR="001A2123">
          <w:rPr>
            <w:noProof/>
            <w:webHidden/>
          </w:rPr>
          <w:t>2</w:t>
        </w:r>
        <w:r w:rsidR="00F06ED2">
          <w:rPr>
            <w:noProof/>
            <w:webHidden/>
          </w:rPr>
          <w:fldChar w:fldCharType="end"/>
        </w:r>
      </w:hyperlink>
    </w:p>
    <w:p w:rsidR="00F06ED2" w:rsidP="00F06ED2" w:rsidRDefault="00162C81" w14:paraId="45F345A7" w14:textId="0DD3710E">
      <w:pPr>
        <w:pStyle w:val="TOC2"/>
        <w:tabs>
          <w:tab w:val="left" w:pos="709"/>
          <w:tab w:val="left" w:pos="880"/>
          <w:tab w:val="right" w:leader="dot" w:pos="9016"/>
        </w:tabs>
        <w:ind w:left="709" w:hanging="709"/>
        <w:rPr>
          <w:noProof/>
        </w:rPr>
      </w:pPr>
      <w:hyperlink w:history="1" w:anchor="_Toc85106058">
        <w:r w:rsidRPr="00424D86" w:rsidR="00F06ED2">
          <w:rPr>
            <w:rStyle w:val="Hyperlink"/>
            <w:noProof/>
          </w:rPr>
          <w:t>2.2</w:t>
        </w:r>
        <w:r w:rsidR="00F06ED2">
          <w:rPr>
            <w:noProof/>
          </w:rPr>
          <w:tab/>
        </w:r>
        <w:r w:rsidRPr="00424D86" w:rsidR="00F06ED2">
          <w:rPr>
            <w:rStyle w:val="Hyperlink"/>
            <w:noProof/>
          </w:rPr>
          <w:t>Module Convenors</w:t>
        </w:r>
        <w:r w:rsidR="00F06ED2">
          <w:rPr>
            <w:noProof/>
            <w:webHidden/>
          </w:rPr>
          <w:tab/>
        </w:r>
        <w:r w:rsidR="00F06ED2">
          <w:rPr>
            <w:noProof/>
            <w:webHidden/>
          </w:rPr>
          <w:fldChar w:fldCharType="begin"/>
        </w:r>
        <w:r w:rsidR="00F06ED2">
          <w:rPr>
            <w:noProof/>
            <w:webHidden/>
          </w:rPr>
          <w:instrText xml:space="preserve"> PAGEREF _Toc85106058 \h </w:instrText>
        </w:r>
        <w:r w:rsidR="00F06ED2">
          <w:rPr>
            <w:noProof/>
            <w:webHidden/>
          </w:rPr>
        </w:r>
        <w:r w:rsidR="00F06ED2">
          <w:rPr>
            <w:noProof/>
            <w:webHidden/>
          </w:rPr>
          <w:fldChar w:fldCharType="separate"/>
        </w:r>
        <w:r w:rsidR="001A2123">
          <w:rPr>
            <w:noProof/>
            <w:webHidden/>
          </w:rPr>
          <w:t>3</w:t>
        </w:r>
        <w:r w:rsidR="00F06ED2">
          <w:rPr>
            <w:noProof/>
            <w:webHidden/>
          </w:rPr>
          <w:fldChar w:fldCharType="end"/>
        </w:r>
      </w:hyperlink>
    </w:p>
    <w:p w:rsidR="00F06ED2" w:rsidP="00F06ED2" w:rsidRDefault="00162C81" w14:paraId="20C3E047" w14:textId="3545D976">
      <w:pPr>
        <w:pStyle w:val="TOC1"/>
        <w:tabs>
          <w:tab w:val="left" w:pos="567"/>
          <w:tab w:val="right" w:leader="dot" w:pos="9016"/>
        </w:tabs>
        <w:ind w:left="567" w:hanging="567"/>
        <w:rPr>
          <w:noProof/>
        </w:rPr>
      </w:pPr>
      <w:hyperlink w:history="1" w:anchor="_Toc85106059">
        <w:r w:rsidRPr="00424D86" w:rsidR="00F06ED2">
          <w:rPr>
            <w:rStyle w:val="Hyperlink"/>
            <w:bCs/>
            <w:noProof/>
            <w:u w:color="000000"/>
          </w:rPr>
          <w:t>3.</w:t>
        </w:r>
        <w:r w:rsidR="00F06ED2">
          <w:rPr>
            <w:noProof/>
          </w:rPr>
          <w:tab/>
        </w:r>
        <w:r w:rsidRPr="00424D86" w:rsidR="00F06ED2">
          <w:rPr>
            <w:rStyle w:val="Hyperlink"/>
            <w:noProof/>
          </w:rPr>
          <w:t>Institutional Support</w:t>
        </w:r>
        <w:r w:rsidR="00F06ED2">
          <w:rPr>
            <w:noProof/>
            <w:webHidden/>
          </w:rPr>
          <w:tab/>
        </w:r>
        <w:r w:rsidR="00F06ED2">
          <w:rPr>
            <w:noProof/>
            <w:webHidden/>
          </w:rPr>
          <w:fldChar w:fldCharType="begin"/>
        </w:r>
        <w:r w:rsidR="00F06ED2">
          <w:rPr>
            <w:noProof/>
            <w:webHidden/>
          </w:rPr>
          <w:instrText xml:space="preserve"> PAGEREF _Toc85106059 \h </w:instrText>
        </w:r>
        <w:r w:rsidR="00F06ED2">
          <w:rPr>
            <w:noProof/>
            <w:webHidden/>
          </w:rPr>
        </w:r>
        <w:r w:rsidR="00F06ED2">
          <w:rPr>
            <w:noProof/>
            <w:webHidden/>
          </w:rPr>
          <w:fldChar w:fldCharType="separate"/>
        </w:r>
        <w:r w:rsidR="001A2123">
          <w:rPr>
            <w:noProof/>
            <w:webHidden/>
          </w:rPr>
          <w:t>4</w:t>
        </w:r>
        <w:r w:rsidR="00F06ED2">
          <w:rPr>
            <w:noProof/>
            <w:webHidden/>
          </w:rPr>
          <w:fldChar w:fldCharType="end"/>
        </w:r>
      </w:hyperlink>
    </w:p>
    <w:p w:rsidR="00F06ED2" w:rsidP="00F06ED2" w:rsidRDefault="00F06ED2" w14:paraId="1576995C" w14:textId="2EC8DE55">
      <w:pPr>
        <w:tabs>
          <w:tab w:val="left" w:pos="567"/>
        </w:tabs>
        <w:ind w:left="567" w:right="384" w:hanging="567"/>
        <w:rPr>
          <w:b/>
          <w:szCs w:val="24"/>
        </w:rPr>
      </w:pPr>
      <w:r>
        <w:rPr>
          <w:b/>
          <w:szCs w:val="24"/>
        </w:rPr>
        <w:fldChar w:fldCharType="end"/>
      </w:r>
    </w:p>
    <w:p w:rsidR="00F06ED2" w:rsidP="00B127B6" w:rsidRDefault="00F06ED2" w14:paraId="71FB6DB5" w14:textId="77777777">
      <w:pPr>
        <w:ind w:left="567" w:right="384" w:hanging="567"/>
        <w:rPr>
          <w:b/>
          <w:szCs w:val="24"/>
        </w:rPr>
      </w:pPr>
    </w:p>
    <w:p w:rsidR="00F06ED2" w:rsidRDefault="00F06ED2" w14:paraId="4DDD6ECD" w14:textId="77777777">
      <w:pPr>
        <w:spacing w:after="160" w:line="259" w:lineRule="auto"/>
        <w:ind w:left="0" w:firstLine="0"/>
        <w:rPr>
          <w:szCs w:val="20"/>
        </w:rPr>
      </w:pPr>
      <w:r>
        <w:rPr>
          <w:szCs w:val="20"/>
        </w:rPr>
        <w:br w:type="page"/>
      </w:r>
    </w:p>
    <w:p w:rsidRPr="006A26E9" w:rsidR="00113233" w:rsidP="00B127B6" w:rsidRDefault="00F8539F" w14:paraId="20EA1C0D" w14:textId="4CCF758D">
      <w:pPr>
        <w:ind w:left="0" w:right="384" w:firstLine="0"/>
        <w:rPr>
          <w:szCs w:val="20"/>
        </w:rPr>
      </w:pPr>
      <w:r>
        <w:rPr>
          <w:szCs w:val="20"/>
        </w:rPr>
        <w:lastRenderedPageBreak/>
        <w:t>Note:</w:t>
      </w:r>
      <w:r w:rsidRPr="006A26E9" w:rsidR="00113233">
        <w:rPr>
          <w:szCs w:val="20"/>
        </w:rPr>
        <w:t xml:space="preserve"> Where the text states ‘School’ this should be understood to refer to ‘School’ or ’Department’ at the sub-divisional level, as appropriate.</w:t>
      </w:r>
    </w:p>
    <w:p w:rsidR="00113233" w:rsidP="00B127B6" w:rsidRDefault="00113233" w14:paraId="5042F50A" w14:textId="6DE44D90">
      <w:pPr>
        <w:ind w:left="0" w:right="384" w:firstLine="0"/>
        <w:rPr>
          <w:sz w:val="32"/>
          <w:szCs w:val="24"/>
        </w:rPr>
      </w:pPr>
    </w:p>
    <w:p w:rsidR="00BB1EB4" w:rsidP="00B127B6" w:rsidRDefault="00BB1EB4" w14:paraId="6A809142" w14:textId="3B2CF3E7">
      <w:pPr>
        <w:pStyle w:val="Heading1"/>
      </w:pPr>
      <w:bookmarkStart w:name="_Toc85106055" w:id="0"/>
      <w:r>
        <w:t>Overview</w:t>
      </w:r>
      <w:bookmarkEnd w:id="0"/>
      <w:r>
        <w:t xml:space="preserve"> </w:t>
      </w:r>
    </w:p>
    <w:p w:rsidRPr="00B127B6" w:rsidR="00BB1EB4" w:rsidP="00B127B6" w:rsidRDefault="00BB1EB4" w14:paraId="53450A28" w14:textId="0B52AEEE">
      <w:pPr>
        <w:ind w:left="567" w:right="384" w:firstLine="0"/>
        <w:rPr>
          <w:szCs w:val="24"/>
        </w:rPr>
      </w:pPr>
      <w:r w:rsidRPr="00B127B6">
        <w:rPr>
          <w:szCs w:val="24"/>
        </w:rPr>
        <w:t xml:space="preserve">It is acknowledged that research student teachers and demonstrators may undertake other duties (e.g. marking or organising events) as part of their responsibilities. In each case, they should be provided with a clear induction from the academic school about what is expected of them.  </w:t>
      </w:r>
    </w:p>
    <w:p w:rsidR="00BB1EB4" w:rsidP="00B127B6" w:rsidRDefault="00BB1EB4" w14:paraId="7E0D9CED" w14:textId="28FDC090">
      <w:pPr>
        <w:ind w:left="567" w:right="384" w:firstLine="0"/>
        <w:rPr>
          <w:szCs w:val="24"/>
        </w:rPr>
      </w:pPr>
      <w:r w:rsidRPr="00B127B6">
        <w:rPr>
          <w:szCs w:val="24"/>
        </w:rPr>
        <w:t>Research student teachers and demonstrators should not be expected to develop all their own materials and should work closely with the module convenor who will be responsible for the standard and quality of provision.</w:t>
      </w:r>
    </w:p>
    <w:p w:rsidRPr="00B127B6" w:rsidR="00B127B6" w:rsidP="00B127B6" w:rsidRDefault="00B127B6" w14:paraId="29D12BAF" w14:textId="77777777">
      <w:pPr>
        <w:ind w:left="567" w:right="384" w:firstLine="0"/>
        <w:rPr>
          <w:sz w:val="32"/>
          <w:szCs w:val="24"/>
        </w:rPr>
      </w:pPr>
    </w:p>
    <w:p w:rsidRPr="005B7A45" w:rsidR="00113233" w:rsidP="00B127B6" w:rsidRDefault="00113233" w14:paraId="33BF6410" w14:textId="77777777">
      <w:pPr>
        <w:pStyle w:val="Heading1"/>
      </w:pPr>
      <w:bookmarkStart w:name="_Toc85106056" w:id="1"/>
      <w:r w:rsidRPr="005B7A45">
        <w:t>Divisional Level Support</w:t>
      </w:r>
      <w:bookmarkEnd w:id="1"/>
      <w:r w:rsidRPr="005B7A45">
        <w:t xml:space="preserve"> </w:t>
      </w:r>
    </w:p>
    <w:p w:rsidRPr="005B7A45" w:rsidR="00113233" w:rsidP="00F06ED2" w:rsidRDefault="00113233" w14:paraId="4AE4667D" w14:textId="170CBE9E">
      <w:pPr>
        <w:ind w:left="567" w:firstLine="0"/>
      </w:pPr>
      <w:r w:rsidRPr="005B7A45">
        <w:t>Support for research student teachers and demonstrators in Schools</w:t>
      </w:r>
      <w:r>
        <w:t>/Divisions</w:t>
      </w:r>
      <w:r w:rsidRPr="005B7A45">
        <w:t xml:space="preserve"> should be provided by: </w:t>
      </w:r>
    </w:p>
    <w:p w:rsidRPr="00F06ED2" w:rsidR="00113233" w:rsidP="00F06ED2" w:rsidRDefault="00F06ED2" w14:paraId="373CA8A5" w14:textId="74D885A9">
      <w:pPr>
        <w:pStyle w:val="Heading2"/>
        <w:ind w:left="567" w:hanging="567"/>
      </w:pPr>
      <w:bookmarkStart w:name="_Toc85106057" w:id="2"/>
      <w:r>
        <w:rPr>
          <w:b w:val="0"/>
        </w:rPr>
        <w:t>2.1</w:t>
      </w:r>
      <w:r>
        <w:rPr>
          <w:b w:val="0"/>
        </w:rPr>
        <w:tab/>
      </w:r>
      <w:r w:rsidRPr="00F06ED2" w:rsidR="00113233">
        <w:t xml:space="preserve">Academic </w:t>
      </w:r>
      <w:r>
        <w:t>C</w:t>
      </w:r>
      <w:r w:rsidRPr="00F06ED2" w:rsidR="00113233">
        <w:t xml:space="preserve">ontact for </w:t>
      </w:r>
      <w:r>
        <w:t>R</w:t>
      </w:r>
      <w:r w:rsidRPr="00F06ED2" w:rsidR="00113233">
        <w:t xml:space="preserve">esearch </w:t>
      </w:r>
      <w:r>
        <w:t>S</w:t>
      </w:r>
      <w:r w:rsidRPr="00F06ED2" w:rsidR="00113233">
        <w:t xml:space="preserve">tudent </w:t>
      </w:r>
      <w:r>
        <w:t>T</w:t>
      </w:r>
      <w:r w:rsidRPr="00F06ED2" w:rsidR="00113233">
        <w:t xml:space="preserve">eachers and </w:t>
      </w:r>
      <w:r>
        <w:t>D</w:t>
      </w:r>
      <w:r w:rsidRPr="00F06ED2" w:rsidR="00113233">
        <w:t>emonstrators</w:t>
      </w:r>
      <w:bookmarkEnd w:id="2"/>
    </w:p>
    <w:p w:rsidRPr="005B7A45" w:rsidR="00113233" w:rsidP="00F06ED2" w:rsidRDefault="00113233" w14:paraId="2D1E969D" w14:textId="563C386D">
      <w:pPr>
        <w:ind w:left="567" w:right="384" w:firstLine="0"/>
        <w:rPr>
          <w:szCs w:val="24"/>
        </w:rPr>
      </w:pPr>
      <w:r w:rsidRPr="005B7A45">
        <w:rPr>
          <w:szCs w:val="24"/>
        </w:rPr>
        <w:t>Each School</w:t>
      </w:r>
      <w:r>
        <w:rPr>
          <w:szCs w:val="24"/>
        </w:rPr>
        <w:t>/Division</w:t>
      </w:r>
      <w:r w:rsidRPr="005B7A45">
        <w:rPr>
          <w:szCs w:val="24"/>
        </w:rPr>
        <w:t xml:space="preserve"> must identify an academic staff member (named contact point) who will be responsible for supporting and overseeing the work of</w:t>
      </w:r>
      <w:r w:rsidR="00F06ED2">
        <w:rPr>
          <w:szCs w:val="24"/>
        </w:rPr>
        <w:t xml:space="preserve"> the</w:t>
      </w:r>
      <w:r w:rsidRPr="005B7A45">
        <w:rPr>
          <w:szCs w:val="24"/>
        </w:rPr>
        <w:t xml:space="preserve"> research student teachers and demonstrators. This staff member will be responsible for: </w:t>
      </w:r>
    </w:p>
    <w:p w:rsidRPr="00137F8C" w:rsidR="00113233" w:rsidP="00F06ED2" w:rsidRDefault="00113233" w14:paraId="0984C241" w14:textId="77777777">
      <w:pPr>
        <w:pStyle w:val="ListParagraph"/>
        <w:numPr>
          <w:ilvl w:val="0"/>
          <w:numId w:val="7"/>
        </w:numPr>
        <w:spacing w:after="120"/>
        <w:ind w:left="993" w:right="386" w:hanging="426"/>
        <w:contextualSpacing w:val="0"/>
        <w:rPr>
          <w:szCs w:val="24"/>
        </w:rPr>
      </w:pPr>
      <w:r w:rsidRPr="00137F8C">
        <w:rPr>
          <w:szCs w:val="24"/>
        </w:rPr>
        <w:t xml:space="preserve">Meeting with research student teachers and demonstrators at least once per term to provide briefings, feedback and discuss any issues arising. </w:t>
      </w:r>
    </w:p>
    <w:p w:rsidRPr="00137F8C" w:rsidR="00113233" w:rsidP="00F06ED2" w:rsidRDefault="00113233" w14:paraId="451CFA73" w14:textId="177362FE">
      <w:pPr>
        <w:pStyle w:val="ListParagraph"/>
        <w:numPr>
          <w:ilvl w:val="0"/>
          <w:numId w:val="7"/>
        </w:numPr>
        <w:spacing w:after="120"/>
        <w:ind w:left="993" w:right="386" w:hanging="426"/>
        <w:contextualSpacing w:val="0"/>
        <w:rPr>
          <w:szCs w:val="24"/>
        </w:rPr>
      </w:pPr>
      <w:r w:rsidRPr="00137F8C">
        <w:rPr>
          <w:szCs w:val="24"/>
        </w:rPr>
        <w:t xml:space="preserve">Ensuring that arrangements are made for research student teachers/demonstrators to be provided with an introduction to any relevant administration procedures (e.g. entering marks on the online system). </w:t>
      </w:r>
    </w:p>
    <w:p w:rsidRPr="00137F8C" w:rsidR="00113233" w:rsidP="00F06ED2" w:rsidRDefault="00113233" w14:paraId="03C0E885" w14:textId="77777777">
      <w:pPr>
        <w:pStyle w:val="ListParagraph"/>
        <w:numPr>
          <w:ilvl w:val="0"/>
          <w:numId w:val="7"/>
        </w:numPr>
        <w:spacing w:after="120"/>
        <w:ind w:left="993" w:right="386" w:hanging="426"/>
        <w:contextualSpacing w:val="0"/>
        <w:rPr>
          <w:szCs w:val="24"/>
        </w:rPr>
      </w:pPr>
      <w:r w:rsidRPr="00137F8C">
        <w:rPr>
          <w:szCs w:val="24"/>
        </w:rPr>
        <w:t xml:space="preserve">Ensuring that arrangements are made for research student teachers/demonstrators to be provided with a health and safety induction (in the case of laboratory subjects). </w:t>
      </w:r>
    </w:p>
    <w:p w:rsidRPr="00137F8C" w:rsidR="00113233" w:rsidP="00F06ED2" w:rsidRDefault="00113233" w14:paraId="1AA4E885" w14:textId="77777777">
      <w:pPr>
        <w:pStyle w:val="ListParagraph"/>
        <w:numPr>
          <w:ilvl w:val="0"/>
          <w:numId w:val="7"/>
        </w:numPr>
        <w:spacing w:after="120"/>
        <w:ind w:left="993" w:right="386" w:hanging="426"/>
        <w:contextualSpacing w:val="0"/>
        <w:rPr>
          <w:szCs w:val="24"/>
        </w:rPr>
      </w:pPr>
      <w:r w:rsidRPr="00137F8C">
        <w:rPr>
          <w:szCs w:val="24"/>
        </w:rPr>
        <w:t xml:space="preserve">Arranging for research student teachers and demonstrators to receive a factsheet containing practical information and any subject-specific guidelines on learning and teaching practice.  </w:t>
      </w:r>
    </w:p>
    <w:p w:rsidRPr="00137F8C" w:rsidR="00113233" w:rsidP="00F06ED2" w:rsidRDefault="00113233" w14:paraId="4379049E" w14:textId="77777777">
      <w:pPr>
        <w:pStyle w:val="ListParagraph"/>
        <w:numPr>
          <w:ilvl w:val="0"/>
          <w:numId w:val="7"/>
        </w:numPr>
        <w:spacing w:after="120"/>
        <w:ind w:left="993" w:right="386" w:hanging="426"/>
        <w:contextualSpacing w:val="0"/>
        <w:rPr>
          <w:szCs w:val="24"/>
        </w:rPr>
      </w:pPr>
      <w:r w:rsidRPr="00137F8C">
        <w:rPr>
          <w:szCs w:val="24"/>
        </w:rPr>
        <w:t xml:space="preserve">Liaising with the Divisional Director of Operations to monitor the workload of research student teachers and demonstrators in order to </w:t>
      </w:r>
      <w:r w:rsidRPr="00137F8C">
        <w:rPr>
          <w:szCs w:val="24"/>
        </w:rPr>
        <w:lastRenderedPageBreak/>
        <w:t xml:space="preserve">ensure that they do not work more than the hours stated in their contracts of employment. </w:t>
      </w:r>
    </w:p>
    <w:p w:rsidRPr="00137F8C" w:rsidR="00113233" w:rsidP="00F06ED2" w:rsidRDefault="00113233" w14:paraId="14B2F41F" w14:textId="77777777">
      <w:pPr>
        <w:pStyle w:val="ListParagraph"/>
        <w:numPr>
          <w:ilvl w:val="0"/>
          <w:numId w:val="7"/>
        </w:numPr>
        <w:spacing w:after="120"/>
        <w:ind w:left="993" w:right="386" w:hanging="426"/>
        <w:contextualSpacing w:val="0"/>
        <w:rPr>
          <w:szCs w:val="24"/>
        </w:rPr>
      </w:pPr>
      <w:r w:rsidRPr="00137F8C">
        <w:rPr>
          <w:szCs w:val="24"/>
        </w:rPr>
        <w:t>Ensuring that all research student teachers and demonstrators have their teaching reviewed within the first five weeks of the commencement of their teaching/demonstrating duties. The work of research student teachers and demonstrators will also be evaluated through module evaluation. The designated academic contact should ensure the School/Division has a clear mechanism through which all research student teacher/demonstrators can receive feedback on their teaching/demonstrating practice along with the provision of any advice or training required as a result of this.</w:t>
      </w:r>
      <w:r w:rsidRPr="00137F8C">
        <w:rPr>
          <w:b/>
          <w:szCs w:val="24"/>
        </w:rPr>
        <w:t xml:space="preserve"> </w:t>
      </w:r>
    </w:p>
    <w:p w:rsidRPr="00137F8C" w:rsidR="00113233" w:rsidP="00F06ED2" w:rsidRDefault="00113233" w14:paraId="304C111F" w14:textId="77777777">
      <w:pPr>
        <w:pStyle w:val="ListParagraph"/>
        <w:numPr>
          <w:ilvl w:val="0"/>
          <w:numId w:val="7"/>
        </w:numPr>
        <w:spacing w:after="120"/>
        <w:ind w:left="993" w:right="386" w:hanging="426"/>
        <w:contextualSpacing w:val="0"/>
        <w:rPr>
          <w:szCs w:val="24"/>
        </w:rPr>
      </w:pPr>
      <w:r w:rsidRPr="00137F8C">
        <w:rPr>
          <w:szCs w:val="24"/>
        </w:rPr>
        <w:t>Teachers and demonstrators will also be evaluated through module evaluation. The designated academic contact should ensure the School/Division has a clear mechanism through which all research student teacher/demonstrators can receive feedback on their teaching/demonstrating practice along with the provision of any advice or training required as a result of this.</w:t>
      </w:r>
      <w:r w:rsidRPr="00137F8C">
        <w:rPr>
          <w:b/>
          <w:szCs w:val="24"/>
        </w:rPr>
        <w:t xml:space="preserve"> </w:t>
      </w:r>
    </w:p>
    <w:p w:rsidRPr="00B73AA1" w:rsidR="00113233" w:rsidP="00F06ED2" w:rsidRDefault="00F06ED2" w14:paraId="71398D27" w14:textId="02176034">
      <w:pPr>
        <w:pStyle w:val="Heading2"/>
        <w:ind w:left="567" w:hanging="567"/>
      </w:pPr>
      <w:bookmarkStart w:name="_Toc85106058" w:id="3"/>
      <w:r>
        <w:rPr>
          <w:b w:val="0"/>
        </w:rPr>
        <w:t>2.2</w:t>
      </w:r>
      <w:r>
        <w:rPr>
          <w:b w:val="0"/>
        </w:rPr>
        <w:tab/>
      </w:r>
      <w:r w:rsidRPr="00B73AA1" w:rsidR="00113233">
        <w:t xml:space="preserve">Module </w:t>
      </w:r>
      <w:r>
        <w:t>C</w:t>
      </w:r>
      <w:r w:rsidRPr="00B73AA1" w:rsidR="00113233">
        <w:t>onvenors</w:t>
      </w:r>
      <w:bookmarkEnd w:id="3"/>
    </w:p>
    <w:p w:rsidRPr="005B7A45" w:rsidR="00113233" w:rsidP="00F06ED2" w:rsidRDefault="00113233" w14:paraId="47E90887" w14:textId="77777777">
      <w:pPr>
        <w:ind w:left="567" w:right="384" w:firstLine="0"/>
        <w:rPr>
          <w:szCs w:val="24"/>
        </w:rPr>
      </w:pPr>
      <w:r w:rsidRPr="005B7A45">
        <w:rPr>
          <w:szCs w:val="24"/>
        </w:rPr>
        <w:t xml:space="preserve">Module convenors are responsible for: </w:t>
      </w:r>
    </w:p>
    <w:p w:rsidRPr="00B73AA1" w:rsidR="00113233" w:rsidP="00F06ED2" w:rsidRDefault="00113233" w14:paraId="51F90A85" w14:textId="246FD59B">
      <w:pPr>
        <w:pStyle w:val="ListParagraph"/>
        <w:numPr>
          <w:ilvl w:val="0"/>
          <w:numId w:val="6"/>
        </w:numPr>
        <w:spacing w:after="120"/>
        <w:ind w:left="993" w:right="386" w:hanging="426"/>
        <w:contextualSpacing w:val="0"/>
        <w:rPr>
          <w:szCs w:val="24"/>
        </w:rPr>
      </w:pPr>
      <w:r w:rsidRPr="00B73AA1">
        <w:rPr>
          <w:szCs w:val="24"/>
        </w:rPr>
        <w:t>Providing a module induction for research student teachers/</w:t>
      </w:r>
      <w:r w:rsidR="0013078E">
        <w:rPr>
          <w:szCs w:val="24"/>
        </w:rPr>
        <w:t xml:space="preserve"> </w:t>
      </w:r>
      <w:r w:rsidRPr="00B73AA1">
        <w:rPr>
          <w:szCs w:val="24"/>
        </w:rPr>
        <w:t xml:space="preserve">demonstrators outlining their teaching/demonstrating duties.  </w:t>
      </w:r>
    </w:p>
    <w:p w:rsidRPr="00137F8C" w:rsidR="00113233" w:rsidP="00F06ED2" w:rsidRDefault="00113233" w14:paraId="5A15643C" w14:textId="5317DE4C">
      <w:pPr>
        <w:pStyle w:val="ListParagraph"/>
        <w:numPr>
          <w:ilvl w:val="0"/>
          <w:numId w:val="6"/>
        </w:numPr>
        <w:spacing w:after="120"/>
        <w:ind w:left="993" w:right="386" w:hanging="426"/>
        <w:contextualSpacing w:val="0"/>
        <w:rPr>
          <w:szCs w:val="24"/>
        </w:rPr>
      </w:pPr>
      <w:r w:rsidRPr="00137F8C">
        <w:rPr>
          <w:szCs w:val="24"/>
        </w:rPr>
        <w:t xml:space="preserve">Providing research student teachers/demonstrators with teaching materials and appropriate guidance on how </w:t>
      </w:r>
      <w:r w:rsidR="00BB1EB4">
        <w:rPr>
          <w:szCs w:val="24"/>
        </w:rPr>
        <w:t xml:space="preserve">teaching sessions </w:t>
      </w:r>
      <w:r w:rsidRPr="00137F8C">
        <w:rPr>
          <w:szCs w:val="24"/>
        </w:rPr>
        <w:t xml:space="preserve">should be delivered. Research student teachers and demonstrators should not be expected to develop all their own materials.  </w:t>
      </w:r>
    </w:p>
    <w:p w:rsidRPr="00137F8C" w:rsidR="00113233" w:rsidP="00F06ED2" w:rsidRDefault="00113233" w14:paraId="01B33C6D" w14:textId="77777777">
      <w:pPr>
        <w:pStyle w:val="ListParagraph"/>
        <w:numPr>
          <w:ilvl w:val="0"/>
          <w:numId w:val="6"/>
        </w:numPr>
        <w:spacing w:after="120"/>
        <w:ind w:left="993" w:right="386" w:hanging="426"/>
        <w:contextualSpacing w:val="0"/>
        <w:rPr>
          <w:szCs w:val="24"/>
        </w:rPr>
      </w:pPr>
      <w:r w:rsidRPr="00137F8C">
        <w:rPr>
          <w:szCs w:val="24"/>
        </w:rPr>
        <w:t xml:space="preserve">Providing students teaching or demonstrating on their modules with regular opportunities to meet to discuss their progress and any concerns which arise during the academic year. </w:t>
      </w:r>
    </w:p>
    <w:p w:rsidRPr="00137F8C" w:rsidR="00113233" w:rsidP="00F06ED2" w:rsidRDefault="00113233" w14:paraId="5421C0EB" w14:textId="77777777">
      <w:pPr>
        <w:pStyle w:val="ListParagraph"/>
        <w:numPr>
          <w:ilvl w:val="0"/>
          <w:numId w:val="6"/>
        </w:numPr>
        <w:spacing w:after="120"/>
        <w:ind w:left="993" w:right="386" w:hanging="426"/>
        <w:contextualSpacing w:val="0"/>
        <w:rPr>
          <w:szCs w:val="24"/>
        </w:rPr>
      </w:pPr>
      <w:r w:rsidRPr="00137F8C">
        <w:rPr>
          <w:szCs w:val="24"/>
        </w:rPr>
        <w:t xml:space="preserve">Ensuring research student teachers/demonstrators are provided with adequate opportunities to provide feedback on their experiences. </w:t>
      </w:r>
    </w:p>
    <w:p w:rsidRPr="00137F8C" w:rsidR="00113233" w:rsidP="00F06ED2" w:rsidRDefault="00113233" w14:paraId="2DF2CE5E" w14:textId="77777777">
      <w:pPr>
        <w:pStyle w:val="ListParagraph"/>
        <w:numPr>
          <w:ilvl w:val="0"/>
          <w:numId w:val="6"/>
        </w:numPr>
        <w:spacing w:after="120"/>
        <w:ind w:left="993" w:right="386" w:hanging="426"/>
        <w:contextualSpacing w:val="0"/>
        <w:rPr>
          <w:szCs w:val="24"/>
        </w:rPr>
      </w:pPr>
      <w:r w:rsidRPr="00137F8C">
        <w:rPr>
          <w:szCs w:val="24"/>
        </w:rPr>
        <w:t xml:space="preserve">Discussing all feedback obtained via module evaluations with research student teachers/demonstrators so that this feedback can be used to inform their training and development. </w:t>
      </w:r>
    </w:p>
    <w:p w:rsidRPr="005B7A45" w:rsidR="00113233" w:rsidP="00B127B6" w:rsidRDefault="00113233" w14:paraId="56E3B235" w14:textId="77777777">
      <w:pPr>
        <w:ind w:left="567" w:right="384" w:hanging="567"/>
        <w:rPr>
          <w:szCs w:val="24"/>
        </w:rPr>
      </w:pPr>
    </w:p>
    <w:p w:rsidRPr="005B7A45" w:rsidR="00113233" w:rsidP="00B127B6" w:rsidRDefault="00113233" w14:paraId="78386EB9" w14:textId="77777777">
      <w:pPr>
        <w:pStyle w:val="Heading1"/>
      </w:pPr>
      <w:bookmarkStart w:name="_Toc85106059" w:id="4"/>
      <w:r w:rsidRPr="005B7A45">
        <w:lastRenderedPageBreak/>
        <w:t>Institutional Support</w:t>
      </w:r>
      <w:bookmarkEnd w:id="4"/>
      <w:r w:rsidRPr="005B7A45">
        <w:t xml:space="preserve"> </w:t>
      </w:r>
    </w:p>
    <w:p w:rsidRPr="005B7A45" w:rsidR="00113233" w:rsidP="00B127B6" w:rsidRDefault="00113233" w14:paraId="27FC9663" w14:textId="77777777">
      <w:pPr>
        <w:ind w:left="567" w:right="384" w:firstLine="0"/>
        <w:rPr>
          <w:szCs w:val="24"/>
        </w:rPr>
      </w:pPr>
      <w:r w:rsidRPr="005B7A45">
        <w:rPr>
          <w:szCs w:val="24"/>
        </w:rPr>
        <w:t xml:space="preserve">All new research student teachers/demonstrators are required to attend an </w:t>
      </w:r>
      <w:r>
        <w:rPr>
          <w:szCs w:val="24"/>
        </w:rPr>
        <w:t>‘</w:t>
      </w:r>
      <w:r w:rsidRPr="005B7A45">
        <w:rPr>
          <w:szCs w:val="24"/>
        </w:rPr>
        <w:t>Introduction to University Teaching</w:t>
      </w:r>
      <w:r>
        <w:rPr>
          <w:szCs w:val="24"/>
        </w:rPr>
        <w:t>’</w:t>
      </w:r>
      <w:r w:rsidRPr="005B7A45">
        <w:rPr>
          <w:szCs w:val="24"/>
        </w:rPr>
        <w:t xml:space="preserve"> session arranged by the Graduate and Researcher College. </w:t>
      </w:r>
    </w:p>
    <w:p w:rsidRPr="00146B68" w:rsidR="002750C2" w:rsidP="00B127B6" w:rsidRDefault="002750C2" w14:paraId="20220C17" w14:textId="77777777"/>
    <w:sectPr w:rsidRPr="00146B68" w:rsidR="002750C2"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2E608D1" w14:textId="77777777">
      <w:pPr>
        <w:spacing w:after="0"/>
      </w:pPr>
      <w:r>
        <w:separator/>
      </w:r>
    </w:p>
  </w:endnote>
  <w:endnote w:type="continuationSeparator" w:id="0">
    <w:p w:rsidR="002750C2" w:rsidP="002750C2" w:rsidRDefault="002750C2" w14:paraId="7C5289E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06182EBF" w14:textId="098E8D27">
    <w:pPr>
      <w:pStyle w:val="Header"/>
      <w:rPr>
        <w:noProof/>
        <w:sz w:val="20"/>
      </w:rPr>
    </w:pPr>
  </w:p>
  <w:p w:rsidR="002750C2" w:rsidP="002F7E36" w:rsidRDefault="002750C2" w14:paraId="68C6033E" w14:textId="5835E41B">
    <w:pPr>
      <w:pStyle w:val="Header"/>
      <w:rPr>
        <w:rStyle w:val="eop"/>
        <w:sz w:val="20"/>
        <w:szCs w:val="20"/>
      </w:rPr>
    </w:pPr>
    <w:r>
      <w:rPr>
        <w:rStyle w:val="normaltextrun"/>
        <w:sz w:val="20"/>
        <w:szCs w:val="20"/>
      </w:rPr>
      <w:t>Author: QACO</w:t>
    </w:r>
    <w:r>
      <w:rPr>
        <w:rStyle w:val="eop"/>
        <w:sz w:val="20"/>
        <w:szCs w:val="20"/>
      </w:rPr>
      <w:t> </w:t>
    </w:r>
  </w:p>
  <w:p w:rsidR="00F360D8" w:rsidP="002F7E36" w:rsidRDefault="00F360D8" w14:paraId="267CCC15" w14:textId="7E569B3A">
    <w:pPr>
      <w:pStyle w:val="Header"/>
      <w:rPr>
        <w:rFonts w:ascii="Segoe UI" w:hAnsi="Segoe UI" w:cs="Segoe UI"/>
        <w:sz w:val="18"/>
        <w:szCs w:val="18"/>
      </w:rPr>
    </w:pPr>
    <w:r>
      <w:rPr>
        <w:rStyle w:val="eop"/>
        <w:sz w:val="20"/>
        <w:szCs w:val="20"/>
      </w:rPr>
      <w:t>Applies to: 202</w:t>
    </w:r>
    <w:r w:rsidR="001A2123">
      <w:rPr>
        <w:rStyle w:val="eop"/>
        <w:sz w:val="20"/>
        <w:szCs w:val="20"/>
      </w:rPr>
      <w:t>2</w:t>
    </w:r>
    <w:r>
      <w:rPr>
        <w:rStyle w:val="eop"/>
        <w:sz w:val="20"/>
        <w:szCs w:val="20"/>
      </w:rPr>
      <w:t>/2</w:t>
    </w:r>
    <w:r w:rsidR="001A2123">
      <w:rPr>
        <w:rStyle w:val="eop"/>
        <w:sz w:val="20"/>
        <w:szCs w:val="20"/>
      </w:rPr>
      <w:t>3</w:t>
    </w:r>
  </w:p>
  <w:p w:rsidR="002F7E36" w:rsidP="002F7E36" w:rsidRDefault="002750C2" w14:paraId="0F7741A9"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04CDA697" w:rsidRDefault="00B127B6" w14:paraId="6D1EA597" w14:textId="275D7FCA">
    <w:pPr>
      <w:pStyle w:val="paragraph"/>
      <w:spacing w:before="0" w:beforeAutospacing="off" w:after="0" w:afterAutospacing="off"/>
      <w:textAlignment w:val="baseline"/>
      <w:rPr>
        <w:rStyle w:val="normaltextrun"/>
        <w:rFonts w:ascii="Arial" w:hAnsi="Arial" w:cs="Arial"/>
        <w:sz w:val="20"/>
        <w:szCs w:val="20"/>
      </w:rPr>
    </w:pPr>
    <w:r w:rsidRPr="04CDA697" w:rsidR="04CDA697">
      <w:rPr>
        <w:rStyle w:val="normaltextrun"/>
        <w:rFonts w:ascii="Arial" w:hAnsi="Arial" w:cs="Arial"/>
        <w:sz w:val="20"/>
        <w:szCs w:val="20"/>
      </w:rPr>
      <w:t xml:space="preserve">Last Revised: </w:t>
    </w:r>
    <w:r w:rsidRPr="04CDA697" w:rsidR="04CDA697">
      <w:rPr>
        <w:rStyle w:val="normaltextrun"/>
        <w:rFonts w:ascii="Arial" w:hAnsi="Arial" w:cs="Arial"/>
        <w:sz w:val="20"/>
        <w:szCs w:val="20"/>
      </w:rPr>
      <w:t>November 2023</w:t>
    </w:r>
  </w:p>
  <w:p w:rsidR="002750C2" w:rsidP="04CDA697" w:rsidRDefault="00B127B6" w14:paraId="4BC390B5" w14:textId="340161C8">
    <w:pPr>
      <w:pStyle w:val="paragraph"/>
      <w:spacing w:before="0" w:beforeAutospacing="off" w:after="0" w:afterAutospacing="off"/>
      <w:textAlignment w:val="baseline"/>
      <w:rPr>
        <w:rStyle w:val="normaltextrun"/>
        <w:rFonts w:ascii="Arial" w:hAnsi="Arial" w:cs="Arial"/>
        <w:sz w:val="20"/>
        <w:szCs w:val="20"/>
        <w:lang w:val="en-US"/>
      </w:rPr>
    </w:pPr>
    <w:r w:rsidRPr="04CDA697" w:rsidR="04CDA697">
      <w:rPr>
        <w:rStyle w:val="normaltextrun"/>
        <w:rFonts w:ascii="Arial" w:hAnsi="Arial" w:cs="Arial"/>
        <w:sz w:val="20"/>
        <w:szCs w:val="20"/>
      </w:rPr>
      <w:t>Next review: September 202</w:t>
    </w:r>
    <w:r w:rsidRPr="04CDA697" w:rsidR="04CDA697">
      <w:rPr>
        <w:rStyle w:val="normaltextrun"/>
        <w:rFonts w:ascii="Arial" w:hAnsi="Arial" w:cs="Arial"/>
        <w:sz w:val="20"/>
        <w:szCs w:val="20"/>
      </w:rPr>
      <w:t>4</w:t>
    </w:r>
  </w:p>
  <w:p w:rsidR="002750C2" w:rsidP="002750C2" w:rsidRDefault="002750C2" w14:paraId="28935D87" w14:textId="042194D8">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06ED2">
      <w:rPr>
        <w:rStyle w:val="PageNumber"/>
        <w:noProof/>
        <w:sz w:val="20"/>
      </w:rPr>
      <w:t>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06ED2">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53683B4" w14:textId="77777777">
      <w:pPr>
        <w:spacing w:after="0"/>
      </w:pPr>
      <w:r>
        <w:separator/>
      </w:r>
    </w:p>
  </w:footnote>
  <w:footnote w:type="continuationSeparator" w:id="0">
    <w:p w:rsidR="002750C2" w:rsidP="002750C2" w:rsidRDefault="002750C2" w14:paraId="47461561"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1A2123" w14:paraId="28FDD53F" w14:textId="6DAE39C1">
    <w:pPr>
      <w:pStyle w:val="Header"/>
      <w:jc w:val="right"/>
    </w:pPr>
    <w:r>
      <w:rPr>
        <w:noProof/>
      </w:rPr>
      <w:drawing>
        <wp:anchor distT="0" distB="0" distL="114300" distR="114300" simplePos="0" relativeHeight="251658240" behindDoc="0" locked="0" layoutInCell="1" allowOverlap="1" wp14:anchorId="4FEA9A32" wp14:editId="1C5430AE">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1A2123" w:rsidRDefault="00516BB0" w14:paraId="2CEA9746" w14:textId="64DC4DC3">
    <w:pPr>
      <w:pStyle w:val="Header"/>
      <w:ind w:left="284" w:right="284" w:hanging="567"/>
      <w:jc w:val="center"/>
      <w:rPr>
        <w:b/>
      </w:rPr>
    </w:pPr>
    <w:r>
      <w:rPr>
        <w:b/>
      </w:rPr>
      <w:t xml:space="preserve">                </w:t>
    </w:r>
    <w:r w:rsidRPr="002750C2" w:rsidR="002750C2">
      <w:rPr>
        <w:b/>
      </w:rPr>
      <w:t>Code of Practice for Quality Assurance of Research Courses of Study</w:t>
    </w:r>
  </w:p>
  <w:p w:rsidR="002750C2" w:rsidRDefault="002750C2" w14:paraId="3EBA13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2E"/>
    <w:multiLevelType w:val="hybridMultilevel"/>
    <w:tmpl w:val="48C2876C"/>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 w15:restartNumberingAfterBreak="0">
    <w:nsid w:val="2ABE6BAB"/>
    <w:multiLevelType w:val="multilevel"/>
    <w:tmpl w:val="AF9A2316"/>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317C2088"/>
    <w:multiLevelType w:val="hybridMultilevel"/>
    <w:tmpl w:val="D37030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F85414"/>
    <w:multiLevelType w:val="multilevel"/>
    <w:tmpl w:val="91CE2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5B580C70"/>
    <w:multiLevelType w:val="hybridMultilevel"/>
    <w:tmpl w:val="9654A4EC"/>
    <w:lvl w:ilvl="0" w:tplc="08090001">
      <w:start w:val="1"/>
      <w:numFmt w:val="bullet"/>
      <w:lvlText w:val=""/>
      <w:lvlJc w:val="left"/>
      <w:pPr>
        <w:ind w:left="2421" w:hanging="360"/>
      </w:pPr>
      <w:rPr>
        <w:rFonts w:hint="default" w:ascii="Symbol" w:hAnsi="Symbol"/>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6" w15:restartNumberingAfterBreak="0">
    <w:nsid w:val="654E209E"/>
    <w:multiLevelType w:val="multilevel"/>
    <w:tmpl w:val="11D4486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80422"/>
    <w:multiLevelType w:val="hybridMultilevel"/>
    <w:tmpl w:val="3A6E147A"/>
    <w:lvl w:ilvl="0" w:tplc="7FA2F45E">
      <w:start w:val="1"/>
      <w:numFmt w:val="decimal"/>
      <w:lvlText w:val="%1."/>
      <w:lvlJc w:val="left"/>
      <w:pPr>
        <w:ind w:left="36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1" w:tplc="5AB8A310">
      <w:start w:val="1"/>
      <w:numFmt w:val="lowerLetter"/>
      <w:lvlText w:val="%2."/>
      <w:lvlJc w:val="left"/>
      <w:pPr>
        <w:ind w:left="850"/>
      </w:pPr>
      <w:rPr>
        <w:rFonts w:hint="default"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tplc="2BD01114">
      <w:start w:val="1"/>
      <w:numFmt w:val="bullet"/>
      <w:lvlText w:val="•"/>
      <w:lvlJc w:val="left"/>
      <w:pPr>
        <w:ind w:left="12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CCC306E">
      <w:start w:val="1"/>
      <w:numFmt w:val="bullet"/>
      <w:lvlText w:val="•"/>
      <w:lvlJc w:val="left"/>
      <w:pPr>
        <w:ind w:left="193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1B640D8">
      <w:start w:val="1"/>
      <w:numFmt w:val="bullet"/>
      <w:lvlText w:val="o"/>
      <w:lvlJc w:val="left"/>
      <w:pPr>
        <w:ind w:left="265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810B8EC">
      <w:start w:val="1"/>
      <w:numFmt w:val="bullet"/>
      <w:lvlText w:val="▪"/>
      <w:lvlJc w:val="left"/>
      <w:pPr>
        <w:ind w:left="33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9568734">
      <w:start w:val="1"/>
      <w:numFmt w:val="bullet"/>
      <w:lvlText w:val="•"/>
      <w:lvlJc w:val="left"/>
      <w:pPr>
        <w:ind w:left="40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C107B3C">
      <w:start w:val="1"/>
      <w:numFmt w:val="bullet"/>
      <w:lvlText w:val="o"/>
      <w:lvlJc w:val="left"/>
      <w:pPr>
        <w:ind w:left="481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960504C">
      <w:start w:val="1"/>
      <w:numFmt w:val="bullet"/>
      <w:lvlText w:val="▪"/>
      <w:lvlJc w:val="left"/>
      <w:pPr>
        <w:ind w:left="553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7B72187C"/>
    <w:multiLevelType w:val="hybridMultilevel"/>
    <w:tmpl w:val="14E60212"/>
    <w:lvl w:ilvl="0" w:tplc="5AB8A310">
      <w:start w:val="1"/>
      <w:numFmt w:val="lowerLetter"/>
      <w:lvlText w:val="%1."/>
      <w:lvlJc w:val="left"/>
      <w:pPr>
        <w:ind w:left="1570" w:hanging="360"/>
      </w:pPr>
      <w:rPr>
        <w:rFonts w:hint="default" w:ascii="Arial" w:hAnsi="Arial" w:eastAsia="Arial" w:cs="Arial"/>
        <w:b w:val="0"/>
        <w:i w:val="0"/>
        <w:strike w:val="0"/>
        <w:dstrike w:val="0"/>
        <w:color w:val="000000"/>
        <w:sz w:val="24"/>
        <w:szCs w:val="22"/>
        <w:u w:val="none" w:color="000000"/>
        <w:vertAlign w:val="baseline"/>
      </w:rPr>
    </w:lvl>
    <w:lvl w:ilvl="1" w:tplc="08090019" w:tentative="1">
      <w:start w:val="1"/>
      <w:numFmt w:val="lowerLetter"/>
      <w:lvlText w:val="%2."/>
      <w:lvlJc w:val="left"/>
      <w:pPr>
        <w:ind w:left="2290" w:hanging="360"/>
      </w:pPr>
    </w:lvl>
    <w:lvl w:ilvl="2" w:tplc="0809001B">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9"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385252210">
    <w:abstractNumId w:val="4"/>
  </w:num>
  <w:num w:numId="2" w16cid:durableId="1478570562">
    <w:abstractNumId w:val="9"/>
  </w:num>
  <w:num w:numId="3" w16cid:durableId="580914974">
    <w:abstractNumId w:val="7"/>
  </w:num>
  <w:num w:numId="4" w16cid:durableId="307327661">
    <w:abstractNumId w:val="8"/>
  </w:num>
  <w:num w:numId="5" w16cid:durableId="1768235127">
    <w:abstractNumId w:val="5"/>
  </w:num>
  <w:num w:numId="6" w16cid:durableId="1635676702">
    <w:abstractNumId w:val="2"/>
  </w:num>
  <w:num w:numId="7" w16cid:durableId="1653486089">
    <w:abstractNumId w:val="0"/>
  </w:num>
  <w:num w:numId="8" w16cid:durableId="1053188404">
    <w:abstractNumId w:val="6"/>
  </w:num>
  <w:num w:numId="9" w16cid:durableId="1066801851">
    <w:abstractNumId w:val="1"/>
  </w:num>
  <w:num w:numId="10" w16cid:durableId="1345478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002B5"/>
    <w:rsid w:val="00113233"/>
    <w:rsid w:val="0013078E"/>
    <w:rsid w:val="00137F8C"/>
    <w:rsid w:val="00146B68"/>
    <w:rsid w:val="00162C81"/>
    <w:rsid w:val="001A2123"/>
    <w:rsid w:val="002750C2"/>
    <w:rsid w:val="002E2660"/>
    <w:rsid w:val="002F7E36"/>
    <w:rsid w:val="00516BB0"/>
    <w:rsid w:val="006F60A4"/>
    <w:rsid w:val="00916DFD"/>
    <w:rsid w:val="00957BD3"/>
    <w:rsid w:val="00B127B6"/>
    <w:rsid w:val="00B73AA1"/>
    <w:rsid w:val="00BB1EB4"/>
    <w:rsid w:val="00F06ED2"/>
    <w:rsid w:val="00F360D8"/>
    <w:rsid w:val="00F8539F"/>
    <w:rsid w:val="04CDA6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E8E0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3233"/>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ind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16DFD"/>
    <w:pPr>
      <w:keepNext/>
      <w:keepLines/>
      <w:snapToGrid w:val="0"/>
      <w:outlineLvl w:val="1"/>
    </w:pPr>
    <w:rPr>
      <w:rFonts w:eastAsiaTheme="majorEastAsia" w:cstheme="majorBidi"/>
      <w:b/>
      <w:color w:val="auto"/>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113233"/>
    <w:pPr>
      <w:spacing w:after="125"/>
      <w:ind w:left="720" w:hanging="435"/>
      <w:contextualSpacing/>
    </w:pPr>
  </w:style>
  <w:style w:type="character" w:styleId="Heading2Char" w:customStyle="1">
    <w:name w:val="Heading 2 Char"/>
    <w:basedOn w:val="DefaultParagraphFont"/>
    <w:link w:val="Heading2"/>
    <w:uiPriority w:val="9"/>
    <w:rsid w:val="00916DFD"/>
    <w:rPr>
      <w:rFonts w:ascii="Arial" w:hAnsi="Arial" w:eastAsiaTheme="majorEastAsia" w:cstheme="majorBidi"/>
      <w:b/>
      <w:sz w:val="24"/>
      <w:szCs w:val="26"/>
      <w:lang w:eastAsia="en-GB"/>
    </w:rPr>
  </w:style>
  <w:style w:type="paragraph" w:styleId="Title">
    <w:name w:val="Title"/>
    <w:basedOn w:val="Normal"/>
    <w:next w:val="Normal"/>
    <w:link w:val="TitleChar"/>
    <w:uiPriority w:val="10"/>
    <w:qFormat/>
    <w:rsid w:val="00B127B6"/>
    <w:rPr>
      <w:rFonts w:eastAsiaTheme="majorEastAsia" w:cstheme="majorBidi"/>
      <w:color w:val="auto"/>
      <w:spacing w:val="-10"/>
      <w:kern w:val="28"/>
      <w:sz w:val="32"/>
      <w:szCs w:val="56"/>
    </w:rPr>
  </w:style>
  <w:style w:type="character" w:styleId="TitleChar" w:customStyle="1">
    <w:name w:val="Title Char"/>
    <w:basedOn w:val="DefaultParagraphFont"/>
    <w:link w:val="Title"/>
    <w:uiPriority w:val="10"/>
    <w:rsid w:val="00B127B6"/>
    <w:rPr>
      <w:rFonts w:ascii="Arial" w:hAnsi="Arial" w:eastAsiaTheme="majorEastAsia" w:cstheme="majorBidi"/>
      <w:spacing w:val="-10"/>
      <w:kern w:val="28"/>
      <w:sz w:val="32"/>
      <w:szCs w:val="56"/>
      <w:lang w:eastAsia="en-GB"/>
    </w:rPr>
  </w:style>
  <w:style w:type="paragraph" w:styleId="TOC1">
    <w:name w:val="toc 1"/>
    <w:basedOn w:val="Normal"/>
    <w:next w:val="Normal"/>
    <w:autoRedefine/>
    <w:uiPriority w:val="39"/>
    <w:unhideWhenUsed/>
    <w:rsid w:val="00F06ED2"/>
    <w:pPr>
      <w:spacing w:after="100"/>
      <w:ind w:left="0"/>
    </w:pPr>
  </w:style>
  <w:style w:type="paragraph" w:styleId="TOC2">
    <w:name w:val="toc 2"/>
    <w:basedOn w:val="Normal"/>
    <w:next w:val="Normal"/>
    <w:autoRedefine/>
    <w:uiPriority w:val="39"/>
    <w:unhideWhenUsed/>
    <w:rsid w:val="00F06ED2"/>
    <w:pPr>
      <w:spacing w:after="100"/>
      <w:ind w:left="240"/>
    </w:pPr>
  </w:style>
  <w:style w:type="character" w:styleId="UnresolvedMention">
    <w:name w:val="Unresolved Mention"/>
    <w:basedOn w:val="DefaultParagraphFont"/>
    <w:uiPriority w:val="99"/>
    <w:semiHidden/>
    <w:unhideWhenUsed/>
    <w:rsid w:val="0016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ADFA5416-5F3B-4373-9A2A-CC6A528AB519}">
  <ds:schemaRefs>
    <ds:schemaRef ds:uri="http://schemas.openxmlformats.org/officeDocument/2006/bibliography"/>
  </ds:schemaRefs>
</ds:datastoreItem>
</file>

<file path=customXml/itemProps2.xml><?xml version="1.0" encoding="utf-8"?>
<ds:datastoreItem xmlns:ds="http://schemas.openxmlformats.org/officeDocument/2006/customXml" ds:itemID="{ABF459F6-2CE8-49B8-881D-00FBF40BA3FF}"/>
</file>

<file path=customXml/itemProps3.xml><?xml version="1.0" encoding="utf-8"?>
<ds:datastoreItem xmlns:ds="http://schemas.openxmlformats.org/officeDocument/2006/customXml" ds:itemID="{2DD1A55D-C9CB-4A5D-A700-3A4B8A978E7A}">
  <ds:schemaRefs>
    <ds:schemaRef ds:uri="http://schemas.microsoft.com/sharepoint/v3/contenttype/forms"/>
  </ds:schemaRefs>
</ds:datastoreItem>
</file>

<file path=customXml/itemProps4.xml><?xml version="1.0" encoding="utf-8"?>
<ds:datastoreItem xmlns:ds="http://schemas.openxmlformats.org/officeDocument/2006/customXml" ds:itemID="{03F377B1-FF33-4D5A-A36A-0DBE8D685651}">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7</cp:revision>
  <dcterms:created xsi:type="dcterms:W3CDTF">2021-10-14T11:07:00Z</dcterms:created>
  <dcterms:modified xsi:type="dcterms:W3CDTF">2023-11-10T12:30:10Z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