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E362CD" w:rsidR="00476473" w:rsidP="00307687" w:rsidRDefault="00476473" w14:paraId="0B7CD05C" w14:textId="77777777">
      <w:pPr>
        <w:pStyle w:val="Title"/>
        <w:rPr>
          <w:b w:val="0"/>
          <w:sz w:val="28"/>
        </w:rPr>
      </w:pPr>
      <w:r w:rsidRPr="005C45B7">
        <w:t>Annex E: Annual Monitoring</w:t>
      </w:r>
    </w:p>
    <w:p w:rsidR="00073D3D" w:rsidP="00476473" w:rsidRDefault="00073D3D" w14:paraId="4E5206D4" w14:textId="77777777">
      <w:pPr>
        <w:spacing w:after="120" w:line="240" w:lineRule="auto"/>
        <w:ind w:left="0" w:right="247" w:firstLine="0"/>
        <w:jc w:val="left"/>
        <w:rPr>
          <w:sz w:val="24"/>
          <w:szCs w:val="24"/>
        </w:rPr>
      </w:pPr>
    </w:p>
    <w:p w:rsidR="00307687" w:rsidP="00307687" w:rsidRDefault="00307687" w14:paraId="3BDCCFB4" w14:textId="77777777">
      <w:pPr>
        <w:pStyle w:val="Subtitle"/>
      </w:pPr>
      <w:r>
        <w:t xml:space="preserve">Contents </w:t>
      </w:r>
    </w:p>
    <w:p w:rsidR="00307687" w:rsidP="00307687" w:rsidRDefault="00307687" w14:paraId="2118FA51" w14:textId="78375322">
      <w:pPr>
        <w:pStyle w:val="TOC1"/>
        <w:tabs>
          <w:tab w:val="right" w:leader="dot" w:pos="9016"/>
        </w:tabs>
        <w:ind w:left="567" w:hanging="567"/>
        <w:rPr>
          <w:rFonts w:asciiTheme="minorHAnsi" w:hAnsiTheme="minorHAnsi" w:eastAsiaTheme="minorEastAsia" w:cstheme="minorBidi"/>
          <w:noProof/>
          <w:color w:val="auto"/>
          <w:sz w:val="22"/>
        </w:rPr>
      </w:pPr>
      <w:r>
        <w:fldChar w:fldCharType="begin"/>
      </w:r>
      <w:r>
        <w:instrText xml:space="preserve"> TOC \o "1-3" \h \z \u </w:instrText>
      </w:r>
      <w:r>
        <w:fldChar w:fldCharType="separate"/>
      </w:r>
      <w:hyperlink w:history="1" w:anchor="_Toc81992067">
        <w:r w:rsidRPr="002418D0">
          <w:rPr>
            <w:rStyle w:val="Hyperlink"/>
            <w:noProof/>
          </w:rPr>
          <w:t>1.</w:t>
        </w:r>
        <w:r>
          <w:rPr>
            <w:rFonts w:asciiTheme="minorHAnsi" w:hAnsiTheme="minorHAnsi" w:eastAsiaTheme="minorEastAsia" w:cstheme="minorBidi"/>
            <w:noProof/>
            <w:color w:val="auto"/>
            <w:sz w:val="22"/>
          </w:rPr>
          <w:tab/>
        </w:r>
        <w:r w:rsidRPr="002418D0">
          <w:rPr>
            <w:rStyle w:val="Hyperlink"/>
            <w:noProof/>
          </w:rPr>
          <w:t>Responsibility for Annual Monitoring</w:t>
        </w:r>
        <w:r>
          <w:rPr>
            <w:noProof/>
            <w:webHidden/>
          </w:rPr>
          <w:tab/>
        </w:r>
        <w:r>
          <w:rPr>
            <w:noProof/>
            <w:webHidden/>
          </w:rPr>
          <w:fldChar w:fldCharType="begin"/>
        </w:r>
        <w:r>
          <w:rPr>
            <w:noProof/>
            <w:webHidden/>
          </w:rPr>
          <w:instrText xml:space="preserve"> PAGEREF _Toc81992067 \h </w:instrText>
        </w:r>
        <w:r>
          <w:rPr>
            <w:noProof/>
            <w:webHidden/>
          </w:rPr>
        </w:r>
        <w:r>
          <w:rPr>
            <w:noProof/>
            <w:webHidden/>
          </w:rPr>
          <w:fldChar w:fldCharType="separate"/>
        </w:r>
        <w:r w:rsidR="004B32FB">
          <w:rPr>
            <w:noProof/>
            <w:webHidden/>
          </w:rPr>
          <w:t>2</w:t>
        </w:r>
        <w:r>
          <w:rPr>
            <w:noProof/>
            <w:webHidden/>
          </w:rPr>
          <w:fldChar w:fldCharType="end"/>
        </w:r>
      </w:hyperlink>
    </w:p>
    <w:p w:rsidR="00307687" w:rsidP="00307687" w:rsidRDefault="00C5580E" w14:paraId="5647CBAB" w14:textId="16A37B19">
      <w:pPr>
        <w:pStyle w:val="TOC1"/>
        <w:tabs>
          <w:tab w:val="right" w:leader="dot" w:pos="9016"/>
        </w:tabs>
        <w:ind w:left="567" w:hanging="567"/>
        <w:rPr>
          <w:rFonts w:asciiTheme="minorHAnsi" w:hAnsiTheme="minorHAnsi" w:eastAsiaTheme="minorEastAsia" w:cstheme="minorBidi"/>
          <w:noProof/>
          <w:color w:val="auto"/>
          <w:sz w:val="22"/>
        </w:rPr>
      </w:pPr>
      <w:hyperlink w:history="1" w:anchor="_Toc81992068">
        <w:r w:rsidRPr="002418D0" w:rsidR="00307687">
          <w:rPr>
            <w:rStyle w:val="Hyperlink"/>
            <w:noProof/>
          </w:rPr>
          <w:t>2.</w:t>
        </w:r>
        <w:r w:rsidR="00307687">
          <w:rPr>
            <w:rFonts w:asciiTheme="minorHAnsi" w:hAnsiTheme="minorHAnsi" w:eastAsiaTheme="minorEastAsia" w:cstheme="minorBidi"/>
            <w:noProof/>
            <w:color w:val="auto"/>
            <w:sz w:val="22"/>
          </w:rPr>
          <w:tab/>
        </w:r>
        <w:r w:rsidRPr="002418D0" w:rsidR="00307687">
          <w:rPr>
            <w:rStyle w:val="Hyperlink"/>
            <w:noProof/>
          </w:rPr>
          <w:t>Annual Monitoring Reports</w:t>
        </w:r>
        <w:r w:rsidR="00307687">
          <w:rPr>
            <w:noProof/>
            <w:webHidden/>
          </w:rPr>
          <w:tab/>
        </w:r>
        <w:r w:rsidR="00307687">
          <w:rPr>
            <w:noProof/>
            <w:webHidden/>
          </w:rPr>
          <w:fldChar w:fldCharType="begin"/>
        </w:r>
        <w:r w:rsidR="00307687">
          <w:rPr>
            <w:noProof/>
            <w:webHidden/>
          </w:rPr>
          <w:instrText xml:space="preserve"> PAGEREF _Toc81992068 \h </w:instrText>
        </w:r>
        <w:r w:rsidR="00307687">
          <w:rPr>
            <w:noProof/>
            <w:webHidden/>
          </w:rPr>
        </w:r>
        <w:r w:rsidR="00307687">
          <w:rPr>
            <w:noProof/>
            <w:webHidden/>
          </w:rPr>
          <w:fldChar w:fldCharType="separate"/>
        </w:r>
        <w:r w:rsidR="004B32FB">
          <w:rPr>
            <w:noProof/>
            <w:webHidden/>
          </w:rPr>
          <w:t>2</w:t>
        </w:r>
        <w:r w:rsidR="00307687">
          <w:rPr>
            <w:noProof/>
            <w:webHidden/>
          </w:rPr>
          <w:fldChar w:fldCharType="end"/>
        </w:r>
      </w:hyperlink>
    </w:p>
    <w:p w:rsidR="00307687" w:rsidP="00307687" w:rsidRDefault="00C5580E" w14:paraId="1B5D3B96" w14:textId="20F55CCF">
      <w:pPr>
        <w:pStyle w:val="TOC1"/>
        <w:tabs>
          <w:tab w:val="right" w:leader="dot" w:pos="9016"/>
        </w:tabs>
        <w:ind w:left="567" w:hanging="567"/>
        <w:rPr>
          <w:rFonts w:asciiTheme="minorHAnsi" w:hAnsiTheme="minorHAnsi" w:eastAsiaTheme="minorEastAsia" w:cstheme="minorBidi"/>
          <w:noProof/>
          <w:color w:val="auto"/>
          <w:sz w:val="22"/>
        </w:rPr>
      </w:pPr>
      <w:hyperlink w:history="1" w:anchor="_Toc81992069">
        <w:r w:rsidRPr="002418D0" w:rsidR="00307687">
          <w:rPr>
            <w:rStyle w:val="Hyperlink"/>
            <w:noProof/>
          </w:rPr>
          <w:t>3.</w:t>
        </w:r>
        <w:r w:rsidR="00307687">
          <w:rPr>
            <w:rFonts w:asciiTheme="minorHAnsi" w:hAnsiTheme="minorHAnsi" w:eastAsiaTheme="minorEastAsia" w:cstheme="minorBidi"/>
            <w:noProof/>
            <w:color w:val="auto"/>
            <w:sz w:val="22"/>
          </w:rPr>
          <w:tab/>
        </w:r>
        <w:r w:rsidRPr="002418D0" w:rsidR="00307687">
          <w:rPr>
            <w:rStyle w:val="Hyperlink"/>
            <w:noProof/>
          </w:rPr>
          <w:t>Summary Reports</w:t>
        </w:r>
        <w:r w:rsidR="00307687">
          <w:rPr>
            <w:noProof/>
            <w:webHidden/>
          </w:rPr>
          <w:tab/>
        </w:r>
        <w:r w:rsidR="00307687">
          <w:rPr>
            <w:noProof/>
            <w:webHidden/>
          </w:rPr>
          <w:fldChar w:fldCharType="begin"/>
        </w:r>
        <w:r w:rsidR="00307687">
          <w:rPr>
            <w:noProof/>
            <w:webHidden/>
          </w:rPr>
          <w:instrText xml:space="preserve"> PAGEREF _Toc81992069 \h </w:instrText>
        </w:r>
        <w:r w:rsidR="00307687">
          <w:rPr>
            <w:noProof/>
            <w:webHidden/>
          </w:rPr>
        </w:r>
        <w:r w:rsidR="00307687">
          <w:rPr>
            <w:noProof/>
            <w:webHidden/>
          </w:rPr>
          <w:fldChar w:fldCharType="separate"/>
        </w:r>
        <w:r w:rsidR="004B32FB">
          <w:rPr>
            <w:noProof/>
            <w:webHidden/>
          </w:rPr>
          <w:t>3</w:t>
        </w:r>
        <w:r w:rsidR="00307687">
          <w:rPr>
            <w:noProof/>
            <w:webHidden/>
          </w:rPr>
          <w:fldChar w:fldCharType="end"/>
        </w:r>
      </w:hyperlink>
    </w:p>
    <w:p w:rsidR="00307687" w:rsidP="00307687" w:rsidRDefault="00307687" w14:paraId="62C3A283" w14:textId="77777777">
      <w:pPr>
        <w:ind w:left="567" w:hanging="567"/>
      </w:pPr>
      <w:r>
        <w:fldChar w:fldCharType="end"/>
      </w:r>
    </w:p>
    <w:p w:rsidR="00307687" w:rsidP="00307687" w:rsidRDefault="00307687" w14:paraId="063E5E33" w14:textId="77777777"/>
    <w:p w:rsidR="00307687" w:rsidP="00307687" w:rsidRDefault="00307687" w14:paraId="21B07F81" w14:textId="77777777">
      <w:pPr>
        <w:spacing w:after="160" w:line="259" w:lineRule="auto"/>
        <w:ind w:left="0" w:firstLine="0"/>
      </w:pPr>
      <w:r>
        <w:br w:type="page"/>
      </w:r>
    </w:p>
    <w:p w:rsidRPr="00E362CD" w:rsidR="00476473" w:rsidP="00544238" w:rsidRDefault="00073D3D" w14:paraId="3BAD7E79" w14:textId="6C489729">
      <w:pPr>
        <w:spacing w:after="360" w:line="240" w:lineRule="auto"/>
        <w:ind w:left="0" w:right="249" w:firstLine="0"/>
        <w:jc w:val="left"/>
        <w:rPr>
          <w:sz w:val="24"/>
          <w:szCs w:val="24"/>
        </w:rPr>
      </w:pPr>
      <w:r>
        <w:rPr>
          <w:sz w:val="24"/>
          <w:szCs w:val="24"/>
        </w:rPr>
        <w:t>Note:</w:t>
      </w:r>
      <w:r w:rsidRPr="00E362CD" w:rsidR="00476473">
        <w:rPr>
          <w:sz w:val="24"/>
          <w:szCs w:val="24"/>
        </w:rPr>
        <w:t xml:space="preserve"> Where the text states ‘School’ this should be understood to refer to ‘School’ or ’Department’ at the sub-divisional level, as appropriate. While the Division may delegate to the School some of the responsibilities and actions it holds under this Annex, it remains accountable for the operation of these procedures.</w:t>
      </w:r>
    </w:p>
    <w:p w:rsidR="00476473" w:rsidP="00476473" w:rsidRDefault="00476473" w14:paraId="09D9BDAE" w14:textId="77777777">
      <w:pPr>
        <w:pStyle w:val="Heading1"/>
        <w:numPr>
          <w:ilvl w:val="0"/>
          <w:numId w:val="5"/>
        </w:numPr>
        <w:tabs>
          <w:tab w:val="clear" w:pos="567"/>
        </w:tabs>
        <w:ind w:left="567" w:right="6" w:hanging="567"/>
        <w:jc w:val="left"/>
      </w:pPr>
      <w:bookmarkStart w:name="_Toc81992067" w:id="0"/>
      <w:r>
        <w:t>Responsibility for Annual Monitoring</w:t>
      </w:r>
      <w:bookmarkEnd w:id="0"/>
    </w:p>
    <w:p w:rsidRPr="00E362CD" w:rsidR="00476473" w:rsidP="00544238" w:rsidRDefault="00476473" w14:paraId="37F4920F" w14:textId="439A70E2">
      <w:pPr>
        <w:spacing w:after="360" w:line="240" w:lineRule="auto"/>
        <w:ind w:left="567" w:right="249" w:firstLine="0"/>
        <w:jc w:val="left"/>
        <w:rPr>
          <w:sz w:val="24"/>
          <w:szCs w:val="24"/>
        </w:rPr>
      </w:pPr>
      <w:r w:rsidRPr="00E362CD">
        <w:rPr>
          <w:sz w:val="24"/>
          <w:szCs w:val="24"/>
        </w:rPr>
        <w:t xml:space="preserve">Divisional Graduate Studies and </w:t>
      </w:r>
      <w:r>
        <w:rPr>
          <w:sz w:val="24"/>
          <w:szCs w:val="24"/>
        </w:rPr>
        <w:t xml:space="preserve">PG </w:t>
      </w:r>
      <w:r w:rsidRPr="00E362CD">
        <w:rPr>
          <w:sz w:val="24"/>
          <w:szCs w:val="24"/>
        </w:rPr>
        <w:t xml:space="preserve">Student Experience Committees </w:t>
      </w:r>
      <w:r>
        <w:rPr>
          <w:sz w:val="24"/>
          <w:szCs w:val="24"/>
        </w:rPr>
        <w:t xml:space="preserve">(DGSSEC) </w:t>
      </w:r>
      <w:r w:rsidRPr="00E362CD">
        <w:rPr>
          <w:sz w:val="24"/>
          <w:szCs w:val="24"/>
        </w:rPr>
        <w:t>are responsible for (</w:t>
      </w:r>
      <w:proofErr w:type="spellStart"/>
      <w:r w:rsidRPr="00E362CD">
        <w:rPr>
          <w:sz w:val="24"/>
          <w:szCs w:val="24"/>
        </w:rPr>
        <w:t>i</w:t>
      </w:r>
      <w:proofErr w:type="spellEnd"/>
      <w:r w:rsidRPr="00E362CD">
        <w:rPr>
          <w:sz w:val="24"/>
          <w:szCs w:val="24"/>
        </w:rPr>
        <w:t>) the annual monitoring of courses and determining action</w:t>
      </w:r>
      <w:r>
        <w:rPr>
          <w:sz w:val="24"/>
          <w:szCs w:val="24"/>
        </w:rPr>
        <w:t>s</w:t>
      </w:r>
      <w:r w:rsidRPr="00E362CD">
        <w:rPr>
          <w:sz w:val="24"/>
          <w:szCs w:val="24"/>
        </w:rPr>
        <w:t xml:space="preserve"> to be taken as a consequence and (ii) for reporting on the annual monitoring of research courses to the Graduate and Researcher College Board</w:t>
      </w:r>
      <w:r>
        <w:rPr>
          <w:sz w:val="24"/>
          <w:szCs w:val="24"/>
        </w:rPr>
        <w:t xml:space="preserve"> </w:t>
      </w:r>
      <w:r w:rsidR="000D14EB">
        <w:rPr>
          <w:sz w:val="24"/>
          <w:szCs w:val="24"/>
        </w:rPr>
        <w:t>(</w:t>
      </w:r>
      <w:r>
        <w:rPr>
          <w:sz w:val="24"/>
          <w:szCs w:val="24"/>
        </w:rPr>
        <w:t>GRCB)</w:t>
      </w:r>
      <w:r w:rsidRPr="00E362CD">
        <w:rPr>
          <w:sz w:val="24"/>
          <w:szCs w:val="24"/>
        </w:rPr>
        <w:t xml:space="preserve">. This section of the Code of Practice sets out detailed requirements in relation to such annual monitoring. </w:t>
      </w:r>
    </w:p>
    <w:p w:rsidR="00476473" w:rsidP="00382022" w:rsidRDefault="00476473" w14:paraId="3C94296F" w14:textId="77777777">
      <w:pPr>
        <w:pStyle w:val="Heading1"/>
        <w:numPr>
          <w:ilvl w:val="0"/>
          <w:numId w:val="0"/>
        </w:numPr>
        <w:ind w:left="566" w:hanging="566"/>
      </w:pPr>
      <w:bookmarkStart w:name="_Toc81992068" w:id="1"/>
      <w:r>
        <w:t>2.</w:t>
      </w:r>
      <w:r>
        <w:tab/>
      </w:r>
      <w:r>
        <w:t>Annual Monitoring Reports</w:t>
      </w:r>
      <w:bookmarkEnd w:id="1"/>
      <w:r>
        <w:t xml:space="preserve"> </w:t>
      </w:r>
    </w:p>
    <w:p w:rsidR="00BD63FD" w:rsidP="00544238" w:rsidRDefault="00476473" w14:paraId="1872674A" w14:textId="4E0ED720">
      <w:pPr>
        <w:spacing w:after="360" w:line="240" w:lineRule="auto"/>
        <w:ind w:left="567" w:right="249" w:hanging="567"/>
        <w:jc w:val="left"/>
        <w:rPr>
          <w:sz w:val="24"/>
          <w:szCs w:val="24"/>
        </w:rPr>
      </w:pPr>
      <w:r w:rsidRPr="3D5D198D">
        <w:rPr>
          <w:sz w:val="24"/>
          <w:szCs w:val="24"/>
        </w:rPr>
        <w:t>2.1</w:t>
      </w:r>
      <w:r>
        <w:tab/>
      </w:r>
      <w:r w:rsidRPr="3D5D198D">
        <w:rPr>
          <w:sz w:val="24"/>
          <w:szCs w:val="24"/>
        </w:rPr>
        <w:t>The Divisional Graduate Studies and PG Student Experience Committee should consider, normally at its first meeting of the academic year, a</w:t>
      </w:r>
      <w:r w:rsidRPr="3D5D198D" w:rsidR="00ED2C76">
        <w:rPr>
          <w:sz w:val="24"/>
          <w:szCs w:val="24"/>
        </w:rPr>
        <w:t xml:space="preserve"> postgraduate research course monitoring</w:t>
      </w:r>
      <w:r w:rsidRPr="3D5D198D">
        <w:rPr>
          <w:sz w:val="24"/>
          <w:szCs w:val="24"/>
        </w:rPr>
        <w:t xml:space="preserve"> report on </w:t>
      </w:r>
      <w:r w:rsidRPr="3D5D198D" w:rsidR="00ED2C76">
        <w:rPr>
          <w:sz w:val="24"/>
          <w:szCs w:val="24"/>
        </w:rPr>
        <w:t>the</w:t>
      </w:r>
      <w:r w:rsidRPr="3D5D198D">
        <w:rPr>
          <w:sz w:val="24"/>
          <w:szCs w:val="24"/>
        </w:rPr>
        <w:t xml:space="preserve"> research course</w:t>
      </w:r>
      <w:r w:rsidRPr="3D5D198D" w:rsidR="00ED2C76">
        <w:rPr>
          <w:sz w:val="24"/>
          <w:szCs w:val="24"/>
        </w:rPr>
        <w:t>s</w:t>
      </w:r>
      <w:r w:rsidRPr="3D5D198D">
        <w:rPr>
          <w:sz w:val="24"/>
          <w:szCs w:val="24"/>
        </w:rPr>
        <w:t xml:space="preserve"> of study </w:t>
      </w:r>
      <w:r w:rsidRPr="3D5D198D" w:rsidR="00ED2C76">
        <w:rPr>
          <w:sz w:val="24"/>
          <w:szCs w:val="24"/>
        </w:rPr>
        <w:t>in that Division</w:t>
      </w:r>
      <w:r w:rsidRPr="3D5D198D">
        <w:rPr>
          <w:sz w:val="24"/>
          <w:szCs w:val="24"/>
        </w:rPr>
        <w:t xml:space="preserve">. </w:t>
      </w:r>
      <w:r w:rsidRPr="3D5D198D" w:rsidR="00ED2C76">
        <w:rPr>
          <w:sz w:val="24"/>
          <w:szCs w:val="24"/>
        </w:rPr>
        <w:t xml:space="preserve">Should the </w:t>
      </w:r>
      <w:r w:rsidRPr="3D5D198D">
        <w:rPr>
          <w:sz w:val="24"/>
          <w:szCs w:val="24"/>
        </w:rPr>
        <w:t>report</w:t>
      </w:r>
      <w:r w:rsidRPr="3D5D198D" w:rsidR="00ED2C76">
        <w:rPr>
          <w:sz w:val="24"/>
          <w:szCs w:val="24"/>
        </w:rPr>
        <w:t xml:space="preserve"> be</w:t>
      </w:r>
      <w:r w:rsidRPr="3D5D198D">
        <w:rPr>
          <w:sz w:val="24"/>
          <w:szCs w:val="24"/>
        </w:rPr>
        <w:t xml:space="preserve"> considered to be unsatisfactory </w:t>
      </w:r>
      <w:r w:rsidRPr="3D5D198D" w:rsidR="00ED2C76">
        <w:rPr>
          <w:sz w:val="24"/>
          <w:szCs w:val="24"/>
        </w:rPr>
        <w:t xml:space="preserve">it </w:t>
      </w:r>
      <w:r w:rsidRPr="3D5D198D">
        <w:rPr>
          <w:sz w:val="24"/>
          <w:szCs w:val="24"/>
        </w:rPr>
        <w:t xml:space="preserve">should be referred back for revision.  </w:t>
      </w:r>
      <w:r w:rsidRPr="3D5D198D" w:rsidR="00472C0B">
        <w:rPr>
          <w:sz w:val="24"/>
          <w:szCs w:val="24"/>
        </w:rPr>
        <w:t xml:space="preserve">The </w:t>
      </w:r>
      <w:r w:rsidRPr="3D5D198D">
        <w:rPr>
          <w:sz w:val="24"/>
          <w:szCs w:val="24"/>
        </w:rPr>
        <w:t>report should normally be prepared by the</w:t>
      </w:r>
      <w:r w:rsidRPr="3D5D198D" w:rsidR="00BD63FD">
        <w:rPr>
          <w:sz w:val="24"/>
          <w:szCs w:val="24"/>
        </w:rPr>
        <w:t xml:space="preserve"> Divisional Director of Graduate Studies and PG Student Experience and cover all the areas as set out in the Annual Divisional PGR Course Monitoring Report. </w:t>
      </w:r>
    </w:p>
    <w:p w:rsidR="007702E8" w:rsidP="007702E8" w:rsidRDefault="007702E8" w14:paraId="166B3588" w14:textId="67613D1D">
      <w:pPr>
        <w:spacing w:after="120" w:line="240" w:lineRule="auto"/>
        <w:ind w:left="0" w:right="247" w:firstLine="0"/>
        <w:jc w:val="left"/>
        <w:rPr>
          <w:sz w:val="24"/>
          <w:szCs w:val="24"/>
        </w:rPr>
      </w:pPr>
      <w:r w:rsidRPr="3D5D198D">
        <w:rPr>
          <w:sz w:val="24"/>
          <w:szCs w:val="24"/>
        </w:rPr>
        <w:t>Following consideration of the report by the DGSSEC, the</w:t>
      </w:r>
      <w:r w:rsidRPr="3D5D198D" w:rsidR="00F12402">
        <w:rPr>
          <w:sz w:val="24"/>
          <w:szCs w:val="24"/>
        </w:rPr>
        <w:t xml:space="preserve"> following should be added to the</w:t>
      </w:r>
      <w:r w:rsidRPr="3D5D198D">
        <w:rPr>
          <w:sz w:val="24"/>
          <w:szCs w:val="24"/>
        </w:rPr>
        <w:t xml:space="preserve"> report</w:t>
      </w:r>
      <w:r w:rsidRPr="3D5D198D" w:rsidR="00F12402">
        <w:rPr>
          <w:sz w:val="24"/>
          <w:szCs w:val="24"/>
        </w:rPr>
        <w:t>, normally by the DGSSEC secretary</w:t>
      </w:r>
      <w:r w:rsidRPr="3D5D198D">
        <w:rPr>
          <w:sz w:val="24"/>
          <w:szCs w:val="24"/>
        </w:rPr>
        <w:t>:</w:t>
      </w:r>
    </w:p>
    <w:p w:rsidRPr="00544238" w:rsidR="00DD7A62" w:rsidP="00544238" w:rsidRDefault="00DD7A62" w14:paraId="59F34F8A" w14:textId="646D0E9B">
      <w:pPr>
        <w:numPr>
          <w:ilvl w:val="1"/>
          <w:numId w:val="3"/>
        </w:numPr>
        <w:spacing w:after="360" w:line="240" w:lineRule="auto"/>
        <w:ind w:left="992" w:right="249" w:hanging="425"/>
        <w:jc w:val="left"/>
        <w:rPr>
          <w:sz w:val="24"/>
          <w:szCs w:val="24"/>
        </w:rPr>
      </w:pPr>
      <w:r w:rsidRPr="3D5D198D">
        <w:rPr>
          <w:sz w:val="24"/>
          <w:szCs w:val="24"/>
        </w:rPr>
        <w:t>Any recommendations for consideration by the Graduate and Researcher College Board.</w:t>
      </w:r>
    </w:p>
    <w:p w:rsidRPr="00E362CD" w:rsidR="00476473" w:rsidP="00544238" w:rsidRDefault="00476473" w14:paraId="58439721" w14:textId="0A8F3962">
      <w:pPr>
        <w:spacing w:after="360" w:line="240" w:lineRule="auto"/>
        <w:ind w:left="567" w:right="249" w:hanging="567"/>
        <w:jc w:val="left"/>
        <w:rPr>
          <w:sz w:val="24"/>
          <w:szCs w:val="24"/>
        </w:rPr>
      </w:pPr>
      <w:r>
        <w:rPr>
          <w:sz w:val="24"/>
          <w:szCs w:val="24"/>
        </w:rPr>
        <w:t>2.2</w:t>
      </w:r>
      <w:r w:rsidRPr="00E362CD">
        <w:rPr>
          <w:sz w:val="24"/>
          <w:szCs w:val="24"/>
        </w:rPr>
        <w:tab/>
      </w:r>
      <w:r w:rsidRPr="00E362CD">
        <w:rPr>
          <w:sz w:val="24"/>
          <w:szCs w:val="24"/>
        </w:rPr>
        <w:t>The Divisional Director of Graduate Studies</w:t>
      </w:r>
      <w:r>
        <w:rPr>
          <w:sz w:val="24"/>
          <w:szCs w:val="24"/>
        </w:rPr>
        <w:t xml:space="preserve"> and PG Student Experience</w:t>
      </w:r>
      <w:r w:rsidRPr="00E362CD">
        <w:rPr>
          <w:sz w:val="24"/>
          <w:szCs w:val="24"/>
        </w:rPr>
        <w:t xml:space="preserve"> should ensure that, if available, both recommendations for improvement and positive feedback on aspects of good practice (received from either students or </w:t>
      </w:r>
      <w:r w:rsidR="007666B5">
        <w:rPr>
          <w:sz w:val="24"/>
          <w:szCs w:val="24"/>
        </w:rPr>
        <w:t>E</w:t>
      </w:r>
      <w:r w:rsidRPr="00E362CD">
        <w:rPr>
          <w:sz w:val="24"/>
          <w:szCs w:val="24"/>
        </w:rPr>
        <w:t xml:space="preserve">xternal </w:t>
      </w:r>
      <w:r w:rsidR="007666B5">
        <w:rPr>
          <w:sz w:val="24"/>
          <w:szCs w:val="24"/>
        </w:rPr>
        <w:t>E</w:t>
      </w:r>
      <w:r w:rsidRPr="00E362CD">
        <w:rPr>
          <w:sz w:val="24"/>
          <w:szCs w:val="24"/>
        </w:rPr>
        <w:t xml:space="preserve">xaminers) are highlighted in the reports.  </w:t>
      </w:r>
    </w:p>
    <w:p w:rsidR="00476473" w:rsidP="00382022" w:rsidRDefault="00476473" w14:paraId="3409A0D6" w14:textId="5CDCCA0B">
      <w:pPr>
        <w:pStyle w:val="Heading1"/>
        <w:numPr>
          <w:ilvl w:val="0"/>
          <w:numId w:val="0"/>
        </w:numPr>
        <w:ind w:left="566" w:hanging="566"/>
      </w:pPr>
      <w:bookmarkStart w:name="_Toc81992069" w:id="2"/>
      <w:r>
        <w:t>3.</w:t>
      </w:r>
      <w:r>
        <w:tab/>
      </w:r>
      <w:r w:rsidR="00BF3635">
        <w:t>Graduate and Researcher College Board</w:t>
      </w:r>
      <w:bookmarkEnd w:id="2"/>
    </w:p>
    <w:p w:rsidRPr="00E362CD" w:rsidR="00476473" w:rsidP="3D5D198D" w:rsidRDefault="00476473" w14:paraId="706BEF08" w14:textId="6FB9D61F">
      <w:pPr>
        <w:pStyle w:val="ListParagraph"/>
        <w:spacing w:after="120" w:line="240" w:lineRule="auto"/>
        <w:ind w:left="566" w:right="247" w:firstLine="0"/>
        <w:jc w:val="left"/>
        <w:rPr>
          <w:sz w:val="24"/>
          <w:szCs w:val="24"/>
        </w:rPr>
      </w:pPr>
      <w:r w:rsidRPr="3D5D198D">
        <w:rPr>
          <w:sz w:val="24"/>
          <w:szCs w:val="24"/>
        </w:rPr>
        <w:t xml:space="preserve">Following approval of the report by the DGSSEC, </w:t>
      </w:r>
      <w:r w:rsidRPr="3D5D198D" w:rsidR="00BF3635">
        <w:rPr>
          <w:sz w:val="24"/>
          <w:szCs w:val="24"/>
        </w:rPr>
        <w:t xml:space="preserve">the </w:t>
      </w:r>
      <w:r w:rsidRPr="3D5D198D">
        <w:rPr>
          <w:sz w:val="24"/>
          <w:szCs w:val="24"/>
        </w:rPr>
        <w:t>report should be submitted to the Graduate and Researcher College Board for consideration</w:t>
      </w:r>
      <w:r w:rsidRPr="3D5D198D" w:rsidR="00BF3635">
        <w:rPr>
          <w:sz w:val="24"/>
          <w:szCs w:val="24"/>
        </w:rPr>
        <w:t>.</w:t>
      </w:r>
    </w:p>
    <w:p w:rsidRPr="00E362CD" w:rsidR="00476473" w:rsidP="3D5D198D" w:rsidRDefault="00476473" w14:paraId="0C3D6686" w14:textId="226C82E1">
      <w:pPr>
        <w:spacing w:after="120" w:line="240" w:lineRule="auto"/>
        <w:ind w:left="0" w:right="247"/>
        <w:jc w:val="left"/>
        <w:rPr>
          <w:color w:val="000000" w:themeColor="text1"/>
          <w:sz w:val="24"/>
          <w:szCs w:val="24"/>
        </w:rPr>
      </w:pPr>
    </w:p>
    <w:p w:rsidRPr="00146B68" w:rsidR="002750C2" w:rsidP="00146B68" w:rsidRDefault="002750C2" w14:paraId="2A92DA34" w14:textId="77777777"/>
    <w:sectPr w:rsidRPr="00146B68" w:rsidR="002750C2" w:rsidSect="002750C2">
      <w:headerReference w:type="even" r:id="rId11"/>
      <w:headerReference w:type="default" r:id="rId12"/>
      <w:footerReference w:type="even" r:id="rId13"/>
      <w:footerReference w:type="default" r:id="rId14"/>
      <w:headerReference w:type="first" r:id="rId15"/>
      <w:footerReference w:type="first" r:id="rId16"/>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750C2" w:rsidP="002750C2" w:rsidRDefault="002750C2" w14:paraId="1016E6A5" w14:textId="77777777">
      <w:pPr>
        <w:spacing w:after="0" w:line="240" w:lineRule="auto"/>
      </w:pPr>
      <w:r>
        <w:separator/>
      </w:r>
    </w:p>
  </w:endnote>
  <w:endnote w:type="continuationSeparator" w:id="0">
    <w:p w:rsidR="002750C2" w:rsidP="002750C2" w:rsidRDefault="002750C2" w14:paraId="292D8F3C" w14:textId="77777777">
      <w:pPr>
        <w:spacing w:after="0" w:line="240" w:lineRule="auto"/>
      </w:pPr>
      <w:r>
        <w:continuationSeparator/>
      </w:r>
    </w:p>
  </w:endnote>
  <w:endnote w:type="continuationNotice" w:id="1">
    <w:p w:rsidR="00FB5C71" w:rsidRDefault="00FB5C71" w14:paraId="56B2F3C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5580E" w:rsidRDefault="00C5580E" w14:paraId="1D90522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750C2" w:rsidP="002F7E36" w:rsidRDefault="002750C2" w14:paraId="3EBEA75E" w14:textId="77777777">
    <w:pPr>
      <w:pStyle w:val="Header"/>
      <w:jc w:val="left"/>
      <w:rPr>
        <w:rStyle w:val="eop"/>
        <w:sz w:val="20"/>
        <w:szCs w:val="20"/>
      </w:rPr>
    </w:pPr>
    <w:r>
      <w:rPr>
        <w:rStyle w:val="normaltextrun"/>
        <w:sz w:val="20"/>
        <w:szCs w:val="20"/>
      </w:rPr>
      <w:t>Author: QACO</w:t>
    </w:r>
    <w:r>
      <w:rPr>
        <w:rStyle w:val="eop"/>
        <w:sz w:val="20"/>
        <w:szCs w:val="20"/>
      </w:rPr>
      <w:t> </w:t>
    </w:r>
  </w:p>
  <w:p w:rsidR="00C06BB6" w:rsidP="002F7E36" w:rsidRDefault="00C06BB6" w14:paraId="19AA0819" w14:textId="6DE1374F">
    <w:pPr>
      <w:pStyle w:val="Header"/>
      <w:jc w:val="left"/>
      <w:rPr>
        <w:rFonts w:ascii="Segoe UI" w:hAnsi="Segoe UI" w:cs="Segoe UI"/>
        <w:sz w:val="18"/>
        <w:szCs w:val="18"/>
      </w:rPr>
    </w:pPr>
    <w:r>
      <w:rPr>
        <w:rStyle w:val="eop"/>
        <w:sz w:val="20"/>
        <w:szCs w:val="20"/>
      </w:rPr>
      <w:t>Applies to: 2023/24</w:t>
    </w:r>
  </w:p>
  <w:p w:rsidR="002F7E36" w:rsidP="002F7E36" w:rsidRDefault="002750C2" w14:paraId="3327A6C1" w14:textId="35542B21">
    <w:pPr>
      <w:pStyle w:val="paragraph"/>
      <w:spacing w:before="0" w:beforeAutospacing="0" w:after="0" w:afterAutospacing="0"/>
      <w:jc w:val="left"/>
      <w:textAlignment w:val="baseline"/>
      <w:rPr>
        <w:rFonts w:ascii="Arial" w:hAnsi="Arial" w:cs="Arial"/>
        <w:sz w:val="20"/>
        <w:szCs w:val="20"/>
        <w:lang w:val="en-US"/>
      </w:rPr>
    </w:pPr>
    <w:r>
      <w:rPr>
        <w:rStyle w:val="normaltextrun"/>
        <w:rFonts w:ascii="Arial" w:hAnsi="Arial" w:cs="Arial"/>
        <w:sz w:val="20"/>
        <w:szCs w:val="20"/>
      </w:rPr>
      <w:t>Approved by Senate: </w:t>
    </w:r>
    <w:r w:rsidR="00C06BB6">
      <w:rPr>
        <w:rStyle w:val="normaltextrun"/>
        <w:rFonts w:ascii="Arial" w:hAnsi="Arial" w:cs="Arial"/>
        <w:sz w:val="20"/>
        <w:szCs w:val="20"/>
      </w:rPr>
      <w:t>June 2023</w:t>
    </w:r>
  </w:p>
  <w:p w:rsidRPr="002E0DA9" w:rsidR="002750C2" w:rsidP="6256C931" w:rsidRDefault="3D5D198D" w14:paraId="1334F948" w14:textId="5E293C96">
    <w:pPr>
      <w:pStyle w:val="paragraph"/>
      <w:spacing w:before="0" w:beforeAutospacing="off" w:after="0" w:afterAutospacing="off"/>
      <w:jc w:val="left"/>
      <w:textAlignment w:val="baseline"/>
      <w:rPr>
        <w:rStyle w:val="normaltextrun"/>
        <w:rFonts w:ascii="Arial" w:hAnsi="Arial" w:cs="Arial"/>
        <w:sz w:val="20"/>
        <w:szCs w:val="20"/>
      </w:rPr>
    </w:pPr>
    <w:r w:rsidRPr="6256C931" w:rsidR="6256C931">
      <w:rPr>
        <w:rStyle w:val="normaltextrun"/>
        <w:rFonts w:ascii="Arial" w:hAnsi="Arial" w:cs="Arial"/>
        <w:sz w:val="20"/>
        <w:szCs w:val="20"/>
      </w:rPr>
      <w:t xml:space="preserve">Last Revised:  </w:t>
    </w:r>
    <w:r w:rsidRPr="6256C931" w:rsidR="6256C931">
      <w:rPr>
        <w:rStyle w:val="normaltextrun"/>
        <w:rFonts w:ascii="Arial" w:hAnsi="Arial" w:cs="Arial"/>
        <w:sz w:val="20"/>
        <w:szCs w:val="20"/>
      </w:rPr>
      <w:t>November 2023</w:t>
    </w:r>
  </w:p>
  <w:p w:rsidR="002750C2" w:rsidP="6256C931" w:rsidRDefault="3D5D198D" w14:paraId="724BF75A" w14:textId="4654262F">
    <w:pPr>
      <w:pStyle w:val="paragraph"/>
      <w:spacing w:before="0" w:beforeAutospacing="off" w:after="0" w:afterAutospacing="off"/>
      <w:jc w:val="left"/>
      <w:textAlignment w:val="baseline"/>
      <w:rPr>
        <w:rStyle w:val="normaltextrun"/>
        <w:rFonts w:ascii="Arial" w:hAnsi="Arial" w:cs="Arial"/>
        <w:sz w:val="20"/>
        <w:szCs w:val="20"/>
        <w:lang w:val="en-US"/>
      </w:rPr>
    </w:pPr>
    <w:r w:rsidRPr="6256C931" w:rsidR="6256C931">
      <w:rPr>
        <w:rStyle w:val="normaltextrun"/>
        <w:rFonts w:ascii="Arial" w:hAnsi="Arial" w:cs="Arial"/>
        <w:sz w:val="20"/>
        <w:szCs w:val="20"/>
      </w:rPr>
      <w:t>Next review: September 202</w:t>
    </w:r>
    <w:r w:rsidRPr="6256C931" w:rsidR="6256C931">
      <w:rPr>
        <w:rStyle w:val="normaltextrun"/>
        <w:rFonts w:ascii="Arial" w:hAnsi="Arial" w:cs="Arial"/>
        <w:sz w:val="20"/>
        <w:szCs w:val="20"/>
      </w:rPr>
      <w:t>4</w:t>
    </w:r>
  </w:p>
  <w:p w:rsidR="002750C2" w:rsidP="002750C2" w:rsidRDefault="002750C2" w14:paraId="675D1A60" w14:textId="7777777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0D14EB">
      <w:rPr>
        <w:rStyle w:val="PageNumber"/>
        <w:noProof/>
        <w:sz w:val="20"/>
      </w:rPr>
      <w:t>2</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0D14EB">
      <w:rPr>
        <w:rStyle w:val="PageNumber"/>
        <w:noProof/>
        <w:sz w:val="20"/>
      </w:rPr>
      <w:t>4</w:t>
    </w:r>
    <w:r w:rsidRPr="006A5596">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5580E" w:rsidRDefault="00C5580E" w14:paraId="24A694E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750C2" w:rsidP="002750C2" w:rsidRDefault="002750C2" w14:paraId="68C6DD86" w14:textId="77777777">
      <w:pPr>
        <w:spacing w:after="0" w:line="240" w:lineRule="auto"/>
      </w:pPr>
      <w:r>
        <w:separator/>
      </w:r>
    </w:p>
  </w:footnote>
  <w:footnote w:type="continuationSeparator" w:id="0">
    <w:p w:rsidR="002750C2" w:rsidP="002750C2" w:rsidRDefault="002750C2" w14:paraId="53D142CE" w14:textId="77777777">
      <w:pPr>
        <w:spacing w:after="0" w:line="240" w:lineRule="auto"/>
      </w:pPr>
      <w:r>
        <w:continuationSeparator/>
      </w:r>
    </w:p>
  </w:footnote>
  <w:footnote w:type="continuationNotice" w:id="1">
    <w:p w:rsidR="00FB5C71" w:rsidRDefault="00FB5C71" w14:paraId="01CCCF1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5580E" w:rsidRDefault="00C5580E" w14:paraId="4C43E21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2750C2" w:rsidP="00634EAB" w:rsidRDefault="00470361" w14:paraId="0BC77558" w14:textId="4FB49683">
    <w:pPr>
      <w:pStyle w:val="Header"/>
      <w:tabs>
        <w:tab w:val="clear" w:pos="9026"/>
        <w:tab w:val="left" w:pos="360"/>
        <w:tab w:val="right" w:pos="9025"/>
      </w:tabs>
      <w:jc w:val="right"/>
    </w:pPr>
    <w:r>
      <w:rPr>
        <w:noProof/>
      </w:rPr>
      <mc:AlternateContent>
        <mc:Choice Requires="wps">
          <w:drawing>
            <wp:anchor distT="45720" distB="45720" distL="114300" distR="114300" simplePos="0" relativeHeight="251658241" behindDoc="0" locked="0" layoutInCell="1" allowOverlap="1" wp14:anchorId="5DFF01BF" wp14:editId="71961509">
              <wp:simplePos x="0" y="0"/>
              <wp:positionH relativeFrom="column">
                <wp:posOffset>-304800</wp:posOffset>
              </wp:positionH>
              <wp:positionV relativeFrom="paragraph">
                <wp:posOffset>407670</wp:posOffset>
              </wp:positionV>
              <wp:extent cx="5029200" cy="30480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04800"/>
                      </a:xfrm>
                      <a:prstGeom prst="rect">
                        <a:avLst/>
                      </a:prstGeom>
                      <a:solidFill>
                        <a:srgbClr val="FFFFFF"/>
                      </a:solidFill>
                      <a:ln w="9525">
                        <a:noFill/>
                        <a:miter lim="800000"/>
                        <a:headEnd/>
                        <a:tailEnd/>
                      </a:ln>
                    </wps:spPr>
                    <wps:txbx>
                      <w:txbxContent>
                        <w:p w:rsidRPr="002750C2" w:rsidR="00470361" w:rsidP="00D403ED" w:rsidRDefault="00470361" w14:paraId="65A8F1B0" w14:textId="01C3DA13">
                          <w:pPr>
                            <w:pStyle w:val="Header"/>
                            <w:ind w:right="284"/>
                            <w:jc w:val="right"/>
                            <w:rPr>
                              <w:b/>
                              <w:sz w:val="24"/>
                            </w:rPr>
                          </w:pPr>
                          <w:r w:rsidRPr="002750C2">
                            <w:rPr>
                              <w:b/>
                              <w:sz w:val="24"/>
                            </w:rPr>
                            <w:t>Code of Practice for</w:t>
                          </w:r>
                          <w:r w:rsidR="00544238">
                            <w:rPr>
                              <w:b/>
                              <w:sz w:val="24"/>
                            </w:rPr>
                            <w:t xml:space="preserve"> </w:t>
                          </w:r>
                          <w:r w:rsidRPr="002750C2">
                            <w:rPr>
                              <w:b/>
                              <w:sz w:val="24"/>
                            </w:rPr>
                            <w:t>Research Courses of Study</w:t>
                          </w:r>
                        </w:p>
                        <w:p w:rsidR="00470361" w:rsidRDefault="00470361" w14:paraId="2AC5CEE6" w14:textId="5E3A51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B3290A9">
            <v:shapetype id="_x0000_t202" coordsize="21600,21600" o:spt="202" path="m,l,21600r21600,l21600,xe" w14:anchorId="5DFF01BF">
              <v:stroke joinstyle="miter"/>
              <v:path gradientshapeok="t" o:connecttype="rect"/>
            </v:shapetype>
            <v:shape id="Text Box 217" style="position:absolute;left:0;text-align:left;margin-left:-24pt;margin-top:32.1pt;width:396pt;height:24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">
              <v:textbox>
                <w:txbxContent>
                  <w:p w:rsidRPr="002750C2" w:rsidR="00470361" w:rsidP="00D403ED" w:rsidRDefault="00470361" w14:paraId="1E96D6F1" w14:textId="01C3DA13">
                    <w:pPr>
                      <w:pStyle w:val="Header"/>
                      <w:ind w:right="284"/>
                      <w:jc w:val="right"/>
                      <w:rPr>
                        <w:b/>
                        <w:sz w:val="24"/>
                      </w:rPr>
                    </w:pPr>
                    <w:r w:rsidRPr="002750C2">
                      <w:rPr>
                        <w:b/>
                        <w:sz w:val="24"/>
                      </w:rPr>
                      <w:t>Code of Practice for</w:t>
                    </w:r>
                    <w:r w:rsidR="00544238">
                      <w:rPr>
                        <w:b/>
                        <w:sz w:val="24"/>
                      </w:rPr>
                      <w:t xml:space="preserve"> </w:t>
                    </w:r>
                    <w:r w:rsidRPr="002750C2">
                      <w:rPr>
                        <w:b/>
                        <w:sz w:val="24"/>
                      </w:rPr>
                      <w:t>Research Courses of Study</w:t>
                    </w:r>
                  </w:p>
                  <w:p w:rsidR="00470361" w:rsidRDefault="00470361" w14:paraId="672A6659" w14:textId="5E3A5181"/>
                </w:txbxContent>
              </v:textbox>
              <w10:wrap type="square"/>
            </v:shape>
          </w:pict>
        </mc:Fallback>
      </mc:AlternateContent>
    </w:r>
  </w:p>
  <w:p w:rsidR="004E52B2" w:rsidP="004E52B2" w:rsidRDefault="00F04130" w14:paraId="10667C1A" w14:textId="0AA3B479">
    <w:pPr>
      <w:pStyle w:val="Header"/>
      <w:ind w:right="284"/>
      <w:jc w:val="right"/>
      <w:rPr>
        <w:b/>
        <w:sz w:val="24"/>
      </w:rPr>
    </w:pPr>
    <w:r>
      <w:rPr>
        <w:b/>
        <w:noProof/>
        <w:sz w:val="24"/>
      </w:rPr>
      <w:drawing>
        <wp:anchor distT="0" distB="0" distL="114300" distR="114300" simplePos="0" relativeHeight="251658240" behindDoc="0" locked="0" layoutInCell="1" allowOverlap="1" wp14:anchorId="0C7DC386" wp14:editId="5789E796">
          <wp:simplePos x="0" y="0"/>
          <wp:positionH relativeFrom="margin">
            <wp:posOffset>-915670</wp:posOffset>
          </wp:positionH>
          <wp:positionV relativeFrom="paragraph">
            <wp:posOffset>-610235</wp:posOffset>
          </wp:positionV>
          <wp:extent cx="7560000" cy="1124870"/>
          <wp:effectExtent l="0" t="0" r="3175" b="0"/>
          <wp:wrapSquare wrapText="bothSides"/>
          <wp:docPr id="109164744" name="Picture 109164744" descr="Kent Logo in a blue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64744" name="Picture 1" descr="Kent Logo in a blue rectangle"/>
                  <pic:cNvPicPr/>
                </pic:nvPicPr>
                <pic:blipFill>
                  <a:blip r:embed="rId1">
                    <a:extLst>
                      <a:ext uri="{28A0092B-C50C-407E-A947-70E740481C1C}">
                        <a14:useLocalDpi xmlns:a14="http://schemas.microsoft.com/office/drawing/2010/main" val="0"/>
                      </a:ext>
                    </a:extLst>
                  </a:blip>
                  <a:stretch>
                    <a:fillRect/>
                  </a:stretch>
                </pic:blipFill>
                <pic:spPr>
                  <a:xfrm>
                    <a:off x="0" y="0"/>
                    <a:ext cx="7560000" cy="11248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5580E" w:rsidRDefault="00C5580E" w14:paraId="2C65592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D221ED"/>
    <w:multiLevelType w:val="hybridMultilevel"/>
    <w:tmpl w:val="C9B48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8649F"/>
    <w:multiLevelType w:val="hybridMultilevel"/>
    <w:tmpl w:val="DC8222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B6234DB"/>
    <w:multiLevelType w:val="multilevel"/>
    <w:tmpl w:val="9FC03766"/>
    <w:lvl w:ilvl="0">
      <w:start w:val="1"/>
      <w:numFmt w:val="decimal"/>
      <w:pStyle w:val="Heading1"/>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3" w15:restartNumberingAfterBreak="0">
    <w:nsid w:val="77512FCC"/>
    <w:multiLevelType w:val="hybridMultilevel"/>
    <w:tmpl w:val="2F8EC216"/>
    <w:lvl w:ilvl="0" w:tplc="3320DCC4">
      <w:start w:val="1"/>
      <w:numFmt w:val="decimal"/>
      <w:lvlText w:val="%1."/>
      <w:lvlJc w:val="left"/>
      <w:pPr>
        <w:ind w:left="566"/>
      </w:pPr>
      <w:rPr>
        <w:rFonts w:ascii="Arial" w:hAnsi="Arial" w:eastAsia="Arial" w:cs="Arial"/>
        <w:b w:val="0"/>
        <w:i w:val="0"/>
        <w:strike w:val="0"/>
        <w:dstrike w:val="0"/>
        <w:color w:val="000000"/>
        <w:sz w:val="24"/>
        <w:szCs w:val="22"/>
        <w:u w:val="none" w:color="000000"/>
        <w:bdr w:val="none" w:color="auto" w:sz="0" w:space="0"/>
        <w:shd w:val="clear" w:color="auto" w:fill="auto"/>
        <w:vertAlign w:val="baseline"/>
      </w:rPr>
    </w:lvl>
    <w:lvl w:ilvl="1" w:tplc="4F76E624">
      <w:start w:val="1"/>
      <w:numFmt w:val="bullet"/>
      <w:lvlText w:val="•"/>
      <w:lvlJc w:val="left"/>
      <w:pPr>
        <w:ind w:left="994"/>
      </w:pPr>
      <w:rPr>
        <w:rFonts w:ascii="Arial" w:hAnsi="Arial" w:eastAsia="Arial" w:cs="Arial"/>
        <w:b w:val="0"/>
        <w:i w:val="0"/>
        <w:strike w:val="0"/>
        <w:dstrike w:val="0"/>
        <w:color w:val="000000"/>
        <w:sz w:val="28"/>
        <w:szCs w:val="22"/>
        <w:u w:val="none" w:color="000000"/>
        <w:bdr w:val="none" w:color="auto" w:sz="0" w:space="0"/>
        <w:shd w:val="clear" w:color="auto" w:fill="auto"/>
        <w:vertAlign w:val="baseline"/>
      </w:rPr>
    </w:lvl>
    <w:lvl w:ilvl="2" w:tplc="9C2E1F1C">
      <w:start w:val="1"/>
      <w:numFmt w:val="bullet"/>
      <w:lvlText w:val="▪"/>
      <w:lvlJc w:val="left"/>
      <w:pPr>
        <w:ind w:left="164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F7C4A23C">
      <w:start w:val="1"/>
      <w:numFmt w:val="bullet"/>
      <w:lvlText w:val="•"/>
      <w:lvlJc w:val="left"/>
      <w:pPr>
        <w:ind w:left="236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5E6CAB1A">
      <w:start w:val="1"/>
      <w:numFmt w:val="bullet"/>
      <w:lvlText w:val="o"/>
      <w:lvlJc w:val="left"/>
      <w:pPr>
        <w:ind w:left="308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8C34505E">
      <w:start w:val="1"/>
      <w:numFmt w:val="bullet"/>
      <w:lvlText w:val="▪"/>
      <w:lvlJc w:val="left"/>
      <w:pPr>
        <w:ind w:left="380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8F36A7B6">
      <w:start w:val="1"/>
      <w:numFmt w:val="bullet"/>
      <w:lvlText w:val="•"/>
      <w:lvlJc w:val="left"/>
      <w:pPr>
        <w:ind w:left="452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7DCA30C0">
      <w:start w:val="1"/>
      <w:numFmt w:val="bullet"/>
      <w:lvlText w:val="o"/>
      <w:lvlJc w:val="left"/>
      <w:pPr>
        <w:ind w:left="524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8A02D62A">
      <w:start w:val="1"/>
      <w:numFmt w:val="bullet"/>
      <w:lvlText w:val="▪"/>
      <w:lvlJc w:val="left"/>
      <w:pPr>
        <w:ind w:left="596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4" w15:restartNumberingAfterBreak="0">
    <w:nsid w:val="7CDC45A6"/>
    <w:multiLevelType w:val="multilevel"/>
    <w:tmpl w:val="163AF77C"/>
    <w:lvl w:ilvl="0">
      <w:start w:val="1"/>
      <w:numFmt w:val="decimal"/>
      <w:lvlText w:val="%1."/>
      <w:lvlJc w:val="left"/>
      <w:pPr>
        <w:ind w:left="566" w:firstLine="0"/>
      </w:pPr>
      <w:rPr>
        <w:rFonts w:hint="default" w:ascii="Arial" w:hAnsi="Arial" w:eastAsia="Arial" w:cs="Arial"/>
        <w:b/>
        <w:bCs/>
        <w:i w:val="0"/>
        <w:strike w:val="0"/>
        <w:dstrike w:val="0"/>
        <w:color w:val="000000"/>
        <w:sz w:val="24"/>
        <w:szCs w:val="22"/>
        <w:u w:val="none" w:color="000000"/>
        <w:vertAlign w:val="baseline"/>
      </w:rPr>
    </w:lvl>
    <w:lvl w:ilvl="1">
      <w:start w:val="1"/>
      <w:numFmt w:val="decimal"/>
      <w:lvlText w:val="2.%2"/>
      <w:lvlJc w:val="left"/>
      <w:pPr>
        <w:ind w:left="1286" w:firstLine="0"/>
      </w:pPr>
      <w:rPr>
        <w:rFonts w:hint="default"/>
        <w:b w:val="0"/>
        <w:i w:val="0"/>
        <w:strike w:val="0"/>
        <w:dstrike w:val="0"/>
        <w:color w:val="000000"/>
        <w:sz w:val="24"/>
        <w:szCs w:val="22"/>
        <w:u w:val="none" w:color="000000"/>
        <w:vertAlign w:val="baseline"/>
      </w:rPr>
    </w:lvl>
    <w:lvl w:ilvl="2">
      <w:start w:val="1"/>
      <w:numFmt w:val="decimal"/>
      <w:lvlText w:val="2.4.%3"/>
      <w:lvlJc w:val="left"/>
      <w:pPr>
        <w:ind w:left="567" w:firstLine="0"/>
      </w:pPr>
      <w:rPr>
        <w:rFonts w:hint="default" w:ascii="Arial" w:hAnsi="Arial" w:cs="Arial"/>
        <w:b w:val="0"/>
        <w:i w:val="0"/>
        <w:strike w:val="0"/>
        <w:dstrike w:val="0"/>
        <w:color w:val="000000"/>
        <w:sz w:val="22"/>
        <w:szCs w:val="22"/>
        <w:u w:val="none" w:color="000000"/>
        <w:vertAlign w:val="baseline"/>
      </w:rPr>
    </w:lvl>
    <w:lvl w:ilvl="3">
      <w:start w:val="1"/>
      <w:numFmt w:val="decimal"/>
      <w:lvlText w:val="%4"/>
      <w:lvlJc w:val="left"/>
      <w:pPr>
        <w:ind w:left="1080" w:firstLine="0"/>
      </w:pPr>
      <w:rPr>
        <w:rFonts w:hint="default" w:ascii="Arial" w:hAnsi="Arial" w:eastAsia="Arial" w:cs="Arial"/>
        <w:b w:val="0"/>
        <w:i w:val="0"/>
        <w:strike w:val="0"/>
        <w:dstrike w:val="0"/>
        <w:color w:val="000000"/>
        <w:sz w:val="20"/>
        <w:szCs w:val="20"/>
        <w:u w:val="none" w:color="000000"/>
        <w:vertAlign w:val="baseline"/>
      </w:rPr>
    </w:lvl>
    <w:lvl w:ilvl="4">
      <w:start w:val="1"/>
      <w:numFmt w:val="lowerLetter"/>
      <w:lvlText w:val="%5"/>
      <w:lvlJc w:val="left"/>
      <w:pPr>
        <w:ind w:left="1800" w:firstLine="0"/>
      </w:pPr>
      <w:rPr>
        <w:rFonts w:hint="default" w:ascii="Arial" w:hAnsi="Arial" w:eastAsia="Arial" w:cs="Arial"/>
        <w:b w:val="0"/>
        <w:i w:val="0"/>
        <w:strike w:val="0"/>
        <w:dstrike w:val="0"/>
        <w:color w:val="000000"/>
        <w:sz w:val="20"/>
        <w:szCs w:val="20"/>
        <w:u w:val="none" w:color="000000"/>
        <w:vertAlign w:val="baseline"/>
      </w:rPr>
    </w:lvl>
    <w:lvl w:ilvl="5">
      <w:start w:val="1"/>
      <w:numFmt w:val="lowerRoman"/>
      <w:lvlText w:val="%6"/>
      <w:lvlJc w:val="left"/>
      <w:pPr>
        <w:ind w:left="2520" w:firstLine="0"/>
      </w:pPr>
      <w:rPr>
        <w:rFonts w:hint="default" w:ascii="Arial" w:hAnsi="Arial" w:eastAsia="Arial" w:cs="Arial"/>
        <w:b w:val="0"/>
        <w:i w:val="0"/>
        <w:strike w:val="0"/>
        <w:dstrike w:val="0"/>
        <w:color w:val="000000"/>
        <w:sz w:val="20"/>
        <w:szCs w:val="20"/>
        <w:u w:val="none" w:color="000000"/>
        <w:vertAlign w:val="baseline"/>
      </w:rPr>
    </w:lvl>
    <w:lvl w:ilvl="6">
      <w:start w:val="1"/>
      <w:numFmt w:val="decimal"/>
      <w:lvlText w:val="%7"/>
      <w:lvlJc w:val="left"/>
      <w:pPr>
        <w:ind w:left="3240" w:firstLine="0"/>
      </w:pPr>
      <w:rPr>
        <w:rFonts w:hint="default" w:ascii="Arial" w:hAnsi="Arial" w:eastAsia="Arial" w:cs="Arial"/>
        <w:b w:val="0"/>
        <w:i w:val="0"/>
        <w:strike w:val="0"/>
        <w:dstrike w:val="0"/>
        <w:color w:val="000000"/>
        <w:sz w:val="20"/>
        <w:szCs w:val="20"/>
        <w:u w:val="none" w:color="000000"/>
        <w:vertAlign w:val="baseline"/>
      </w:rPr>
    </w:lvl>
    <w:lvl w:ilvl="7">
      <w:start w:val="1"/>
      <w:numFmt w:val="lowerLetter"/>
      <w:lvlText w:val="%8"/>
      <w:lvlJc w:val="left"/>
      <w:pPr>
        <w:ind w:left="3960" w:firstLine="0"/>
      </w:pPr>
      <w:rPr>
        <w:rFonts w:hint="default" w:ascii="Arial" w:hAnsi="Arial" w:eastAsia="Arial" w:cs="Arial"/>
        <w:b w:val="0"/>
        <w:i w:val="0"/>
        <w:strike w:val="0"/>
        <w:dstrike w:val="0"/>
        <w:color w:val="000000"/>
        <w:sz w:val="20"/>
        <w:szCs w:val="20"/>
        <w:u w:val="none" w:color="000000"/>
        <w:vertAlign w:val="baseline"/>
      </w:rPr>
    </w:lvl>
    <w:lvl w:ilvl="8">
      <w:start w:val="1"/>
      <w:numFmt w:val="lowerRoman"/>
      <w:lvlText w:val="%9"/>
      <w:lvlJc w:val="left"/>
      <w:pPr>
        <w:ind w:left="4680" w:firstLine="0"/>
      </w:pPr>
      <w:rPr>
        <w:rFonts w:hint="default" w:ascii="Arial" w:hAnsi="Arial" w:eastAsia="Arial" w:cs="Arial"/>
        <w:b w:val="0"/>
        <w:i w:val="0"/>
        <w:strike w:val="0"/>
        <w:dstrike w:val="0"/>
        <w:color w:val="000000"/>
        <w:sz w:val="20"/>
        <w:szCs w:val="20"/>
        <w:u w:val="none" w:color="000000"/>
        <w:vertAlign w:val="baseline"/>
      </w:rPr>
    </w:lvl>
  </w:abstractNum>
  <w:num w:numId="1" w16cid:durableId="46298015">
    <w:abstractNumId w:val="2"/>
  </w:num>
  <w:num w:numId="2" w16cid:durableId="1381437123">
    <w:abstractNumId w:val="4"/>
  </w:num>
  <w:num w:numId="3" w16cid:durableId="1013141915">
    <w:abstractNumId w:val="3"/>
  </w:num>
  <w:num w:numId="4" w16cid:durableId="226261196">
    <w:abstractNumId w:val="1"/>
  </w:num>
  <w:num w:numId="5" w16cid:durableId="195324377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73D3D"/>
    <w:rsid w:val="000D14EB"/>
    <w:rsid w:val="001355B1"/>
    <w:rsid w:val="00146B68"/>
    <w:rsid w:val="00172A86"/>
    <w:rsid w:val="001E3ADE"/>
    <w:rsid w:val="00205A24"/>
    <w:rsid w:val="002750C2"/>
    <w:rsid w:val="002E2660"/>
    <w:rsid w:val="002F7E36"/>
    <w:rsid w:val="00307687"/>
    <w:rsid w:val="00340B4E"/>
    <w:rsid w:val="00382022"/>
    <w:rsid w:val="00470361"/>
    <w:rsid w:val="00472C0B"/>
    <w:rsid w:val="00476473"/>
    <w:rsid w:val="004B32FB"/>
    <w:rsid w:val="004E52B2"/>
    <w:rsid w:val="00544238"/>
    <w:rsid w:val="005C393E"/>
    <w:rsid w:val="00634EAB"/>
    <w:rsid w:val="0065468C"/>
    <w:rsid w:val="006F60A4"/>
    <w:rsid w:val="007666B5"/>
    <w:rsid w:val="007702E8"/>
    <w:rsid w:val="009C0835"/>
    <w:rsid w:val="00A05143"/>
    <w:rsid w:val="00AB1E8B"/>
    <w:rsid w:val="00B50398"/>
    <w:rsid w:val="00BB1A80"/>
    <w:rsid w:val="00BD63FD"/>
    <w:rsid w:val="00BF3635"/>
    <w:rsid w:val="00C06BB6"/>
    <w:rsid w:val="00C5580E"/>
    <w:rsid w:val="00CB31DE"/>
    <w:rsid w:val="00D403ED"/>
    <w:rsid w:val="00DD7A62"/>
    <w:rsid w:val="00E12388"/>
    <w:rsid w:val="00ED2C76"/>
    <w:rsid w:val="00F04130"/>
    <w:rsid w:val="00F12402"/>
    <w:rsid w:val="00F12EA4"/>
    <w:rsid w:val="00F63240"/>
    <w:rsid w:val="00FB5C71"/>
    <w:rsid w:val="00FC6809"/>
    <w:rsid w:val="00FE4AB0"/>
    <w:rsid w:val="3D5D198D"/>
    <w:rsid w:val="6256C9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E4CE3C2"/>
  <w15:chartTrackingRefBased/>
  <w15:docId w15:val="{C5C49296-8573-4C26-91B7-70D95B436F6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F7E36"/>
    <w:pPr>
      <w:spacing w:after="113" w:line="249" w:lineRule="auto"/>
      <w:ind w:left="862" w:right="1" w:hanging="862"/>
      <w:jc w:val="both"/>
    </w:pPr>
    <w:rPr>
      <w:rFonts w:ascii="Arial" w:hAnsi="Arial" w:eastAsia="Arial" w:cs="Arial"/>
      <w:color w:val="000000"/>
      <w:lang w:eastAsia="en-GB"/>
    </w:rPr>
  </w:style>
  <w:style w:type="paragraph" w:styleId="Heading1">
    <w:name w:val="heading 1"/>
    <w:basedOn w:val="Normal"/>
    <w:next w:val="Normal"/>
    <w:link w:val="Heading1Char"/>
    <w:autoRedefine/>
    <w:uiPriority w:val="9"/>
    <w:qFormat/>
    <w:rsid w:val="002F7E36"/>
    <w:pPr>
      <w:keepNext/>
      <w:keepLines/>
      <w:numPr>
        <w:numId w:val="1"/>
      </w:numPr>
      <w:tabs>
        <w:tab w:val="left" w:pos="567"/>
      </w:tabs>
      <w:spacing w:after="120" w:line="240" w:lineRule="auto"/>
      <w:ind w:right="0" w:hanging="567"/>
      <w:outlineLvl w:val="0"/>
    </w:pPr>
    <w:rPr>
      <w:rFonts w:eastAsiaTheme="majorEastAsia" w:cstheme="majorBidi"/>
      <w:b/>
      <w:sz w:val="24"/>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F7E36"/>
    <w:rPr>
      <w:rFonts w:ascii="Arial" w:hAnsi="Arial" w:eastAsiaTheme="majorEastAsia"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line="240" w:lineRule="auto"/>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ListParagraph">
    <w:name w:val="List Paragraph"/>
    <w:basedOn w:val="Normal"/>
    <w:uiPriority w:val="34"/>
    <w:qFormat/>
    <w:rsid w:val="00476473"/>
    <w:pPr>
      <w:spacing w:after="111"/>
      <w:ind w:left="720" w:right="3" w:hanging="437"/>
      <w:contextualSpacing/>
    </w:pPr>
  </w:style>
  <w:style w:type="paragraph" w:styleId="Title">
    <w:name w:val="Title"/>
    <w:basedOn w:val="Normal"/>
    <w:next w:val="Normal"/>
    <w:link w:val="TitleChar"/>
    <w:uiPriority w:val="10"/>
    <w:qFormat/>
    <w:rsid w:val="00307687"/>
    <w:pPr>
      <w:spacing w:after="120" w:line="240" w:lineRule="auto"/>
      <w:ind w:right="0"/>
      <w:jc w:val="left"/>
    </w:pPr>
    <w:rPr>
      <w:rFonts w:eastAsiaTheme="majorEastAsia" w:cstheme="majorBidi"/>
      <w:b/>
      <w:color w:val="auto"/>
      <w:spacing w:val="-10"/>
      <w:kern w:val="28"/>
      <w:sz w:val="32"/>
      <w:szCs w:val="56"/>
    </w:rPr>
  </w:style>
  <w:style w:type="character" w:styleId="TitleChar" w:customStyle="1">
    <w:name w:val="Title Char"/>
    <w:basedOn w:val="DefaultParagraphFont"/>
    <w:link w:val="Title"/>
    <w:uiPriority w:val="10"/>
    <w:rsid w:val="00307687"/>
    <w:rPr>
      <w:rFonts w:ascii="Arial" w:hAnsi="Arial" w:eastAsiaTheme="majorEastAsia" w:cstheme="majorBidi"/>
      <w:b/>
      <w:spacing w:val="-10"/>
      <w:kern w:val="28"/>
      <w:sz w:val="32"/>
      <w:szCs w:val="56"/>
      <w:lang w:eastAsia="en-GB"/>
    </w:rPr>
  </w:style>
  <w:style w:type="paragraph" w:styleId="Subtitle">
    <w:name w:val="Subtitle"/>
    <w:basedOn w:val="Normal"/>
    <w:next w:val="Normal"/>
    <w:link w:val="SubtitleChar"/>
    <w:uiPriority w:val="11"/>
    <w:qFormat/>
    <w:rsid w:val="00307687"/>
    <w:pPr>
      <w:numPr>
        <w:ilvl w:val="1"/>
      </w:numPr>
      <w:spacing w:after="120" w:line="240" w:lineRule="auto"/>
      <w:ind w:left="862" w:right="0" w:hanging="862"/>
      <w:jc w:val="left"/>
    </w:pPr>
    <w:rPr>
      <w:rFonts w:eastAsiaTheme="minorEastAsia" w:cstheme="minorBidi"/>
      <w:b/>
      <w:color w:val="auto"/>
      <w:spacing w:val="15"/>
      <w:sz w:val="24"/>
    </w:rPr>
  </w:style>
  <w:style w:type="character" w:styleId="SubtitleChar" w:customStyle="1">
    <w:name w:val="Subtitle Char"/>
    <w:basedOn w:val="DefaultParagraphFont"/>
    <w:link w:val="Subtitle"/>
    <w:uiPriority w:val="11"/>
    <w:rsid w:val="00307687"/>
    <w:rPr>
      <w:rFonts w:ascii="Arial" w:hAnsi="Arial" w:eastAsiaTheme="minorEastAsia"/>
      <w:b/>
      <w:spacing w:val="15"/>
      <w:sz w:val="24"/>
      <w:lang w:eastAsia="en-GB"/>
    </w:rPr>
  </w:style>
  <w:style w:type="paragraph" w:styleId="TOC1">
    <w:name w:val="toc 1"/>
    <w:basedOn w:val="Normal"/>
    <w:next w:val="Normal"/>
    <w:autoRedefine/>
    <w:uiPriority w:val="39"/>
    <w:unhideWhenUsed/>
    <w:rsid w:val="00307687"/>
    <w:pPr>
      <w:spacing w:after="100" w:line="240" w:lineRule="auto"/>
      <w:ind w:left="0" w:right="0"/>
      <w:jc w:val="left"/>
    </w:pPr>
    <w:rPr>
      <w:sz w:val="24"/>
    </w:rPr>
  </w:style>
  <w:style w:type="paragraph" w:styleId="TOC2">
    <w:name w:val="toc 2"/>
    <w:basedOn w:val="Normal"/>
    <w:next w:val="Normal"/>
    <w:autoRedefine/>
    <w:uiPriority w:val="39"/>
    <w:unhideWhenUsed/>
    <w:rsid w:val="00307687"/>
    <w:pPr>
      <w:spacing w:after="100" w:line="240" w:lineRule="auto"/>
      <w:ind w:left="240" w:right="0"/>
      <w:jc w:val="left"/>
    </w:pPr>
    <w:rPr>
      <w:sz w:val="24"/>
    </w:rPr>
  </w:style>
  <w:style w:type="paragraph" w:styleId="TOC3">
    <w:name w:val="toc 3"/>
    <w:basedOn w:val="Normal"/>
    <w:next w:val="Normal"/>
    <w:autoRedefine/>
    <w:uiPriority w:val="39"/>
    <w:unhideWhenUsed/>
    <w:rsid w:val="00307687"/>
    <w:pPr>
      <w:tabs>
        <w:tab w:val="left" w:pos="1320"/>
        <w:tab w:val="right" w:leader="dot" w:pos="9016"/>
      </w:tabs>
      <w:spacing w:after="100" w:line="240" w:lineRule="auto"/>
      <w:ind w:left="851" w:right="0" w:hanging="851"/>
      <w:jc w:val="left"/>
    </w:pPr>
    <w:rPr>
      <w:sz w:val="24"/>
    </w:rPr>
  </w:style>
  <w:style w:type="character" w:styleId="CommentReference">
    <w:name w:val="annotation reference"/>
    <w:basedOn w:val="DefaultParagraphFont"/>
    <w:uiPriority w:val="99"/>
    <w:semiHidden/>
    <w:unhideWhenUsed/>
    <w:rsid w:val="00ED2C76"/>
    <w:rPr>
      <w:sz w:val="16"/>
      <w:szCs w:val="16"/>
    </w:rPr>
  </w:style>
  <w:style w:type="paragraph" w:styleId="CommentText">
    <w:name w:val="annotation text"/>
    <w:basedOn w:val="Normal"/>
    <w:link w:val="CommentTextChar"/>
    <w:uiPriority w:val="99"/>
    <w:semiHidden/>
    <w:unhideWhenUsed/>
    <w:rsid w:val="00ED2C76"/>
    <w:pPr>
      <w:spacing w:line="240" w:lineRule="auto"/>
    </w:pPr>
    <w:rPr>
      <w:sz w:val="20"/>
      <w:szCs w:val="20"/>
    </w:rPr>
  </w:style>
  <w:style w:type="character" w:styleId="CommentTextChar" w:customStyle="1">
    <w:name w:val="Comment Text Char"/>
    <w:basedOn w:val="DefaultParagraphFont"/>
    <w:link w:val="CommentText"/>
    <w:uiPriority w:val="99"/>
    <w:semiHidden/>
    <w:rsid w:val="00ED2C76"/>
    <w:rPr>
      <w:rFonts w:ascii="Arial" w:hAnsi="Arial" w:eastAsia="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ED2C76"/>
    <w:rPr>
      <w:b/>
      <w:bCs/>
    </w:rPr>
  </w:style>
  <w:style w:type="character" w:styleId="CommentSubjectChar" w:customStyle="1">
    <w:name w:val="Comment Subject Char"/>
    <w:basedOn w:val="CommentTextChar"/>
    <w:link w:val="CommentSubject"/>
    <w:uiPriority w:val="99"/>
    <w:semiHidden/>
    <w:rsid w:val="00ED2C76"/>
    <w:rPr>
      <w:rFonts w:ascii="Arial" w:hAnsi="Arial" w:eastAsia="Arial" w:cs="Arial"/>
      <w:b/>
      <w:bCs/>
      <w:color w:val="000000"/>
      <w:sz w:val="20"/>
      <w:szCs w:val="20"/>
      <w:lang w:eastAsia="en-GB"/>
    </w:rPr>
  </w:style>
  <w:style w:type="paragraph" w:styleId="Revision">
    <w:name w:val="Revision"/>
    <w:hidden/>
    <w:uiPriority w:val="99"/>
    <w:semiHidden/>
    <w:rsid w:val="00CB31DE"/>
    <w:pPr>
      <w:spacing w:after="0" w:line="240" w:lineRule="auto"/>
    </w:pPr>
    <w:rPr>
      <w:rFonts w:ascii="Arial" w:hAnsi="Arial" w:eastAsia="Arial" w:cs="Arial"/>
      <w:color w:val="000000"/>
      <w:lang w:eastAsia="en-GB"/>
    </w:rPr>
  </w:style>
  <w:style w:type="character" w:styleId="UnresolvedMention">
    <w:name w:val="Unresolved Mention"/>
    <w:basedOn w:val="DefaultParagraphFont"/>
    <w:uiPriority w:val="99"/>
    <w:semiHidden/>
    <w:unhideWhenUsed/>
    <w:rsid w:val="00C55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844a565-d903-479b-8f5d-e7c9db0d7e7d">
      <Terms xmlns="http://schemas.microsoft.com/office/infopath/2007/PartnerControls"/>
    </lcf76f155ced4ddcb4097134ff3c332f>
    <TaxCatchAll xmlns="1fdcc210-6ef1-468c-b14e-f77be65fdea8" xsi:nil="true"/>
    <Document_x0020_Status xmlns="4844a565-d903-479b-8f5d-e7c9db0d7e7d">Completed</Document_x0020_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F7D0C-8F13-4952-B74F-86C199A9A344}">
  <ds:schemaRefs>
    <ds:schemaRef ds:uri="http://schemas.microsoft.com/sharepoint/v3/contenttype/forms"/>
  </ds:schemaRefs>
</ds:datastoreItem>
</file>

<file path=customXml/itemProps2.xml><?xml version="1.0" encoding="utf-8"?>
<ds:datastoreItem xmlns:ds="http://schemas.openxmlformats.org/officeDocument/2006/customXml" ds:itemID="{50BC0B22-DFC2-4C38-9F4B-18A9F4A345EB}">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customXml/itemProps3.xml><?xml version="1.0" encoding="utf-8"?>
<ds:datastoreItem xmlns:ds="http://schemas.openxmlformats.org/officeDocument/2006/customXml" ds:itemID="{BDED00AD-E744-41D9-A2C3-B8F877774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4a565-d903-479b-8f5d-e7c9db0d7e7d"/>
    <ds:schemaRef ds:uri="1fdcc210-6ef1-468c-b14e-f77be65fd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6CC8F0-DA01-43A8-BE76-5FB8880DAA5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15</cp:revision>
  <cp:lastPrinted>2022-10-21T10:02:00Z</cp:lastPrinted>
  <dcterms:created xsi:type="dcterms:W3CDTF">2023-08-09T05:05:00Z</dcterms:created>
  <dcterms:modified xsi:type="dcterms:W3CDTF">2023-11-10T12:16:55Z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