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755D" w:rsidR="00C23751" w:rsidP="00BF2E11" w:rsidRDefault="00C23751" w14:paraId="4B53A6C5" w14:textId="77777777">
      <w:pPr>
        <w:pStyle w:val="Title"/>
        <w:rPr>
          <w:b w:val="0"/>
        </w:rPr>
      </w:pPr>
      <w:r w:rsidRPr="00D1755D">
        <w:t>Annex C: Approval of Research Candidates and Projects</w:t>
      </w:r>
    </w:p>
    <w:p w:rsidR="00C23751" w:rsidP="00C23751" w:rsidRDefault="00C23751" w14:paraId="63319F04" w14:textId="77777777">
      <w:pPr>
        <w:spacing w:after="120" w:line="240" w:lineRule="auto"/>
        <w:ind w:left="0" w:right="287" w:firstLine="0"/>
        <w:jc w:val="left"/>
        <w:rPr>
          <w:sz w:val="24"/>
          <w:szCs w:val="24"/>
        </w:rPr>
      </w:pPr>
    </w:p>
    <w:p w:rsidRPr="0009226B" w:rsidR="00C23751" w:rsidP="00C23751" w:rsidRDefault="00C23751" w14:paraId="01AE594A" w14:textId="77777777">
      <w:pPr>
        <w:pStyle w:val="Heading1"/>
        <w:numPr>
          <w:ilvl w:val="0"/>
          <w:numId w:val="4"/>
        </w:numPr>
        <w:tabs>
          <w:tab w:val="clear" w:pos="567"/>
        </w:tabs>
        <w:ind w:left="567" w:hanging="567"/>
        <w:jc w:val="left"/>
        <w:rPr>
          <w:b w:val="0"/>
        </w:rPr>
      </w:pPr>
      <w:r w:rsidRPr="0009226B">
        <w:t>Introduction</w:t>
      </w:r>
    </w:p>
    <w:p w:rsidR="00C23751" w:rsidP="00C23751" w:rsidRDefault="00C23751" w14:paraId="18A41087" w14:textId="77777777">
      <w:pPr>
        <w:spacing w:after="120" w:line="240" w:lineRule="auto"/>
        <w:ind w:left="567" w:right="287" w:firstLine="0"/>
        <w:jc w:val="left"/>
        <w:rPr>
          <w:sz w:val="24"/>
          <w:szCs w:val="24"/>
        </w:rPr>
      </w:pPr>
      <w:r w:rsidRPr="001E52F3">
        <w:rPr>
          <w:sz w:val="24"/>
          <w:szCs w:val="24"/>
        </w:rPr>
        <w:t xml:space="preserve">The University will ensure that only appropriately qualified and prepared students will be admitted to research courses. The admissions process provides assurance that balanced and independent admissions decisions are made and that admissions procedures are clear, consistently applied and demonstrate equality of opportunity. </w:t>
      </w:r>
    </w:p>
    <w:p w:rsidR="00C23751" w:rsidP="00C23751" w:rsidRDefault="00C23751" w14:paraId="691AB7B3" w14:textId="77777777">
      <w:pPr>
        <w:spacing w:after="120" w:line="240" w:lineRule="auto"/>
        <w:ind w:left="567" w:right="287" w:firstLine="0"/>
        <w:jc w:val="left"/>
        <w:rPr>
          <w:sz w:val="24"/>
          <w:szCs w:val="24"/>
        </w:rPr>
      </w:pPr>
    </w:p>
    <w:p w:rsidRPr="0009226B" w:rsidR="00C23751" w:rsidP="00C23751" w:rsidRDefault="00C23751" w14:paraId="410648C3" w14:textId="77777777">
      <w:pPr>
        <w:pStyle w:val="Heading1"/>
        <w:numPr>
          <w:ilvl w:val="0"/>
          <w:numId w:val="4"/>
        </w:numPr>
        <w:tabs>
          <w:tab w:val="clear" w:pos="567"/>
        </w:tabs>
        <w:ind w:left="567" w:hanging="567"/>
        <w:jc w:val="left"/>
        <w:rPr>
          <w:b w:val="0"/>
        </w:rPr>
      </w:pPr>
      <w:r w:rsidRPr="0009226B">
        <w:t>Procedure</w:t>
      </w:r>
    </w:p>
    <w:p w:rsidRPr="001E52F3" w:rsidR="00C23751" w:rsidP="00C23751" w:rsidRDefault="00C23751" w14:paraId="2922288C" w14:textId="77777777">
      <w:pPr>
        <w:numPr>
          <w:ilvl w:val="0"/>
          <w:numId w:val="5"/>
        </w:numPr>
        <w:spacing w:after="120" w:line="240" w:lineRule="auto"/>
        <w:ind w:left="567" w:right="287" w:hanging="567"/>
        <w:jc w:val="left"/>
        <w:rPr>
          <w:sz w:val="24"/>
          <w:szCs w:val="24"/>
        </w:rPr>
      </w:pPr>
      <w:r w:rsidRPr="001E52F3">
        <w:rPr>
          <w:sz w:val="24"/>
          <w:szCs w:val="24"/>
        </w:rPr>
        <w:t>Prospective students are required to indicate a proposed area of research (Sciences</w:t>
      </w:r>
      <w:r>
        <w:rPr>
          <w:sz w:val="24"/>
          <w:szCs w:val="24"/>
        </w:rPr>
        <w:t xml:space="preserve"> subject areas</w:t>
      </w:r>
      <w:r w:rsidRPr="001E52F3">
        <w:rPr>
          <w:sz w:val="24"/>
          <w:szCs w:val="24"/>
        </w:rPr>
        <w:t>) or submit a minimum of a 500-word research proposal (Social Sciences/Humanities</w:t>
      </w:r>
      <w:r>
        <w:rPr>
          <w:sz w:val="24"/>
          <w:szCs w:val="24"/>
        </w:rPr>
        <w:t xml:space="preserve"> subject areas</w:t>
      </w:r>
      <w:r w:rsidRPr="001E52F3">
        <w:rPr>
          <w:sz w:val="24"/>
          <w:szCs w:val="24"/>
        </w:rPr>
        <w:t>). All applications received in the Admissions Office will be forwarded to the appropriate Divisional Director of Graduate Studies</w:t>
      </w:r>
      <w:r>
        <w:rPr>
          <w:sz w:val="24"/>
          <w:szCs w:val="24"/>
        </w:rPr>
        <w:t xml:space="preserve"> and PG Student Experience (DDGSSE)</w:t>
      </w:r>
      <w:r w:rsidRPr="001E52F3">
        <w:rPr>
          <w:sz w:val="24"/>
          <w:szCs w:val="24"/>
        </w:rPr>
        <w:t>.</w:t>
      </w:r>
    </w:p>
    <w:p w:rsidRPr="001E52F3" w:rsidR="00C23751" w:rsidP="00C23751" w:rsidRDefault="00C23751" w14:paraId="1E7A562F" w14:textId="77777777">
      <w:pPr>
        <w:numPr>
          <w:ilvl w:val="0"/>
          <w:numId w:val="5"/>
        </w:numPr>
        <w:spacing w:after="120" w:line="240" w:lineRule="auto"/>
        <w:ind w:left="567" w:right="287" w:hanging="567"/>
        <w:jc w:val="left"/>
        <w:rPr>
          <w:sz w:val="24"/>
          <w:szCs w:val="24"/>
        </w:rPr>
      </w:pPr>
      <w:r w:rsidRPr="001E52F3">
        <w:rPr>
          <w:sz w:val="24"/>
          <w:szCs w:val="24"/>
        </w:rPr>
        <w:t xml:space="preserve">The </w:t>
      </w:r>
      <w:r>
        <w:rPr>
          <w:sz w:val="24"/>
          <w:szCs w:val="24"/>
        </w:rPr>
        <w:t>DGSSE</w:t>
      </w:r>
      <w:r w:rsidRPr="001E52F3">
        <w:rPr>
          <w:sz w:val="24"/>
          <w:szCs w:val="24"/>
        </w:rPr>
        <w:t xml:space="preserve"> is responsible for ensuring that all applications are reviewed by an appropriate subject-level nominee with experience in a suitable subject area</w:t>
      </w:r>
      <w:r w:rsidRPr="001E52F3" w:rsidDel="00E45205">
        <w:rPr>
          <w:sz w:val="24"/>
          <w:szCs w:val="24"/>
        </w:rPr>
        <w:t xml:space="preserve"> </w:t>
      </w:r>
      <w:r w:rsidRPr="001E52F3">
        <w:rPr>
          <w:sz w:val="24"/>
          <w:szCs w:val="24"/>
        </w:rPr>
        <w:t xml:space="preserve">in conjunction with the potential named supervisor) All candidates must be interviewed in person, via SKYPE or similar virtual system, or by telephone before an offer of admission is made. </w:t>
      </w:r>
    </w:p>
    <w:p w:rsidRPr="001E52F3" w:rsidR="00C23751" w:rsidP="00C23751" w:rsidRDefault="00C23751" w14:paraId="5648FBF3" w14:textId="77777777">
      <w:pPr>
        <w:numPr>
          <w:ilvl w:val="0"/>
          <w:numId w:val="5"/>
        </w:numPr>
        <w:spacing w:after="120" w:line="240" w:lineRule="auto"/>
        <w:ind w:left="567" w:right="287" w:hanging="567"/>
        <w:jc w:val="left"/>
        <w:rPr>
          <w:sz w:val="24"/>
          <w:szCs w:val="24"/>
        </w:rPr>
      </w:pPr>
      <w:r w:rsidRPr="001E52F3">
        <w:rPr>
          <w:sz w:val="24"/>
          <w:szCs w:val="24"/>
        </w:rPr>
        <w:t xml:space="preserve">The </w:t>
      </w:r>
      <w:r>
        <w:rPr>
          <w:sz w:val="24"/>
          <w:szCs w:val="24"/>
        </w:rPr>
        <w:t>DGSSE</w:t>
      </w:r>
      <w:r w:rsidRPr="001E52F3">
        <w:rPr>
          <w:sz w:val="24"/>
          <w:szCs w:val="24"/>
        </w:rPr>
        <w:t xml:space="preserve"> has responsibility for ensuring that the candidate meets the criteria for admission: </w:t>
      </w:r>
    </w:p>
    <w:p w:rsidRPr="001E52F3" w:rsidR="00C23751" w:rsidP="00C23751" w:rsidRDefault="00C23751" w14:paraId="48F67FEE" w14:textId="77777777">
      <w:pPr>
        <w:numPr>
          <w:ilvl w:val="1"/>
          <w:numId w:val="3"/>
        </w:numPr>
        <w:spacing w:after="120" w:line="240" w:lineRule="auto"/>
        <w:ind w:left="993" w:right="287" w:hanging="426"/>
        <w:jc w:val="left"/>
        <w:rPr>
          <w:sz w:val="24"/>
          <w:szCs w:val="24"/>
        </w:rPr>
      </w:pPr>
      <w:r w:rsidRPr="001E52F3">
        <w:rPr>
          <w:sz w:val="24"/>
          <w:szCs w:val="24"/>
        </w:rPr>
        <w:t xml:space="preserve">The candidate holds a good UK second class honours degree or better (or equivalent qualification/experience). </w:t>
      </w:r>
    </w:p>
    <w:p w:rsidRPr="001E52F3" w:rsidR="00C23751" w:rsidP="00C23751" w:rsidRDefault="00C23751" w14:paraId="3396A175" w14:textId="77777777">
      <w:pPr>
        <w:numPr>
          <w:ilvl w:val="1"/>
          <w:numId w:val="3"/>
        </w:numPr>
        <w:spacing w:after="120" w:line="240" w:lineRule="auto"/>
        <w:ind w:left="993" w:right="287" w:hanging="426"/>
        <w:jc w:val="left"/>
        <w:rPr>
          <w:sz w:val="24"/>
          <w:szCs w:val="24"/>
        </w:rPr>
      </w:pPr>
      <w:r w:rsidRPr="001E52F3">
        <w:rPr>
          <w:sz w:val="24"/>
          <w:szCs w:val="24"/>
        </w:rPr>
        <w:t xml:space="preserve">The candidate meets the University’s criteria for competence in English. </w:t>
      </w:r>
    </w:p>
    <w:p w:rsidRPr="001E52F3" w:rsidR="00C23751" w:rsidP="00C23751" w:rsidRDefault="00C23751" w14:paraId="34BCD0BC" w14:textId="77777777">
      <w:pPr>
        <w:numPr>
          <w:ilvl w:val="1"/>
          <w:numId w:val="3"/>
        </w:numPr>
        <w:spacing w:after="120" w:line="240" w:lineRule="auto"/>
        <w:ind w:left="993" w:right="287" w:hanging="426"/>
        <w:jc w:val="left"/>
        <w:rPr>
          <w:sz w:val="24"/>
          <w:szCs w:val="24"/>
        </w:rPr>
      </w:pPr>
      <w:r w:rsidRPr="001E52F3">
        <w:rPr>
          <w:sz w:val="24"/>
          <w:szCs w:val="24"/>
        </w:rPr>
        <w:t xml:space="preserve">The candidate’s references are of appropriate quality. </w:t>
      </w:r>
    </w:p>
    <w:p w:rsidRPr="001E52F3" w:rsidR="00C23751" w:rsidP="00C23751" w:rsidRDefault="00C23751" w14:paraId="4AA07DDC" w14:textId="77777777">
      <w:pPr>
        <w:numPr>
          <w:ilvl w:val="1"/>
          <w:numId w:val="3"/>
        </w:numPr>
        <w:spacing w:after="120" w:line="240" w:lineRule="auto"/>
        <w:ind w:left="993" w:right="287" w:hanging="426"/>
        <w:jc w:val="left"/>
        <w:rPr>
          <w:sz w:val="24"/>
          <w:szCs w:val="24"/>
        </w:rPr>
      </w:pPr>
      <w:r w:rsidRPr="001E52F3">
        <w:rPr>
          <w:sz w:val="24"/>
          <w:szCs w:val="24"/>
        </w:rPr>
        <w:t xml:space="preserve">The research proposal/proposed area of research is of an appropriate standard and falls within the scope of the course for which the candidate has applied. </w:t>
      </w:r>
      <w:r w:rsidRPr="001E52F3">
        <w:rPr>
          <w:i/>
          <w:sz w:val="24"/>
          <w:szCs w:val="24"/>
        </w:rPr>
        <w:t xml:space="preserve"> </w:t>
      </w:r>
    </w:p>
    <w:p w:rsidR="00C23751" w:rsidP="00C23751" w:rsidRDefault="00C23751" w14:paraId="0A09384B" w14:textId="77777777">
      <w:pPr>
        <w:pStyle w:val="ListParagraph"/>
        <w:numPr>
          <w:ilvl w:val="0"/>
          <w:numId w:val="5"/>
        </w:numPr>
        <w:spacing w:after="120" w:line="240" w:lineRule="auto"/>
        <w:ind w:left="567" w:right="289" w:hanging="578"/>
        <w:contextualSpacing w:val="0"/>
        <w:jc w:val="left"/>
        <w:rPr>
          <w:sz w:val="24"/>
          <w:szCs w:val="24"/>
        </w:rPr>
      </w:pPr>
      <w:r w:rsidRPr="007A2992">
        <w:rPr>
          <w:sz w:val="24"/>
          <w:szCs w:val="24"/>
        </w:rPr>
        <w:t xml:space="preserve">The DGSSE must also be satisfied there exists sufficient facilities to provide all students on research courses with a suitable research environment such as research centres/connection to Signature Research Themes. </w:t>
      </w:r>
    </w:p>
    <w:p w:rsidR="00C23751" w:rsidP="00C23751" w:rsidRDefault="00C23751" w14:paraId="1EC140C8" w14:textId="77777777">
      <w:pPr>
        <w:pStyle w:val="ListParagraph"/>
        <w:numPr>
          <w:ilvl w:val="0"/>
          <w:numId w:val="5"/>
        </w:numPr>
        <w:spacing w:after="120" w:line="240" w:lineRule="auto"/>
        <w:ind w:left="567" w:right="289" w:hanging="578"/>
        <w:contextualSpacing w:val="0"/>
        <w:jc w:val="left"/>
        <w:rPr>
          <w:sz w:val="24"/>
          <w:szCs w:val="24"/>
        </w:rPr>
      </w:pPr>
      <w:r w:rsidRPr="007A2992">
        <w:rPr>
          <w:sz w:val="24"/>
          <w:szCs w:val="24"/>
        </w:rPr>
        <w:t xml:space="preserve">Proposals to waive University entry requirements must be made in writing and be reviewed by the appropriate DGSSE. </w:t>
      </w:r>
    </w:p>
    <w:p w:rsidR="00C23751" w:rsidP="00C23751" w:rsidRDefault="00C23751" w14:paraId="76DF0096" w14:textId="77777777">
      <w:pPr>
        <w:pStyle w:val="ListParagraph"/>
        <w:numPr>
          <w:ilvl w:val="0"/>
          <w:numId w:val="5"/>
        </w:numPr>
        <w:spacing w:after="120" w:line="240" w:lineRule="auto"/>
        <w:ind w:left="567" w:right="289" w:hanging="578"/>
        <w:contextualSpacing w:val="0"/>
        <w:jc w:val="left"/>
        <w:rPr>
          <w:sz w:val="24"/>
          <w:szCs w:val="24"/>
        </w:rPr>
      </w:pPr>
      <w:r w:rsidRPr="007A2992">
        <w:rPr>
          <w:sz w:val="24"/>
          <w:szCs w:val="24"/>
        </w:rPr>
        <w:lastRenderedPageBreak/>
        <w:t xml:space="preserve">The DGSSE or a subject-level nominee must allocate supervisors with the appropriate research experience while at the same time ensuring that no one supervisor is overloaded with supervisory responsibilities. </w:t>
      </w:r>
    </w:p>
    <w:p w:rsidR="00C23751" w:rsidP="00C23751" w:rsidRDefault="00C23751" w14:paraId="642662B7" w14:textId="77777777">
      <w:pPr>
        <w:pStyle w:val="ListParagraph"/>
        <w:numPr>
          <w:ilvl w:val="0"/>
          <w:numId w:val="5"/>
        </w:numPr>
        <w:spacing w:after="120" w:line="240" w:lineRule="auto"/>
        <w:ind w:left="567" w:right="289" w:hanging="578"/>
        <w:contextualSpacing w:val="0"/>
        <w:jc w:val="left"/>
        <w:rPr>
          <w:sz w:val="24"/>
          <w:szCs w:val="24"/>
        </w:rPr>
      </w:pPr>
      <w:r w:rsidRPr="007A2992">
        <w:rPr>
          <w:sz w:val="24"/>
          <w:szCs w:val="24"/>
        </w:rPr>
        <w:t>Recommendations on approval for all applications must be made by the appropriate DGSSE in conjunction with the subject-area nominees.</w:t>
      </w:r>
    </w:p>
    <w:p w:rsidRPr="007A2992" w:rsidR="00C23751" w:rsidP="00C23751" w:rsidRDefault="00C23751" w14:paraId="2FA5F9CC" w14:textId="77777777">
      <w:pPr>
        <w:pStyle w:val="ListParagraph"/>
        <w:numPr>
          <w:ilvl w:val="0"/>
          <w:numId w:val="5"/>
        </w:numPr>
        <w:spacing w:after="120" w:line="240" w:lineRule="auto"/>
        <w:ind w:left="567" w:right="289" w:hanging="578"/>
        <w:contextualSpacing w:val="0"/>
        <w:jc w:val="left"/>
        <w:rPr>
          <w:sz w:val="24"/>
          <w:szCs w:val="24"/>
        </w:rPr>
      </w:pPr>
      <w:r w:rsidRPr="007A2992">
        <w:rPr>
          <w:sz w:val="24"/>
          <w:szCs w:val="24"/>
        </w:rPr>
        <w:t xml:space="preserve">Formal offers of admission are made by the Information, Recruitment and Admissions Office. Divisional Directors of Graduate Studies and PG Student Experience or their subject-area nominees should make clear recommendations on matters such as the need for preliminary or additional courses, so that these can be specified in the offer and brought to the attention of the student and their sponsors where relevant. </w:t>
      </w:r>
    </w:p>
    <w:p w:rsidRPr="00146B68" w:rsidR="002750C2" w:rsidP="00146B68" w:rsidRDefault="002750C2" w14:paraId="0D6CCF7E" w14:textId="77777777"/>
    <w:sectPr w:rsidRPr="00146B68" w:rsidR="002750C2"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5386DA2C" w14:textId="77777777">
      <w:pPr>
        <w:spacing w:after="0" w:line="240" w:lineRule="auto"/>
      </w:pPr>
      <w:r>
        <w:separator/>
      </w:r>
    </w:p>
  </w:endnote>
  <w:endnote w:type="continuationSeparator" w:id="0">
    <w:p w:rsidR="002750C2" w:rsidP="002750C2" w:rsidRDefault="002750C2" w14:paraId="776CB1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CDFD5BF" w14:textId="1AC07F4C">
    <w:pPr>
      <w:pStyle w:val="Header"/>
      <w:rPr>
        <w:noProof/>
        <w:sz w:val="20"/>
      </w:rPr>
    </w:pPr>
  </w:p>
  <w:p w:rsidR="002750C2" w:rsidP="002F7E36" w:rsidRDefault="002750C2" w14:paraId="1217F581" w14:textId="77777777">
    <w:pPr>
      <w:pStyle w:val="Header"/>
      <w:jc w:val="left"/>
      <w:rPr>
        <w:rStyle w:val="eop"/>
        <w:sz w:val="20"/>
        <w:szCs w:val="20"/>
      </w:rPr>
    </w:pPr>
    <w:r>
      <w:rPr>
        <w:rStyle w:val="normaltextrun"/>
        <w:sz w:val="20"/>
        <w:szCs w:val="20"/>
      </w:rPr>
      <w:t>Author: QACO</w:t>
    </w:r>
    <w:r>
      <w:rPr>
        <w:rStyle w:val="eop"/>
        <w:sz w:val="20"/>
        <w:szCs w:val="20"/>
      </w:rPr>
      <w:t> </w:t>
    </w:r>
  </w:p>
  <w:p w:rsidR="00DA3203" w:rsidP="002F7E36" w:rsidRDefault="00DA3203" w14:paraId="303E1FB0" w14:textId="7396B68B">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FD22D7">
      <w:rPr>
        <w:rStyle w:val="eop"/>
        <w:sz w:val="20"/>
        <w:szCs w:val="20"/>
      </w:rPr>
      <w:t>2</w:t>
    </w:r>
    <w:r>
      <w:rPr>
        <w:rStyle w:val="eop"/>
        <w:sz w:val="20"/>
        <w:szCs w:val="20"/>
      </w:rPr>
      <w:t>/2</w:t>
    </w:r>
    <w:r w:rsidR="00FD22D7">
      <w:rPr>
        <w:rStyle w:val="eop"/>
        <w:sz w:val="20"/>
        <w:szCs w:val="20"/>
      </w:rPr>
      <w:t>3</w:t>
    </w:r>
  </w:p>
  <w:p w:rsidR="002F7E36" w:rsidP="002F7E36" w:rsidRDefault="002750C2" w14:paraId="3C3205AB"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D36E685" w:rsidRDefault="00C777BC" w14:paraId="6610469D" w14:textId="0A94AD0B">
    <w:pPr>
      <w:pStyle w:val="paragraph"/>
      <w:spacing w:before="0" w:beforeAutospacing="off" w:after="0" w:afterAutospacing="off"/>
      <w:jc w:val="left"/>
      <w:textAlignment w:val="baseline"/>
      <w:rPr>
        <w:rStyle w:val="normaltextrun"/>
        <w:rFonts w:ascii="Arial" w:hAnsi="Arial" w:cs="Arial"/>
        <w:sz w:val="20"/>
        <w:szCs w:val="20"/>
      </w:rPr>
    </w:pPr>
    <w:r w:rsidRPr="3D36E685" w:rsidR="3D36E685">
      <w:rPr>
        <w:rStyle w:val="normaltextrun"/>
        <w:rFonts w:ascii="Arial" w:hAnsi="Arial" w:cs="Arial"/>
        <w:sz w:val="20"/>
        <w:szCs w:val="20"/>
      </w:rPr>
      <w:t xml:space="preserve">Last Revised: </w:t>
    </w:r>
    <w:r w:rsidRPr="3D36E685" w:rsidR="3D36E685">
      <w:rPr>
        <w:rStyle w:val="normaltextrun"/>
        <w:rFonts w:ascii="Arial" w:hAnsi="Arial" w:cs="Arial"/>
        <w:sz w:val="20"/>
        <w:szCs w:val="20"/>
      </w:rPr>
      <w:t>November 2023</w:t>
    </w:r>
  </w:p>
  <w:p w:rsidR="002750C2" w:rsidP="3D36E685" w:rsidRDefault="00C777BC" w14:paraId="1971D88B" w14:textId="5B15B6B4">
    <w:pPr>
      <w:pStyle w:val="paragraph"/>
      <w:spacing w:before="0" w:beforeAutospacing="off" w:after="0" w:afterAutospacing="off"/>
      <w:jc w:val="left"/>
      <w:textAlignment w:val="baseline"/>
      <w:rPr>
        <w:rStyle w:val="normaltextrun"/>
        <w:rFonts w:ascii="Arial" w:hAnsi="Arial" w:cs="Arial"/>
        <w:sz w:val="20"/>
        <w:szCs w:val="20"/>
        <w:lang w:val="en-US"/>
      </w:rPr>
    </w:pPr>
    <w:r w:rsidRPr="3D36E685" w:rsidR="3D36E685">
      <w:rPr>
        <w:rStyle w:val="normaltextrun"/>
        <w:rFonts w:ascii="Arial" w:hAnsi="Arial" w:cs="Arial"/>
        <w:sz w:val="20"/>
        <w:szCs w:val="20"/>
      </w:rPr>
      <w:t>Next review: September 202</w:t>
    </w:r>
    <w:r w:rsidRPr="3D36E685" w:rsidR="3D36E685">
      <w:rPr>
        <w:rStyle w:val="normaltextrun"/>
        <w:rFonts w:ascii="Arial" w:hAnsi="Arial" w:cs="Arial"/>
        <w:sz w:val="20"/>
        <w:szCs w:val="20"/>
      </w:rPr>
      <w:t>4</w:t>
    </w:r>
  </w:p>
  <w:p w:rsidR="002750C2" w:rsidP="002750C2" w:rsidRDefault="002750C2" w14:paraId="3F8D085D"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777BC">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777BC">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2086B6A6" w14:textId="77777777">
      <w:pPr>
        <w:spacing w:after="0" w:line="240" w:lineRule="auto"/>
      </w:pPr>
      <w:r>
        <w:separator/>
      </w:r>
    </w:p>
  </w:footnote>
  <w:footnote w:type="continuationSeparator" w:id="0">
    <w:p w:rsidR="002750C2" w:rsidP="002750C2" w:rsidRDefault="002750C2" w14:paraId="6B19B0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FD22D7" w14:paraId="789B3224" w14:textId="27BC9E00">
    <w:pPr>
      <w:pStyle w:val="Header"/>
      <w:jc w:val="right"/>
    </w:pPr>
    <w:r>
      <w:rPr>
        <w:noProof/>
      </w:rPr>
      <w:drawing>
        <wp:anchor distT="0" distB="0" distL="114300" distR="114300" simplePos="0" relativeHeight="251658240" behindDoc="0" locked="0" layoutInCell="1" allowOverlap="1" wp14:anchorId="0A063760" wp14:editId="20CD479A">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FD22D7" w:rsidRDefault="00B03C8D" w14:paraId="74DF7919" w14:textId="7E40A73F">
    <w:pPr>
      <w:pStyle w:val="Header"/>
      <w:ind w:left="284"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3C35B5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3AF6"/>
    <w:multiLevelType w:val="hybridMultilevel"/>
    <w:tmpl w:val="9AD44F7A"/>
    <w:lvl w:ilvl="0" w:tplc="28D83F48">
      <w:start w:val="1"/>
      <w:numFmt w:val="decimal"/>
      <w:lvlText w:val="%1."/>
      <w:lvlJc w:val="left"/>
      <w:pPr>
        <w:ind w:left="358"/>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4D0065AC">
      <w:start w:val="1"/>
      <w:numFmt w:val="bullet"/>
      <w:lvlText w:val="•"/>
      <w:lvlJc w:val="left"/>
      <w:pPr>
        <w:ind w:left="852"/>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tplc="789C85A8">
      <w:start w:val="1"/>
      <w:numFmt w:val="bullet"/>
      <w:lvlText w:val="▪"/>
      <w:lvlJc w:val="left"/>
      <w:pPr>
        <w:ind w:left="1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326F998">
      <w:start w:val="1"/>
      <w:numFmt w:val="bullet"/>
      <w:lvlText w:val="•"/>
      <w:lvlJc w:val="left"/>
      <w:pPr>
        <w:ind w:left="22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68212D4">
      <w:start w:val="1"/>
      <w:numFmt w:val="bullet"/>
      <w:lvlText w:val="o"/>
      <w:lvlJc w:val="left"/>
      <w:pPr>
        <w:ind w:left="29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6D24854">
      <w:start w:val="1"/>
      <w:numFmt w:val="bullet"/>
      <w:lvlText w:val="▪"/>
      <w:lvlJc w:val="left"/>
      <w:pPr>
        <w:ind w:left="36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4BC6C72">
      <w:start w:val="1"/>
      <w:numFmt w:val="bullet"/>
      <w:lvlText w:val="•"/>
      <w:lvlJc w:val="left"/>
      <w:pPr>
        <w:ind w:left="43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D67806">
      <w:start w:val="1"/>
      <w:numFmt w:val="bullet"/>
      <w:lvlText w:val="o"/>
      <w:lvlJc w:val="left"/>
      <w:pPr>
        <w:ind w:left="51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1F65AA0">
      <w:start w:val="1"/>
      <w:numFmt w:val="bullet"/>
      <w:lvlText w:val="▪"/>
      <w:lvlJc w:val="left"/>
      <w:pPr>
        <w:ind w:left="58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5EDE2A65"/>
    <w:multiLevelType w:val="hybridMultilevel"/>
    <w:tmpl w:val="DEC6E18A"/>
    <w:lvl w:ilvl="0" w:tplc="BC34B3B6">
      <w:start w:val="1"/>
      <w:numFmt w:val="decimal"/>
      <w:lvlText w:val="2.%1"/>
      <w:lvlJc w:val="left"/>
      <w:pPr>
        <w:ind w:left="358"/>
      </w:pPr>
      <w:rPr>
        <w:rFonts w:hint="default"/>
        <w:b w:val="0"/>
        <w:i w:val="0"/>
        <w:strike w:val="0"/>
        <w:dstrike w:val="0"/>
        <w:color w:val="000000"/>
        <w:sz w:val="24"/>
        <w:szCs w:val="22"/>
        <w:u w:val="none" w:color="000000"/>
        <w:bdr w:val="none" w:color="auto" w:sz="0" w:space="0"/>
        <w:shd w:val="clear" w:color="auto" w:fill="auto"/>
        <w:vertAlign w:val="baseline"/>
      </w:rPr>
    </w:lvl>
    <w:lvl w:ilvl="1" w:tplc="4D0065AC">
      <w:start w:val="1"/>
      <w:numFmt w:val="bullet"/>
      <w:lvlText w:val="•"/>
      <w:lvlJc w:val="left"/>
      <w:pPr>
        <w:ind w:left="852"/>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tplc="789C85A8">
      <w:start w:val="1"/>
      <w:numFmt w:val="bullet"/>
      <w:lvlText w:val="▪"/>
      <w:lvlJc w:val="left"/>
      <w:pPr>
        <w:ind w:left="1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326F998">
      <w:start w:val="1"/>
      <w:numFmt w:val="bullet"/>
      <w:lvlText w:val="•"/>
      <w:lvlJc w:val="left"/>
      <w:pPr>
        <w:ind w:left="22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68212D4">
      <w:start w:val="1"/>
      <w:numFmt w:val="bullet"/>
      <w:lvlText w:val="o"/>
      <w:lvlJc w:val="left"/>
      <w:pPr>
        <w:ind w:left="29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6D24854">
      <w:start w:val="1"/>
      <w:numFmt w:val="bullet"/>
      <w:lvlText w:val="▪"/>
      <w:lvlJc w:val="left"/>
      <w:pPr>
        <w:ind w:left="36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4BC6C72">
      <w:start w:val="1"/>
      <w:numFmt w:val="bullet"/>
      <w:lvlText w:val="•"/>
      <w:lvlJc w:val="left"/>
      <w:pPr>
        <w:ind w:left="43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D67806">
      <w:start w:val="1"/>
      <w:numFmt w:val="bullet"/>
      <w:lvlText w:val="o"/>
      <w:lvlJc w:val="left"/>
      <w:pPr>
        <w:ind w:left="51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1F65AA0">
      <w:start w:val="1"/>
      <w:numFmt w:val="bullet"/>
      <w:lvlText w:val="▪"/>
      <w:lvlJc w:val="left"/>
      <w:pPr>
        <w:ind w:left="58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617F17D3"/>
    <w:multiLevelType w:val="hybridMultilevel"/>
    <w:tmpl w:val="81401A12"/>
    <w:lvl w:ilvl="0" w:tplc="79E276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2000570988">
    <w:abstractNumId w:val="1"/>
  </w:num>
  <w:num w:numId="2" w16cid:durableId="1125467714">
    <w:abstractNumId w:val="4"/>
  </w:num>
  <w:num w:numId="3" w16cid:durableId="318077315">
    <w:abstractNumId w:val="0"/>
  </w:num>
  <w:num w:numId="4" w16cid:durableId="1850757758">
    <w:abstractNumId w:val="3"/>
  </w:num>
  <w:num w:numId="5" w16cid:durableId="156555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D4921"/>
    <w:rsid w:val="002750C2"/>
    <w:rsid w:val="002E2660"/>
    <w:rsid w:val="002F7E36"/>
    <w:rsid w:val="006F60A4"/>
    <w:rsid w:val="00B03C8D"/>
    <w:rsid w:val="00BF2E11"/>
    <w:rsid w:val="00C23751"/>
    <w:rsid w:val="00C777BC"/>
    <w:rsid w:val="00DA3203"/>
    <w:rsid w:val="00FD22D7"/>
    <w:rsid w:val="3D36E6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4A33C"/>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spacing w:after="120" w:line="240" w:lineRule="auto"/>
      <w:ind w:right="0" w:hanging="567"/>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C23751"/>
    <w:pPr>
      <w:spacing w:after="111"/>
      <w:ind w:left="720" w:hanging="368"/>
      <w:contextualSpacing/>
    </w:pPr>
  </w:style>
  <w:style w:type="paragraph" w:styleId="Title">
    <w:name w:val="Title"/>
    <w:basedOn w:val="Normal"/>
    <w:next w:val="Normal"/>
    <w:link w:val="TitleChar"/>
    <w:uiPriority w:val="10"/>
    <w:qFormat/>
    <w:rsid w:val="00BF2E11"/>
    <w:pPr>
      <w:spacing w:after="120" w:line="240" w:lineRule="auto"/>
      <w:ind w:right="0"/>
      <w:jc w:val="left"/>
    </w:pPr>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BF2E11"/>
    <w:rPr>
      <w:rFonts w:ascii="Arial" w:hAnsi="Arial" w:eastAsiaTheme="majorEastAsia" w:cstheme="majorBidi"/>
      <w:b/>
      <w:spacing w:val="-10"/>
      <w:kern w:val="28"/>
      <w:sz w:val="32"/>
      <w:szCs w:val="56"/>
      <w:lang w:eastAsia="en-GB"/>
    </w:rPr>
  </w:style>
  <w:style w:type="character" w:styleId="UnresolvedMention">
    <w:name w:val="Unresolved Mention"/>
    <w:basedOn w:val="DefaultParagraphFont"/>
    <w:uiPriority w:val="99"/>
    <w:semiHidden/>
    <w:unhideWhenUsed/>
    <w:rsid w:val="001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6B9CABE-8066-4D8B-A7BB-46677F1AE546}"/>
</file>

<file path=customXml/itemProps2.xml><?xml version="1.0" encoding="utf-8"?>
<ds:datastoreItem xmlns:ds="http://schemas.openxmlformats.org/officeDocument/2006/customXml" ds:itemID="{0BEC6151-E73A-483B-8A6E-FA37FBFF9621}">
  <ds:schemaRefs>
    <ds:schemaRef ds:uri="http://schemas.microsoft.com/sharepoint/v3/contenttype/forms"/>
  </ds:schemaRefs>
</ds:datastoreItem>
</file>

<file path=customXml/itemProps3.xml><?xml version="1.0" encoding="utf-8"?>
<ds:datastoreItem xmlns:ds="http://schemas.openxmlformats.org/officeDocument/2006/customXml" ds:itemID="{93AA2D1F-54AD-4835-9DE7-EE2679470107}">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2021-07-09T11:28:00Z</dcterms:created>
  <dcterms:modified xsi:type="dcterms:W3CDTF">2023-11-10T12:16:12Z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