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0AE" w:rsidP="00361F6D" w:rsidRDefault="000B50AE" w14:paraId="4F75014A" w14:textId="77777777">
      <w:pPr>
        <w:ind w:left="0" w:right="95" w:firstLine="0"/>
        <w:rPr>
          <w:b/>
          <w:sz w:val="32"/>
          <w:szCs w:val="24"/>
        </w:rPr>
      </w:pPr>
      <w:r w:rsidRPr="007A3C86">
        <w:rPr>
          <w:b/>
          <w:sz w:val="32"/>
          <w:szCs w:val="24"/>
        </w:rPr>
        <w:t xml:space="preserve">Code of Practice: Taught Courses of Study </w:t>
      </w:r>
    </w:p>
    <w:p w:rsidRPr="007A3C86" w:rsidR="007A3C86" w:rsidP="00361F6D" w:rsidRDefault="007A3C86" w14:paraId="56BF5A9C" w14:textId="77777777">
      <w:pPr>
        <w:ind w:left="0" w:right="95" w:firstLine="0"/>
        <w:rPr>
          <w:b/>
          <w:sz w:val="32"/>
          <w:szCs w:val="24"/>
        </w:rPr>
      </w:pPr>
      <w:r w:rsidRPr="007A3C86">
        <w:rPr>
          <w:b/>
          <w:sz w:val="32"/>
          <w:szCs w:val="24"/>
        </w:rPr>
        <w:t>Annex C: Approval and Withdrawal of Taught Courses: A</w:t>
      </w:r>
      <w:r w:rsidR="000B50AE">
        <w:rPr>
          <w:b/>
          <w:sz w:val="32"/>
          <w:szCs w:val="24"/>
        </w:rPr>
        <w:t xml:space="preserve">ppendix </w:t>
      </w:r>
      <w:r w:rsidRPr="007A3C86">
        <w:rPr>
          <w:b/>
          <w:sz w:val="32"/>
          <w:szCs w:val="24"/>
        </w:rPr>
        <w:t>D</w:t>
      </w:r>
    </w:p>
    <w:p w:rsidR="007A3C86" w:rsidP="00361F6D" w:rsidRDefault="007A3C86" w14:paraId="0603EDA4" w14:textId="77777777">
      <w:pPr>
        <w:ind w:left="426" w:right="95" w:hanging="426"/>
        <w:rPr>
          <w:b/>
          <w:sz w:val="32"/>
          <w:szCs w:val="24"/>
        </w:rPr>
      </w:pPr>
    </w:p>
    <w:p w:rsidRPr="007A3C86" w:rsidR="000B50AE" w:rsidP="00361F6D" w:rsidRDefault="000B50AE" w14:paraId="5FC04D52" w14:textId="77777777">
      <w:pPr>
        <w:ind w:left="426" w:right="95" w:hanging="426"/>
        <w:rPr>
          <w:b/>
          <w:sz w:val="32"/>
          <w:szCs w:val="24"/>
        </w:rPr>
      </w:pPr>
      <w:r w:rsidRPr="007A3C86">
        <w:rPr>
          <w:b/>
          <w:sz w:val="32"/>
          <w:szCs w:val="24"/>
        </w:rPr>
        <w:t>Code of Practice: Research Courses of Study</w:t>
      </w:r>
    </w:p>
    <w:p w:rsidRPr="007A3C86" w:rsidR="007A3C86" w:rsidP="00361F6D" w:rsidRDefault="007A3C86" w14:paraId="6F632B16" w14:textId="77777777">
      <w:pPr>
        <w:ind w:left="0" w:right="95" w:firstLine="0"/>
        <w:rPr>
          <w:b/>
          <w:sz w:val="32"/>
          <w:szCs w:val="24"/>
        </w:rPr>
      </w:pPr>
      <w:r w:rsidRPr="007A3C86">
        <w:rPr>
          <w:b/>
          <w:sz w:val="32"/>
          <w:szCs w:val="24"/>
        </w:rPr>
        <w:t>Annex B: Approval and Withdrawal of Research Courses</w:t>
      </w:r>
      <w:r w:rsidR="000B50AE">
        <w:rPr>
          <w:b/>
          <w:sz w:val="32"/>
          <w:szCs w:val="24"/>
        </w:rPr>
        <w:t xml:space="preserve">: </w:t>
      </w:r>
      <w:r w:rsidRPr="007A3C86">
        <w:rPr>
          <w:b/>
          <w:sz w:val="32"/>
          <w:szCs w:val="24"/>
        </w:rPr>
        <w:t>A</w:t>
      </w:r>
      <w:r w:rsidR="000B50AE">
        <w:rPr>
          <w:b/>
          <w:sz w:val="32"/>
          <w:szCs w:val="24"/>
        </w:rPr>
        <w:t xml:space="preserve">ppendix </w:t>
      </w:r>
      <w:r w:rsidRPr="007A3C86">
        <w:rPr>
          <w:b/>
          <w:sz w:val="32"/>
          <w:szCs w:val="24"/>
        </w:rPr>
        <w:t>B</w:t>
      </w:r>
    </w:p>
    <w:p w:rsidRPr="007A3C86" w:rsidR="007A3C86" w:rsidP="00361F6D" w:rsidRDefault="007A3C86" w14:paraId="4A78E533" w14:textId="77777777">
      <w:pPr>
        <w:tabs>
          <w:tab w:val="left" w:pos="567"/>
        </w:tabs>
        <w:ind w:left="426" w:right="95" w:hanging="426"/>
        <w:rPr>
          <w:b/>
          <w:sz w:val="32"/>
          <w:szCs w:val="24"/>
        </w:rPr>
      </w:pPr>
    </w:p>
    <w:p w:rsidRPr="007A3C86" w:rsidR="007A3C86" w:rsidP="00361F6D" w:rsidRDefault="000B50AE" w14:paraId="1AFDB942" w14:textId="77777777">
      <w:pPr>
        <w:tabs>
          <w:tab w:val="left" w:pos="567"/>
        </w:tabs>
        <w:ind w:left="0" w:right="95" w:firstLine="0"/>
        <w:rPr>
          <w:b/>
          <w:sz w:val="32"/>
          <w:szCs w:val="24"/>
        </w:rPr>
      </w:pPr>
      <w:r>
        <w:rPr>
          <w:b/>
          <w:sz w:val="32"/>
          <w:szCs w:val="24"/>
        </w:rPr>
        <w:t>Guidance on the U</w:t>
      </w:r>
      <w:r w:rsidRPr="007A3C86" w:rsidR="007A3C86">
        <w:rPr>
          <w:b/>
          <w:sz w:val="32"/>
          <w:szCs w:val="24"/>
        </w:rPr>
        <w:t>se of External Advisers for Course Approval</w:t>
      </w:r>
    </w:p>
    <w:p w:rsidR="007A3C86" w:rsidP="00361F6D" w:rsidRDefault="007A3C86" w14:paraId="12B8E9C1" w14:textId="77777777">
      <w:pPr>
        <w:tabs>
          <w:tab w:val="left" w:pos="567"/>
        </w:tabs>
        <w:ind w:left="426" w:right="95" w:hanging="426"/>
        <w:jc w:val="both"/>
        <w:rPr>
          <w:sz w:val="22"/>
        </w:rPr>
      </w:pPr>
    </w:p>
    <w:p w:rsidR="00361F6D" w:rsidP="00361F6D" w:rsidRDefault="00361F6D" w14:paraId="5AEC3D3F" w14:textId="77777777">
      <w:pPr>
        <w:pStyle w:val="Heading1"/>
        <w:ind w:right="95"/>
      </w:pPr>
      <w:r>
        <w:t>Introduction</w:t>
      </w:r>
    </w:p>
    <w:p w:rsidR="007A3C86" w:rsidP="00361F6D" w:rsidRDefault="007A3C86" w14:paraId="33F67334" w14:textId="53BF0522">
      <w:pPr>
        <w:pStyle w:val="ListParagraph"/>
        <w:tabs>
          <w:tab w:val="left" w:pos="993"/>
        </w:tabs>
        <w:spacing w:after="120"/>
        <w:ind w:left="567" w:right="95"/>
        <w:contextualSpacing w:val="0"/>
        <w:rPr>
          <w:rFonts w:ascii="Arial" w:hAnsi="Arial" w:cs="Arial"/>
          <w:sz w:val="24"/>
          <w:szCs w:val="22"/>
        </w:rPr>
      </w:pPr>
      <w:r w:rsidRPr="007A3C86">
        <w:rPr>
          <w:rFonts w:ascii="Arial" w:hAnsi="Arial" w:cs="Arial"/>
          <w:sz w:val="24"/>
          <w:szCs w:val="22"/>
        </w:rPr>
        <w:t xml:space="preserve">Divisions should identify a suitable external adviser to comment on the new course proposal, as detailed in </w:t>
      </w:r>
      <w:hyperlink w:history="1" w:anchor="annex-c" r:id="rId10">
        <w:r w:rsidRPr="00354D58">
          <w:rPr>
            <w:rStyle w:val="Hyperlink"/>
            <w:rFonts w:ascii="Arial" w:hAnsi="Arial" w:cs="Arial"/>
            <w:sz w:val="24"/>
            <w:szCs w:val="22"/>
          </w:rPr>
          <w:t>Annex C, section 4.3 of the Code of Practice for Quality Assurance of Taught Courses</w:t>
        </w:r>
      </w:hyperlink>
      <w:r w:rsidRPr="007A3C86">
        <w:rPr>
          <w:rFonts w:ascii="Arial" w:hAnsi="Arial" w:cs="Arial"/>
          <w:sz w:val="24"/>
          <w:szCs w:val="22"/>
        </w:rPr>
        <w:t xml:space="preserve"> of Study/</w:t>
      </w:r>
      <w:hyperlink w:history="1" w:anchor="annex-b" r:id="rId11">
        <w:r w:rsidRPr="00354D58">
          <w:rPr>
            <w:rStyle w:val="Hyperlink"/>
            <w:rFonts w:ascii="Arial" w:hAnsi="Arial" w:cs="Arial"/>
            <w:sz w:val="24"/>
            <w:szCs w:val="22"/>
          </w:rPr>
          <w:t>Annex B, section 3.3 of the Code of Practice for Quality Assurance of Research Courses</w:t>
        </w:r>
      </w:hyperlink>
      <w:r w:rsidRPr="007A3C86">
        <w:rPr>
          <w:rFonts w:ascii="Arial" w:hAnsi="Arial" w:cs="Arial"/>
          <w:sz w:val="24"/>
          <w:szCs w:val="22"/>
        </w:rPr>
        <w:t xml:space="preserve"> of Study. The role of the external adviser is to provide expert subject-area advice and comment during the design stage, prior to consideration of the proposal by the Divisional Education and UG Student Experience Committee or the Graduate Studies and PG Student Experience Committee, as appropriate to the proposal. </w:t>
      </w:r>
    </w:p>
    <w:p w:rsidRPr="007A3C86" w:rsidR="00361F6D" w:rsidP="00361F6D" w:rsidRDefault="00361F6D" w14:paraId="10AE5927" w14:textId="77777777">
      <w:pPr>
        <w:pStyle w:val="ListParagraph"/>
        <w:tabs>
          <w:tab w:val="left" w:pos="993"/>
        </w:tabs>
        <w:spacing w:after="120"/>
        <w:ind w:left="567" w:right="95"/>
        <w:contextualSpacing w:val="0"/>
        <w:rPr>
          <w:rFonts w:ascii="Arial" w:hAnsi="Arial" w:cs="Arial"/>
          <w:sz w:val="24"/>
          <w:szCs w:val="22"/>
        </w:rPr>
      </w:pPr>
    </w:p>
    <w:p w:rsidR="00361F6D" w:rsidP="00361F6D" w:rsidRDefault="00361F6D" w14:paraId="0B9ED6AF" w14:textId="77777777">
      <w:pPr>
        <w:pStyle w:val="Heading1"/>
      </w:pPr>
      <w:r>
        <w:t>Identifying an External Adviser</w:t>
      </w:r>
    </w:p>
    <w:p w:rsidRPr="007A3C86" w:rsidR="007A3C86" w:rsidP="00361F6D" w:rsidRDefault="007A3C86" w14:paraId="679E9CD0" w14:textId="77777777">
      <w:pPr>
        <w:pStyle w:val="ListParagraph"/>
        <w:numPr>
          <w:ilvl w:val="1"/>
          <w:numId w:val="6"/>
        </w:numPr>
        <w:tabs>
          <w:tab w:val="left" w:pos="1134"/>
        </w:tabs>
        <w:spacing w:after="120"/>
        <w:ind w:left="567" w:right="95" w:hanging="567"/>
        <w:contextualSpacing w:val="0"/>
        <w:rPr>
          <w:rFonts w:ascii="Arial" w:hAnsi="Arial" w:cs="Arial"/>
          <w:sz w:val="24"/>
          <w:szCs w:val="22"/>
        </w:rPr>
      </w:pPr>
      <w:r w:rsidRPr="007A3C86">
        <w:rPr>
          <w:rFonts w:ascii="Arial" w:hAnsi="Arial" w:cs="Arial"/>
          <w:sz w:val="24"/>
          <w:szCs w:val="22"/>
        </w:rPr>
        <w:t>The external adviser should be either an academic in a relevant discipline, a member of a professional or statutory body, an employer with strong links in the subject area or a key person from a relevant business or industry.</w:t>
      </w:r>
    </w:p>
    <w:p w:rsidR="007A3C86" w:rsidP="00361F6D" w:rsidRDefault="007A3C86" w14:paraId="4AF2BBF7" w14:textId="77777777">
      <w:pPr>
        <w:pStyle w:val="ListParagraph"/>
        <w:numPr>
          <w:ilvl w:val="1"/>
          <w:numId w:val="6"/>
        </w:numPr>
        <w:tabs>
          <w:tab w:val="left" w:pos="567"/>
        </w:tabs>
        <w:spacing w:after="120"/>
        <w:ind w:left="567" w:right="95" w:hanging="567"/>
        <w:contextualSpacing w:val="0"/>
        <w:rPr>
          <w:rFonts w:ascii="Arial" w:hAnsi="Arial" w:cs="Arial"/>
          <w:sz w:val="24"/>
          <w:szCs w:val="24"/>
        </w:rPr>
      </w:pPr>
      <w:r w:rsidRPr="00135D23">
        <w:rPr>
          <w:rFonts w:ascii="Arial" w:hAnsi="Arial" w:cs="Arial"/>
          <w:sz w:val="24"/>
          <w:szCs w:val="24"/>
        </w:rPr>
        <w:t>The external adviser may not be a former Kent staff member or student unless a minimum of five years has elapsed.</w:t>
      </w:r>
    </w:p>
    <w:p w:rsidRPr="00135D23" w:rsidR="00361F6D" w:rsidP="00361F6D" w:rsidRDefault="00361F6D" w14:paraId="5D21DBDA" w14:textId="77777777">
      <w:pPr>
        <w:pStyle w:val="ListParagraph"/>
        <w:tabs>
          <w:tab w:val="left" w:pos="567"/>
        </w:tabs>
        <w:spacing w:after="120"/>
        <w:ind w:left="567" w:right="95"/>
        <w:contextualSpacing w:val="0"/>
        <w:rPr>
          <w:rFonts w:ascii="Arial" w:hAnsi="Arial" w:cs="Arial"/>
          <w:sz w:val="24"/>
          <w:szCs w:val="24"/>
        </w:rPr>
      </w:pPr>
    </w:p>
    <w:p w:rsidR="00361F6D" w:rsidP="00361F6D" w:rsidRDefault="00361F6D" w14:paraId="76FC3453" w14:textId="77777777">
      <w:pPr>
        <w:pStyle w:val="Heading1"/>
      </w:pPr>
      <w:r>
        <w:t>Procedure</w:t>
      </w:r>
    </w:p>
    <w:p w:rsidRPr="00135D23" w:rsidR="007A3C86" w:rsidP="00361F6D" w:rsidRDefault="007A3C86" w14:paraId="44705734" w14:textId="77777777">
      <w:pPr>
        <w:pStyle w:val="ListParagraph"/>
        <w:numPr>
          <w:ilvl w:val="1"/>
          <w:numId w:val="7"/>
        </w:numPr>
        <w:tabs>
          <w:tab w:val="left" w:pos="567"/>
        </w:tabs>
        <w:spacing w:after="120"/>
        <w:ind w:left="567" w:right="95" w:hanging="567"/>
        <w:contextualSpacing w:val="0"/>
        <w:rPr>
          <w:rFonts w:ascii="Arial" w:hAnsi="Arial" w:cs="Arial"/>
          <w:sz w:val="24"/>
          <w:szCs w:val="24"/>
        </w:rPr>
      </w:pPr>
      <w:r w:rsidRPr="00135D23">
        <w:rPr>
          <w:rFonts w:ascii="Arial" w:hAnsi="Arial" w:cs="Arial"/>
          <w:sz w:val="24"/>
          <w:szCs w:val="24"/>
        </w:rPr>
        <w:t>External advisers should complete the pro forma and are asked to comment on (as appropriate to the proposal):</w:t>
      </w:r>
    </w:p>
    <w:p w:rsidRPr="00135D23" w:rsidR="007A3C86" w:rsidP="00361F6D" w:rsidRDefault="007A3C86" w14:paraId="24CE33E5" w14:textId="77777777">
      <w:pPr>
        <w:numPr>
          <w:ilvl w:val="0"/>
          <w:numId w:val="4"/>
        </w:numPr>
        <w:ind w:left="993" w:right="95" w:hanging="426"/>
        <w:rPr>
          <w:szCs w:val="24"/>
        </w:rPr>
      </w:pPr>
      <w:r w:rsidRPr="00135D23">
        <w:rPr>
          <w:szCs w:val="24"/>
        </w:rPr>
        <w:lastRenderedPageBreak/>
        <w:t>Potential market for the course.</w:t>
      </w:r>
    </w:p>
    <w:p w:rsidRPr="00135D23" w:rsidR="007A3C86" w:rsidP="00361F6D" w:rsidRDefault="007A3C86" w14:paraId="15A98F0B" w14:textId="77777777">
      <w:pPr>
        <w:numPr>
          <w:ilvl w:val="0"/>
          <w:numId w:val="4"/>
        </w:numPr>
        <w:ind w:left="993" w:right="95" w:hanging="426"/>
        <w:rPr>
          <w:szCs w:val="24"/>
        </w:rPr>
      </w:pPr>
      <w:r w:rsidRPr="00135D23">
        <w:rPr>
          <w:szCs w:val="24"/>
        </w:rPr>
        <w:t>Curriculum content of the course – are all subjects included that would be expected in order to achieve the award title, and does the course fit together as a coherent entity?</w:t>
      </w:r>
    </w:p>
    <w:p w:rsidRPr="00135D23" w:rsidR="007A3C86" w:rsidP="00361F6D" w:rsidRDefault="007A3C86" w14:paraId="24E14AFA" w14:textId="77777777">
      <w:pPr>
        <w:numPr>
          <w:ilvl w:val="0"/>
          <w:numId w:val="4"/>
        </w:numPr>
        <w:ind w:left="993" w:right="95" w:hanging="425"/>
        <w:rPr>
          <w:szCs w:val="24"/>
        </w:rPr>
      </w:pPr>
      <w:r w:rsidRPr="00135D23">
        <w:rPr>
          <w:szCs w:val="24"/>
        </w:rPr>
        <w:t xml:space="preserve">Is the course subject area appropriate and set at the correct level? </w:t>
      </w:r>
    </w:p>
    <w:p w:rsidRPr="00135D23" w:rsidR="007A3C86" w:rsidP="00361F6D" w:rsidRDefault="007A3C86" w14:paraId="72061236" w14:textId="77777777">
      <w:pPr>
        <w:numPr>
          <w:ilvl w:val="0"/>
          <w:numId w:val="3"/>
        </w:numPr>
        <w:ind w:left="993" w:right="95" w:hanging="425"/>
        <w:rPr>
          <w:szCs w:val="24"/>
        </w:rPr>
      </w:pPr>
      <w:r w:rsidRPr="00135D23">
        <w:rPr>
          <w:szCs w:val="24"/>
        </w:rPr>
        <w:t>Does the course content articulate/progress in an appropriate manner and at the correct level?</w:t>
      </w:r>
    </w:p>
    <w:p w:rsidRPr="00135D23" w:rsidR="007A3C86" w:rsidP="00361F6D" w:rsidRDefault="007A3C86" w14:paraId="6DF5A710" w14:textId="77777777">
      <w:pPr>
        <w:numPr>
          <w:ilvl w:val="0"/>
          <w:numId w:val="3"/>
        </w:numPr>
        <w:ind w:left="993" w:right="95" w:hanging="425"/>
        <w:rPr>
          <w:szCs w:val="24"/>
        </w:rPr>
      </w:pPr>
      <w:r w:rsidRPr="00135D23">
        <w:rPr>
          <w:szCs w:val="24"/>
        </w:rPr>
        <w:t>Does the course content reflect the relevant QAA subject benchmark statement (if applicable)?</w:t>
      </w:r>
    </w:p>
    <w:p w:rsidRPr="00135D23" w:rsidR="007A3C86" w:rsidP="00361F6D" w:rsidRDefault="007A3C86" w14:paraId="0416FDFD" w14:textId="77777777">
      <w:pPr>
        <w:numPr>
          <w:ilvl w:val="0"/>
          <w:numId w:val="3"/>
        </w:numPr>
        <w:ind w:left="993" w:right="95" w:hanging="425"/>
        <w:rPr>
          <w:szCs w:val="24"/>
        </w:rPr>
      </w:pPr>
      <w:r w:rsidRPr="00135D23">
        <w:rPr>
          <w:szCs w:val="24"/>
        </w:rPr>
        <w:t>Does the course content reflect any relevant professional or statutory body guidelines?</w:t>
      </w:r>
    </w:p>
    <w:p w:rsidRPr="00135D23" w:rsidR="007A3C86" w:rsidP="00361F6D" w:rsidRDefault="007A3C86" w14:paraId="011A790E" w14:textId="77777777">
      <w:pPr>
        <w:numPr>
          <w:ilvl w:val="0"/>
          <w:numId w:val="3"/>
        </w:numPr>
        <w:ind w:left="993" w:right="95" w:hanging="425"/>
        <w:rPr>
          <w:szCs w:val="24"/>
        </w:rPr>
      </w:pPr>
      <w:r w:rsidRPr="00135D23">
        <w:rPr>
          <w:szCs w:val="24"/>
        </w:rPr>
        <w:t xml:space="preserve">Any other areas of note considered appropriate by the external adviser. </w:t>
      </w:r>
    </w:p>
    <w:p w:rsidRPr="00361F6D" w:rsidR="00361F6D" w:rsidP="00361F6D" w:rsidRDefault="007A3C86" w14:paraId="6FA2ACA7" w14:textId="77777777">
      <w:pPr>
        <w:pStyle w:val="ListParagraph"/>
        <w:numPr>
          <w:ilvl w:val="1"/>
          <w:numId w:val="7"/>
        </w:numPr>
        <w:spacing w:after="120"/>
        <w:ind w:left="567" w:right="96" w:hanging="567"/>
        <w:contextualSpacing w:val="0"/>
        <w:rPr>
          <w:rFonts w:ascii="Arial" w:hAnsi="Arial" w:cs="Arial"/>
          <w:sz w:val="24"/>
          <w:szCs w:val="24"/>
        </w:rPr>
      </w:pPr>
      <w:r w:rsidRPr="00361F6D">
        <w:rPr>
          <w:rFonts w:ascii="Arial" w:hAnsi="Arial" w:cs="Arial"/>
          <w:sz w:val="24"/>
          <w:szCs w:val="24"/>
        </w:rPr>
        <w:t>The Division should make a brief written response addressing the issues and comments raised by the external adviser and detailing how these have been taken on board. Both the external commentary and the Division’s response should accompany the course proposal throughout the course approval process.</w:t>
      </w:r>
    </w:p>
    <w:p w:rsidRPr="00361F6D" w:rsidR="00361F6D" w:rsidP="00361F6D" w:rsidRDefault="007A3C86" w14:paraId="4EC68711" w14:textId="77777777">
      <w:pPr>
        <w:pStyle w:val="ListParagraph"/>
        <w:numPr>
          <w:ilvl w:val="1"/>
          <w:numId w:val="7"/>
        </w:numPr>
        <w:spacing w:after="120"/>
        <w:ind w:left="567" w:right="96" w:hanging="567"/>
        <w:contextualSpacing w:val="0"/>
        <w:rPr>
          <w:rFonts w:ascii="Arial" w:hAnsi="Arial" w:cs="Arial"/>
          <w:sz w:val="24"/>
          <w:szCs w:val="24"/>
        </w:rPr>
      </w:pPr>
      <w:r w:rsidRPr="00361F6D">
        <w:rPr>
          <w:rFonts w:ascii="Arial" w:hAnsi="Arial" w:cs="Arial"/>
          <w:sz w:val="24"/>
          <w:szCs w:val="24"/>
        </w:rPr>
        <w:t xml:space="preserve">External advisers, where their contribution is made in attendance as part of a faculty panel, should be appointed and remunerated under the same terms as external reviewers in periodic course review. </w:t>
      </w:r>
    </w:p>
    <w:p w:rsidRPr="00361F6D" w:rsidR="007A3C86" w:rsidP="00361F6D" w:rsidRDefault="00A13D54" w14:paraId="31387B0E" w14:textId="77777777">
      <w:pPr>
        <w:pStyle w:val="ListParagraph"/>
        <w:numPr>
          <w:ilvl w:val="1"/>
          <w:numId w:val="7"/>
        </w:numPr>
        <w:spacing w:after="120"/>
        <w:ind w:left="567" w:right="96" w:hanging="567"/>
        <w:contextualSpacing w:val="0"/>
        <w:rPr>
          <w:rFonts w:ascii="Arial" w:hAnsi="Arial" w:cs="Arial"/>
          <w:sz w:val="24"/>
          <w:szCs w:val="24"/>
        </w:rPr>
      </w:pPr>
      <w:r w:rsidRPr="00361F6D">
        <w:rPr>
          <w:rFonts w:ascii="Arial" w:hAnsi="Arial" w:cs="Arial"/>
          <w:sz w:val="24"/>
          <w:szCs w:val="24"/>
        </w:rPr>
        <w:t>I</w:t>
      </w:r>
      <w:r w:rsidRPr="00361F6D" w:rsidR="007A3C86">
        <w:rPr>
          <w:rFonts w:ascii="Arial" w:hAnsi="Arial" w:cs="Arial"/>
          <w:sz w:val="24"/>
          <w:szCs w:val="24"/>
        </w:rPr>
        <w:t>t may, in some cases, be appropriate for someone who has acted as an external referee or adviser in curriculum redesign or in the development of a new course</w:t>
      </w:r>
      <w:r w:rsidRPr="00361F6D">
        <w:rPr>
          <w:rFonts w:ascii="Arial" w:hAnsi="Arial" w:cs="Arial"/>
          <w:sz w:val="24"/>
          <w:szCs w:val="24"/>
        </w:rPr>
        <w:t xml:space="preserve"> to become an E</w:t>
      </w:r>
      <w:r w:rsidRPr="00361F6D" w:rsidR="007A3C86">
        <w:rPr>
          <w:rFonts w:ascii="Arial" w:hAnsi="Arial" w:cs="Arial"/>
          <w:sz w:val="24"/>
          <w:szCs w:val="24"/>
        </w:rPr>
        <w:t xml:space="preserve">xternal </w:t>
      </w:r>
      <w:r w:rsidRPr="00361F6D">
        <w:rPr>
          <w:rFonts w:ascii="Arial" w:hAnsi="Arial" w:cs="Arial"/>
          <w:sz w:val="24"/>
          <w:szCs w:val="24"/>
        </w:rPr>
        <w:t>E</w:t>
      </w:r>
      <w:r w:rsidRPr="00361F6D" w:rsidR="007A3C86">
        <w:rPr>
          <w:rFonts w:ascii="Arial" w:hAnsi="Arial" w:cs="Arial"/>
          <w:sz w:val="24"/>
          <w:szCs w:val="24"/>
        </w:rPr>
        <w:t>xaminer subsequent to fulfilling the advisory role</w:t>
      </w:r>
      <w:r w:rsidRPr="00361F6D">
        <w:rPr>
          <w:rFonts w:ascii="Arial" w:hAnsi="Arial" w:cs="Arial"/>
          <w:sz w:val="24"/>
          <w:szCs w:val="24"/>
        </w:rPr>
        <w:t>. However,</w:t>
      </w:r>
      <w:r w:rsidRPr="00361F6D" w:rsidR="007A3C86">
        <w:rPr>
          <w:rFonts w:ascii="Arial" w:hAnsi="Arial" w:cs="Arial"/>
          <w:sz w:val="24"/>
          <w:szCs w:val="24"/>
        </w:rPr>
        <w:t xml:space="preserve"> such an appointment would require formal justification by the Division concerned, so as to prevent any appearance of conflict of interest with regard to the contribution made by the external adviser in course approval. </w:t>
      </w:r>
    </w:p>
    <w:p w:rsidR="007A3C86" w:rsidP="00361F6D" w:rsidRDefault="007A3C86" w14:paraId="5ED5A6CB" w14:textId="77777777">
      <w:pPr>
        <w:ind w:left="426" w:right="95" w:hanging="426"/>
      </w:pPr>
    </w:p>
    <w:p w:rsidR="007A3C86" w:rsidP="00361F6D" w:rsidRDefault="007A3C86" w14:paraId="456CAA5D" w14:textId="77777777">
      <w:pPr>
        <w:ind w:left="426" w:right="95" w:hanging="426"/>
      </w:pPr>
    </w:p>
    <w:sectPr w:rsidR="007A3C86" w:rsidSect="002750C2">
      <w:headerReference w:type="default" r:id="rId12"/>
      <w:footerReference w:type="default" r:id="rId1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1D4D1828" w14:textId="77777777">
      <w:pPr>
        <w:spacing w:after="0"/>
      </w:pPr>
      <w:r>
        <w:separator/>
      </w:r>
    </w:p>
  </w:endnote>
  <w:endnote w:type="continuationSeparator" w:id="0">
    <w:p w:rsidR="002750C2" w:rsidP="002750C2" w:rsidRDefault="002750C2" w14:paraId="31A4667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7A7C3AF0" w14:textId="74346EE0">
    <w:pPr>
      <w:pStyle w:val="Header"/>
      <w:rPr>
        <w:noProof/>
        <w:sz w:val="20"/>
      </w:rPr>
    </w:pPr>
  </w:p>
  <w:p w:rsidR="002750C2" w:rsidP="002F7E36" w:rsidRDefault="002750C2" w14:paraId="0AEE12E9" w14:textId="77777777">
    <w:pPr>
      <w:pStyle w:val="Header"/>
      <w:rPr>
        <w:rStyle w:val="eop"/>
        <w:sz w:val="20"/>
        <w:szCs w:val="20"/>
      </w:rPr>
    </w:pPr>
    <w:r>
      <w:rPr>
        <w:rStyle w:val="normaltextrun"/>
        <w:sz w:val="20"/>
        <w:szCs w:val="20"/>
      </w:rPr>
      <w:t>Author: QACO</w:t>
    </w:r>
    <w:r>
      <w:rPr>
        <w:rStyle w:val="eop"/>
        <w:sz w:val="20"/>
        <w:szCs w:val="20"/>
      </w:rPr>
      <w:t> </w:t>
    </w:r>
  </w:p>
  <w:p w:rsidR="00FC14BF" w:rsidP="002F7E36" w:rsidRDefault="00FC14BF" w14:paraId="0791DDC8" w14:textId="48631250">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354D58">
      <w:rPr>
        <w:rStyle w:val="eop"/>
        <w:sz w:val="20"/>
        <w:szCs w:val="20"/>
      </w:rPr>
      <w:t>2</w:t>
    </w:r>
    <w:r>
      <w:rPr>
        <w:rStyle w:val="eop"/>
        <w:sz w:val="20"/>
        <w:szCs w:val="20"/>
      </w:rPr>
      <w:t>/2</w:t>
    </w:r>
    <w:r w:rsidR="00E23751">
      <w:rPr>
        <w:rStyle w:val="eop"/>
        <w:sz w:val="20"/>
        <w:szCs w:val="20"/>
      </w:rPr>
      <w:t>3</w:t>
    </w:r>
  </w:p>
  <w:p w:rsidR="002F7E36" w:rsidP="002F7E36" w:rsidRDefault="002750C2" w14:paraId="6A5822B9"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6F8C2DE7" w:rsidRDefault="002750C2" w14:paraId="5239083F" w14:textId="40F2EA31">
    <w:pPr>
      <w:pStyle w:val="paragraph"/>
      <w:spacing w:before="0" w:beforeAutospacing="off" w:after="0" w:afterAutospacing="off"/>
      <w:textAlignment w:val="baseline"/>
      <w:rPr>
        <w:rStyle w:val="normaltextrun"/>
        <w:rFonts w:ascii="Arial" w:hAnsi="Arial" w:cs="Arial"/>
        <w:sz w:val="20"/>
        <w:szCs w:val="20"/>
      </w:rPr>
    </w:pPr>
    <w:r w:rsidRPr="6F8C2DE7" w:rsidR="6F8C2DE7">
      <w:rPr>
        <w:rStyle w:val="normaltextrun"/>
        <w:rFonts w:ascii="Arial" w:hAnsi="Arial" w:cs="Arial"/>
        <w:sz w:val="20"/>
        <w:szCs w:val="20"/>
      </w:rPr>
      <w:t xml:space="preserve">Last Revised: </w:t>
    </w:r>
    <w:r w:rsidRPr="6F8C2DE7" w:rsidR="6F8C2DE7">
      <w:rPr>
        <w:rStyle w:val="normaltextrun"/>
        <w:rFonts w:ascii="Arial" w:hAnsi="Arial" w:cs="Arial"/>
        <w:sz w:val="20"/>
        <w:szCs w:val="20"/>
      </w:rPr>
      <w:t>November 2023</w:t>
    </w:r>
  </w:p>
  <w:p w:rsidR="002750C2" w:rsidP="6F8C2DE7" w:rsidRDefault="000B50AE" w14:paraId="70FE2815" w14:textId="72FF8BC5">
    <w:pPr>
      <w:pStyle w:val="paragraph"/>
      <w:spacing w:before="0" w:beforeAutospacing="off" w:after="0" w:afterAutospacing="off"/>
      <w:textAlignment w:val="baseline"/>
      <w:rPr>
        <w:rStyle w:val="normaltextrun"/>
        <w:rFonts w:ascii="Arial" w:hAnsi="Arial" w:cs="Arial"/>
        <w:sz w:val="20"/>
        <w:szCs w:val="20"/>
        <w:lang w:val="en-US"/>
      </w:rPr>
    </w:pPr>
    <w:r w:rsidRPr="6F8C2DE7" w:rsidR="6F8C2DE7">
      <w:rPr>
        <w:rStyle w:val="normaltextrun"/>
        <w:rFonts w:ascii="Arial" w:hAnsi="Arial" w:cs="Arial"/>
        <w:sz w:val="20"/>
        <w:szCs w:val="20"/>
      </w:rPr>
      <w:t>Next review: September 202</w:t>
    </w:r>
    <w:r w:rsidRPr="6F8C2DE7" w:rsidR="6F8C2DE7">
      <w:rPr>
        <w:rStyle w:val="normaltextrun"/>
        <w:rFonts w:ascii="Arial" w:hAnsi="Arial" w:cs="Arial"/>
        <w:sz w:val="20"/>
        <w:szCs w:val="20"/>
      </w:rPr>
      <w:t>4</w:t>
    </w:r>
  </w:p>
  <w:p w:rsidR="002750C2" w:rsidP="002750C2" w:rsidRDefault="002750C2" w14:paraId="6154AD9B"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0B50AE">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0B50AE">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0894F671" w14:textId="77777777">
      <w:pPr>
        <w:spacing w:after="0"/>
      </w:pPr>
      <w:r>
        <w:separator/>
      </w:r>
    </w:p>
  </w:footnote>
  <w:footnote w:type="continuationSeparator" w:id="0">
    <w:p w:rsidR="002750C2" w:rsidP="002750C2" w:rsidRDefault="002750C2" w14:paraId="55BF0C70"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32120D" w14:paraId="7F91EA68" w14:textId="44F914D3">
    <w:pPr>
      <w:pStyle w:val="Header"/>
      <w:jc w:val="right"/>
    </w:pPr>
    <w:r>
      <w:rPr>
        <w:noProof/>
      </w:rPr>
      <w:drawing>
        <wp:anchor distT="0" distB="0" distL="114300" distR="114300" simplePos="0" relativeHeight="251658240" behindDoc="0" locked="0" layoutInCell="1" allowOverlap="1" wp14:anchorId="22A0B3CD" wp14:editId="13D850EA">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160BC1" w:rsidP="00160BC1" w:rsidRDefault="002750C2" w14:paraId="12C1DED9" w14:textId="77777777">
    <w:pPr>
      <w:pStyle w:val="Header"/>
      <w:ind w:left="0" w:right="-897" w:firstLine="0"/>
      <w:jc w:val="center"/>
      <w:rPr>
        <w:b/>
      </w:rPr>
    </w:pPr>
    <w:r w:rsidRPr="002750C2">
      <w:rPr>
        <w:b/>
      </w:rPr>
      <w:t xml:space="preserve">Code of Practice for Quality Assurance of </w:t>
    </w:r>
    <w:r w:rsidR="00EE7692">
      <w:rPr>
        <w:b/>
      </w:rPr>
      <w:t xml:space="preserve">Taught </w:t>
    </w:r>
    <w:r w:rsidRPr="002750C2">
      <w:rPr>
        <w:b/>
      </w:rPr>
      <w:t>Courses of Study</w:t>
    </w:r>
    <w:r w:rsidR="007A3C86">
      <w:rPr>
        <w:b/>
      </w:rPr>
      <w:t>/</w:t>
    </w:r>
  </w:p>
  <w:p w:rsidRPr="002750C2" w:rsidR="002750C2" w:rsidP="00160BC1" w:rsidRDefault="007A3C86" w14:paraId="1BDA8B40" w14:textId="0CE6F140">
    <w:pPr>
      <w:pStyle w:val="Header"/>
      <w:ind w:left="0" w:right="-897" w:firstLine="0"/>
      <w:jc w:val="center"/>
      <w:rPr>
        <w:b/>
      </w:rPr>
    </w:pPr>
    <w:r>
      <w:rPr>
        <w:b/>
      </w:rPr>
      <w:t xml:space="preserve">Research </w:t>
    </w:r>
    <w:r w:rsidRPr="002750C2">
      <w:rPr>
        <w:b/>
      </w:rPr>
      <w:t>Courses of Study</w:t>
    </w:r>
  </w:p>
  <w:p w:rsidR="002750C2" w:rsidRDefault="002750C2" w14:paraId="2A1CC6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1E8"/>
    <w:multiLevelType w:val="multilevel"/>
    <w:tmpl w:val="56AC61B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0496D83"/>
    <w:multiLevelType w:val="hybridMultilevel"/>
    <w:tmpl w:val="B05AF3E0"/>
    <w:lvl w:ilvl="0" w:tplc="668A44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92F46"/>
    <w:multiLevelType w:val="hybridMultilevel"/>
    <w:tmpl w:val="F8DE037E"/>
    <w:lvl w:ilvl="0" w:tplc="08090001">
      <w:start w:val="1"/>
      <w:numFmt w:val="bullet"/>
      <w:lvlText w:val=""/>
      <w:lvlJc w:val="left"/>
      <w:pPr>
        <w:tabs>
          <w:tab w:val="num" w:pos="1296"/>
        </w:tabs>
        <w:ind w:left="1296" w:hanging="360"/>
      </w:pPr>
      <w:rPr>
        <w:rFonts w:hint="default" w:ascii="Symbol" w:hAnsi="Symbol"/>
      </w:rPr>
    </w:lvl>
    <w:lvl w:ilvl="1" w:tplc="08090003" w:tentative="1">
      <w:start w:val="1"/>
      <w:numFmt w:val="bullet"/>
      <w:lvlText w:val="o"/>
      <w:lvlJc w:val="left"/>
      <w:pPr>
        <w:tabs>
          <w:tab w:val="num" w:pos="2016"/>
        </w:tabs>
        <w:ind w:left="2016" w:hanging="360"/>
      </w:pPr>
      <w:rPr>
        <w:rFonts w:hint="default" w:ascii="Courier New" w:hAnsi="Courier New" w:cs="Courier New"/>
      </w:rPr>
    </w:lvl>
    <w:lvl w:ilvl="2" w:tplc="08090005" w:tentative="1">
      <w:start w:val="1"/>
      <w:numFmt w:val="bullet"/>
      <w:lvlText w:val=""/>
      <w:lvlJc w:val="left"/>
      <w:pPr>
        <w:tabs>
          <w:tab w:val="num" w:pos="2736"/>
        </w:tabs>
        <w:ind w:left="2736" w:hanging="360"/>
      </w:pPr>
      <w:rPr>
        <w:rFonts w:hint="default" w:ascii="Wingdings" w:hAnsi="Wingdings"/>
      </w:rPr>
    </w:lvl>
    <w:lvl w:ilvl="3" w:tplc="08090001" w:tentative="1">
      <w:start w:val="1"/>
      <w:numFmt w:val="bullet"/>
      <w:lvlText w:val=""/>
      <w:lvlJc w:val="left"/>
      <w:pPr>
        <w:tabs>
          <w:tab w:val="num" w:pos="3456"/>
        </w:tabs>
        <w:ind w:left="3456" w:hanging="360"/>
      </w:pPr>
      <w:rPr>
        <w:rFonts w:hint="default" w:ascii="Symbol" w:hAnsi="Symbol"/>
      </w:rPr>
    </w:lvl>
    <w:lvl w:ilvl="4" w:tplc="08090003" w:tentative="1">
      <w:start w:val="1"/>
      <w:numFmt w:val="bullet"/>
      <w:lvlText w:val="o"/>
      <w:lvlJc w:val="left"/>
      <w:pPr>
        <w:tabs>
          <w:tab w:val="num" w:pos="4176"/>
        </w:tabs>
        <w:ind w:left="4176" w:hanging="360"/>
      </w:pPr>
      <w:rPr>
        <w:rFonts w:hint="default" w:ascii="Courier New" w:hAnsi="Courier New" w:cs="Courier New"/>
      </w:rPr>
    </w:lvl>
    <w:lvl w:ilvl="5" w:tplc="08090005" w:tentative="1">
      <w:start w:val="1"/>
      <w:numFmt w:val="bullet"/>
      <w:lvlText w:val=""/>
      <w:lvlJc w:val="left"/>
      <w:pPr>
        <w:tabs>
          <w:tab w:val="num" w:pos="4896"/>
        </w:tabs>
        <w:ind w:left="4896" w:hanging="360"/>
      </w:pPr>
      <w:rPr>
        <w:rFonts w:hint="default" w:ascii="Wingdings" w:hAnsi="Wingdings"/>
      </w:rPr>
    </w:lvl>
    <w:lvl w:ilvl="6" w:tplc="08090001" w:tentative="1">
      <w:start w:val="1"/>
      <w:numFmt w:val="bullet"/>
      <w:lvlText w:val=""/>
      <w:lvlJc w:val="left"/>
      <w:pPr>
        <w:tabs>
          <w:tab w:val="num" w:pos="5616"/>
        </w:tabs>
        <w:ind w:left="5616" w:hanging="360"/>
      </w:pPr>
      <w:rPr>
        <w:rFonts w:hint="default" w:ascii="Symbol" w:hAnsi="Symbol"/>
      </w:rPr>
    </w:lvl>
    <w:lvl w:ilvl="7" w:tplc="08090003" w:tentative="1">
      <w:start w:val="1"/>
      <w:numFmt w:val="bullet"/>
      <w:lvlText w:val="o"/>
      <w:lvlJc w:val="left"/>
      <w:pPr>
        <w:tabs>
          <w:tab w:val="num" w:pos="6336"/>
        </w:tabs>
        <w:ind w:left="6336" w:hanging="360"/>
      </w:pPr>
      <w:rPr>
        <w:rFonts w:hint="default" w:ascii="Courier New" w:hAnsi="Courier New" w:cs="Courier New"/>
      </w:rPr>
    </w:lvl>
    <w:lvl w:ilvl="8" w:tplc="08090005" w:tentative="1">
      <w:start w:val="1"/>
      <w:numFmt w:val="bullet"/>
      <w:lvlText w:val=""/>
      <w:lvlJc w:val="left"/>
      <w:pPr>
        <w:tabs>
          <w:tab w:val="num" w:pos="7056"/>
        </w:tabs>
        <w:ind w:left="7056" w:hanging="360"/>
      </w:pPr>
      <w:rPr>
        <w:rFonts w:hint="default" w:ascii="Wingdings" w:hAnsi="Wingdings"/>
      </w:rPr>
    </w:lvl>
  </w:abstractNum>
  <w:abstractNum w:abstractNumId="3" w15:restartNumberingAfterBreak="0">
    <w:nsid w:val="4B6234DB"/>
    <w:multiLevelType w:val="multilevel"/>
    <w:tmpl w:val="CBB682A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6C4F4E3C"/>
    <w:multiLevelType w:val="hybridMultilevel"/>
    <w:tmpl w:val="9AF2B6A2"/>
    <w:lvl w:ilvl="0" w:tplc="08090001">
      <w:start w:val="1"/>
      <w:numFmt w:val="bullet"/>
      <w:lvlText w:val=""/>
      <w:lvlJc w:val="left"/>
      <w:pPr>
        <w:tabs>
          <w:tab w:val="num" w:pos="1296"/>
        </w:tabs>
        <w:ind w:left="1296" w:hanging="360"/>
      </w:pPr>
      <w:rPr>
        <w:rFonts w:hint="default" w:ascii="Symbol" w:hAnsi="Symbol"/>
      </w:rPr>
    </w:lvl>
    <w:lvl w:ilvl="1" w:tplc="08090003" w:tentative="1">
      <w:start w:val="1"/>
      <w:numFmt w:val="bullet"/>
      <w:lvlText w:val="o"/>
      <w:lvlJc w:val="left"/>
      <w:pPr>
        <w:tabs>
          <w:tab w:val="num" w:pos="2016"/>
        </w:tabs>
        <w:ind w:left="2016" w:hanging="360"/>
      </w:pPr>
      <w:rPr>
        <w:rFonts w:hint="default" w:ascii="Courier New" w:hAnsi="Courier New" w:cs="Courier New"/>
      </w:rPr>
    </w:lvl>
    <w:lvl w:ilvl="2" w:tplc="08090005" w:tentative="1">
      <w:start w:val="1"/>
      <w:numFmt w:val="bullet"/>
      <w:lvlText w:val=""/>
      <w:lvlJc w:val="left"/>
      <w:pPr>
        <w:tabs>
          <w:tab w:val="num" w:pos="2736"/>
        </w:tabs>
        <w:ind w:left="2736" w:hanging="360"/>
      </w:pPr>
      <w:rPr>
        <w:rFonts w:hint="default" w:ascii="Wingdings" w:hAnsi="Wingdings"/>
      </w:rPr>
    </w:lvl>
    <w:lvl w:ilvl="3" w:tplc="08090001" w:tentative="1">
      <w:start w:val="1"/>
      <w:numFmt w:val="bullet"/>
      <w:lvlText w:val=""/>
      <w:lvlJc w:val="left"/>
      <w:pPr>
        <w:tabs>
          <w:tab w:val="num" w:pos="3456"/>
        </w:tabs>
        <w:ind w:left="3456" w:hanging="360"/>
      </w:pPr>
      <w:rPr>
        <w:rFonts w:hint="default" w:ascii="Symbol" w:hAnsi="Symbol"/>
      </w:rPr>
    </w:lvl>
    <w:lvl w:ilvl="4" w:tplc="08090003" w:tentative="1">
      <w:start w:val="1"/>
      <w:numFmt w:val="bullet"/>
      <w:lvlText w:val="o"/>
      <w:lvlJc w:val="left"/>
      <w:pPr>
        <w:tabs>
          <w:tab w:val="num" w:pos="4176"/>
        </w:tabs>
        <w:ind w:left="4176" w:hanging="360"/>
      </w:pPr>
      <w:rPr>
        <w:rFonts w:hint="default" w:ascii="Courier New" w:hAnsi="Courier New" w:cs="Courier New"/>
      </w:rPr>
    </w:lvl>
    <w:lvl w:ilvl="5" w:tplc="08090005" w:tentative="1">
      <w:start w:val="1"/>
      <w:numFmt w:val="bullet"/>
      <w:lvlText w:val=""/>
      <w:lvlJc w:val="left"/>
      <w:pPr>
        <w:tabs>
          <w:tab w:val="num" w:pos="4896"/>
        </w:tabs>
        <w:ind w:left="4896" w:hanging="360"/>
      </w:pPr>
      <w:rPr>
        <w:rFonts w:hint="default" w:ascii="Wingdings" w:hAnsi="Wingdings"/>
      </w:rPr>
    </w:lvl>
    <w:lvl w:ilvl="6" w:tplc="08090001" w:tentative="1">
      <w:start w:val="1"/>
      <w:numFmt w:val="bullet"/>
      <w:lvlText w:val=""/>
      <w:lvlJc w:val="left"/>
      <w:pPr>
        <w:tabs>
          <w:tab w:val="num" w:pos="5616"/>
        </w:tabs>
        <w:ind w:left="5616" w:hanging="360"/>
      </w:pPr>
      <w:rPr>
        <w:rFonts w:hint="default" w:ascii="Symbol" w:hAnsi="Symbol"/>
      </w:rPr>
    </w:lvl>
    <w:lvl w:ilvl="7" w:tplc="08090003" w:tentative="1">
      <w:start w:val="1"/>
      <w:numFmt w:val="bullet"/>
      <w:lvlText w:val="o"/>
      <w:lvlJc w:val="left"/>
      <w:pPr>
        <w:tabs>
          <w:tab w:val="num" w:pos="6336"/>
        </w:tabs>
        <w:ind w:left="6336" w:hanging="360"/>
      </w:pPr>
      <w:rPr>
        <w:rFonts w:hint="default" w:ascii="Courier New" w:hAnsi="Courier New" w:cs="Courier New"/>
      </w:rPr>
    </w:lvl>
    <w:lvl w:ilvl="8" w:tplc="08090005" w:tentative="1">
      <w:start w:val="1"/>
      <w:numFmt w:val="bullet"/>
      <w:lvlText w:val=""/>
      <w:lvlJc w:val="left"/>
      <w:pPr>
        <w:tabs>
          <w:tab w:val="num" w:pos="7056"/>
        </w:tabs>
        <w:ind w:left="7056" w:hanging="360"/>
      </w:pPr>
      <w:rPr>
        <w:rFonts w:hint="default" w:ascii="Wingdings" w:hAnsi="Wingdings"/>
      </w:rPr>
    </w:lvl>
  </w:abstractNum>
  <w:abstractNum w:abstractNumId="5" w15:restartNumberingAfterBreak="0">
    <w:nsid w:val="76DE7D3A"/>
    <w:multiLevelType w:val="multilevel"/>
    <w:tmpl w:val="DD269D9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407994758">
    <w:abstractNumId w:val="3"/>
  </w:num>
  <w:num w:numId="2" w16cid:durableId="320935581">
    <w:abstractNumId w:val="6"/>
  </w:num>
  <w:num w:numId="3" w16cid:durableId="1526286679">
    <w:abstractNumId w:val="4"/>
  </w:num>
  <w:num w:numId="4" w16cid:durableId="1357268156">
    <w:abstractNumId w:val="2"/>
  </w:num>
  <w:num w:numId="5" w16cid:durableId="889803938">
    <w:abstractNumId w:val="1"/>
  </w:num>
  <w:num w:numId="6" w16cid:durableId="1720200184">
    <w:abstractNumId w:val="0"/>
  </w:num>
  <w:num w:numId="7" w16cid:durableId="2013870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B50AE"/>
    <w:rsid w:val="00135D23"/>
    <w:rsid w:val="00146B68"/>
    <w:rsid w:val="00160BC1"/>
    <w:rsid w:val="002750C2"/>
    <w:rsid w:val="002E2660"/>
    <w:rsid w:val="002F7E36"/>
    <w:rsid w:val="0032120D"/>
    <w:rsid w:val="00354D58"/>
    <w:rsid w:val="00361F6D"/>
    <w:rsid w:val="00516BB0"/>
    <w:rsid w:val="006F60A4"/>
    <w:rsid w:val="007A3C86"/>
    <w:rsid w:val="00A13D54"/>
    <w:rsid w:val="00E23751"/>
    <w:rsid w:val="00EE7692"/>
    <w:rsid w:val="00FC14BF"/>
    <w:rsid w:val="6F8C2D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20C231"/>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3C86"/>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361F6D"/>
    <w:pPr>
      <w:keepNext/>
      <w:keepLines/>
      <w:numPr>
        <w:numId w:val="1"/>
      </w:numPr>
      <w:tabs>
        <w:tab w:val="left" w:pos="567"/>
      </w:tabs>
      <w:ind w:left="567" w:hanging="567"/>
      <w:outlineLvl w:val="0"/>
    </w:pPr>
    <w:rPr>
      <w:rFonts w:eastAsiaTheme="majorEastAsia" w:cstheme="majorBidi"/>
      <w:b/>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61F6D"/>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ListParagraph">
    <w:name w:val="List Paragraph"/>
    <w:basedOn w:val="Normal"/>
    <w:uiPriority w:val="34"/>
    <w:qFormat/>
    <w:rsid w:val="007A3C86"/>
    <w:pPr>
      <w:spacing w:after="0"/>
      <w:ind w:left="720" w:firstLine="0"/>
      <w:contextualSpacing/>
    </w:pPr>
    <w:rPr>
      <w:rFonts w:ascii="Times New Roman" w:hAnsi="Times New Roman" w:eastAsia="Times New Roman" w:cs="Times New Roman"/>
      <w:color w:val="auto"/>
      <w:sz w:val="20"/>
      <w:szCs w:val="20"/>
      <w:lang w:eastAsia="en-US"/>
    </w:rPr>
  </w:style>
  <w:style w:type="paragraph" w:styleId="FootnoteText">
    <w:name w:val="footnote text"/>
    <w:basedOn w:val="Normal"/>
    <w:link w:val="FootnoteTextChar"/>
    <w:uiPriority w:val="99"/>
    <w:semiHidden/>
    <w:unhideWhenUsed/>
    <w:rsid w:val="007A3C86"/>
    <w:pPr>
      <w:spacing w:after="0"/>
      <w:ind w:left="0" w:firstLine="0"/>
    </w:pPr>
    <w:rPr>
      <w:rFonts w:ascii="Times New Roman" w:hAnsi="Times New Roman" w:eastAsia="Times New Roman" w:cs="Times New Roman"/>
      <w:color w:val="auto"/>
      <w:sz w:val="20"/>
      <w:szCs w:val="20"/>
      <w:lang w:eastAsia="en-US"/>
    </w:rPr>
  </w:style>
  <w:style w:type="character" w:styleId="FootnoteTextChar" w:customStyle="1">
    <w:name w:val="Footnote Text Char"/>
    <w:basedOn w:val="DefaultParagraphFont"/>
    <w:link w:val="FootnoteText"/>
    <w:uiPriority w:val="99"/>
    <w:semiHidden/>
    <w:rsid w:val="007A3C86"/>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7A3C86"/>
    <w:rPr>
      <w:vertAlign w:val="superscript"/>
    </w:rPr>
  </w:style>
  <w:style w:type="character" w:styleId="UnresolvedMention">
    <w:name w:val="Unresolved Mention"/>
    <w:basedOn w:val="DefaultParagraphFont"/>
    <w:uiPriority w:val="99"/>
    <w:semiHidden/>
    <w:unhideWhenUsed/>
    <w:rsid w:val="0035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kent.ac.uk/education/regulatory-framework/codes-of-practice-for-research-course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kent.ac.uk/education/regulatory-framework/codes-of-practice-for-taught-cours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E7627-0E74-4590-9EA7-5725BC33AA88}">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0AA01570-3F71-427F-AAC3-321858CC6DB9}"/>
</file>

<file path=customXml/itemProps3.xml><?xml version="1.0" encoding="utf-8"?>
<ds:datastoreItem xmlns:ds="http://schemas.openxmlformats.org/officeDocument/2006/customXml" ds:itemID="{56A22D44-AF91-463F-9BE6-E800A7CF5DC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12</cp:revision>
  <dcterms:created xsi:type="dcterms:W3CDTF">2021-07-14T12:00:00Z</dcterms:created>
  <dcterms:modified xsi:type="dcterms:W3CDTF">2023-11-10T12:13:30Z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