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45A9" w:rsidR="009645A9" w:rsidP="00616716" w:rsidRDefault="00CC7CC1" w14:paraId="35D4A3A3" w14:textId="06423439">
      <w:pPr>
        <w:pStyle w:val="Title"/>
        <w:ind w:left="0" w:right="95" w:hanging="11"/>
        <w:jc w:val="center"/>
        <w:rPr>
          <w:rFonts w:ascii="Arial" w:hAnsi="Arial" w:cs="Arial"/>
          <w:b/>
          <w:bCs/>
          <w:sz w:val="32"/>
          <w:szCs w:val="32"/>
        </w:rPr>
      </w:pPr>
      <w:r>
        <w:rPr>
          <w:rFonts w:ascii="Arial" w:hAnsi="Arial"/>
          <w:b/>
          <w:bCs/>
          <w:sz w:val="32"/>
          <w:szCs w:val="32"/>
        </w:rPr>
        <w:t>Principles</w:t>
      </w:r>
      <w:r w:rsidR="00450D88">
        <w:rPr>
          <w:rFonts w:ascii="Arial" w:hAnsi="Arial"/>
          <w:b/>
          <w:bCs/>
          <w:sz w:val="32"/>
          <w:szCs w:val="32"/>
        </w:rPr>
        <w:t xml:space="preserve"> of </w:t>
      </w:r>
      <w:r w:rsidRPr="009645A9" w:rsidR="009645A9">
        <w:rPr>
          <w:rFonts w:ascii="Arial" w:hAnsi="Arial"/>
          <w:b/>
          <w:bCs/>
          <w:sz w:val="32"/>
          <w:szCs w:val="32"/>
        </w:rPr>
        <w:t>Compliance with Consumer Protection Law</w:t>
      </w:r>
      <w:r w:rsidR="00450D88">
        <w:rPr>
          <w:rFonts w:ascii="Arial" w:hAnsi="Arial"/>
          <w:b/>
          <w:bCs/>
          <w:sz w:val="32"/>
          <w:szCs w:val="32"/>
        </w:rPr>
        <w:t>s</w:t>
      </w:r>
      <w:r w:rsidRPr="009645A9" w:rsidR="009645A9">
        <w:rPr>
          <w:rFonts w:ascii="Arial" w:hAnsi="Arial"/>
          <w:b/>
          <w:bCs/>
          <w:sz w:val="32"/>
          <w:szCs w:val="32"/>
        </w:rPr>
        <w:t xml:space="preserve"> </w:t>
      </w:r>
    </w:p>
    <w:p w:rsidRPr="009645A9" w:rsidR="009645A9" w:rsidP="009645A9" w:rsidRDefault="009645A9" w14:paraId="51A9E055" w14:textId="655221DF"/>
    <w:p w:rsidRPr="003D29A4" w:rsidR="00E110E9" w:rsidP="00007F7B" w:rsidRDefault="00E110E9" w14:paraId="160631B0" w14:textId="77777777">
      <w:pPr>
        <w:ind w:left="993" w:right="95" w:hanging="709"/>
        <w:rPr>
          <w:bCs/>
          <w:szCs w:val="24"/>
        </w:rPr>
      </w:pPr>
    </w:p>
    <w:sdt>
      <w:sdtPr>
        <w:rPr>
          <w:rFonts w:ascii="Arial" w:hAnsi="Arial" w:eastAsia="Arial" w:cs="Arial"/>
          <w:b w:val="0"/>
          <w:color w:val="auto"/>
          <w:sz w:val="24"/>
          <w:szCs w:val="22"/>
          <w:lang w:val="en-GB" w:eastAsia="en-GB"/>
        </w:rPr>
        <w:id w:val="-353801355"/>
        <w:docPartObj>
          <w:docPartGallery w:val="Table of Contents"/>
          <w:docPartUnique/>
        </w:docPartObj>
      </w:sdtPr>
      <w:sdtEndPr>
        <w:rPr>
          <w:bCs/>
          <w:noProof/>
        </w:rPr>
      </w:sdtEndPr>
      <w:sdtContent>
        <w:p w:rsidRPr="006D2D38" w:rsidR="00797E01" w:rsidP="00C609AF" w:rsidRDefault="00797E01" w14:paraId="5BD9F279" w14:textId="743A239F">
          <w:pPr>
            <w:pStyle w:val="TOCHeading"/>
            <w:rPr>
              <w:rFonts w:ascii="Arial" w:hAnsi="Arial" w:cs="Arial"/>
              <w:color w:val="auto"/>
              <w:sz w:val="22"/>
              <w:szCs w:val="22"/>
            </w:rPr>
          </w:pPr>
          <w:r w:rsidRPr="006D2D38">
            <w:rPr>
              <w:rFonts w:ascii="Arial" w:hAnsi="Arial" w:cs="Arial"/>
              <w:color w:val="auto"/>
              <w:sz w:val="22"/>
              <w:szCs w:val="22"/>
            </w:rPr>
            <w:t>Contents</w:t>
          </w:r>
        </w:p>
        <w:p w:rsidRPr="006D2D38" w:rsidR="006D2D38" w:rsidRDefault="00797E01" w14:paraId="7B17BD93" w14:textId="2AF8478C">
          <w:pPr>
            <w:pStyle w:val="TOC1"/>
            <w:rPr>
              <w:rFonts w:asciiTheme="minorHAnsi" w:hAnsiTheme="minorHAnsi" w:eastAsiaTheme="minorEastAsia" w:cstheme="minorBidi"/>
              <w:noProof/>
              <w:kern w:val="2"/>
              <w:sz w:val="22"/>
              <w14:ligatures w14:val="standardContextual"/>
            </w:rPr>
          </w:pPr>
          <w:r w:rsidRPr="006D2D38">
            <w:rPr>
              <w:sz w:val="22"/>
            </w:rPr>
            <w:fldChar w:fldCharType="begin"/>
          </w:r>
          <w:r w:rsidRPr="006D2D38">
            <w:rPr>
              <w:sz w:val="22"/>
            </w:rPr>
            <w:instrText xml:space="preserve"> TOC \o "1-3" \h \z \u </w:instrText>
          </w:r>
          <w:r w:rsidRPr="006D2D38">
            <w:rPr>
              <w:sz w:val="22"/>
            </w:rPr>
            <w:fldChar w:fldCharType="separate"/>
          </w:r>
          <w:hyperlink w:history="1" w:anchor="_Toc139191694">
            <w:r w:rsidRPr="006D2D38" w:rsidR="006D2D38">
              <w:rPr>
                <w:rStyle w:val="Hyperlink"/>
                <w:noProof/>
                <w:sz w:val="22"/>
              </w:rPr>
              <w:t>Overview of this Document</w:t>
            </w:r>
            <w:r w:rsidRPr="006D2D38" w:rsidR="006D2D38">
              <w:rPr>
                <w:noProof/>
                <w:webHidden/>
                <w:sz w:val="22"/>
              </w:rPr>
              <w:tab/>
            </w:r>
            <w:r w:rsidRPr="006D2D38" w:rsidR="006D2D38">
              <w:rPr>
                <w:noProof/>
                <w:webHidden/>
                <w:sz w:val="22"/>
              </w:rPr>
              <w:fldChar w:fldCharType="begin"/>
            </w:r>
            <w:r w:rsidRPr="006D2D38" w:rsidR="006D2D38">
              <w:rPr>
                <w:noProof/>
                <w:webHidden/>
                <w:sz w:val="22"/>
              </w:rPr>
              <w:instrText xml:space="preserve"> PAGEREF _Toc139191694 \h </w:instrText>
            </w:r>
            <w:r w:rsidRPr="006D2D38" w:rsidR="006D2D38">
              <w:rPr>
                <w:noProof/>
                <w:webHidden/>
                <w:sz w:val="22"/>
              </w:rPr>
            </w:r>
            <w:r w:rsidRPr="006D2D38" w:rsidR="006D2D38">
              <w:rPr>
                <w:noProof/>
                <w:webHidden/>
                <w:sz w:val="22"/>
              </w:rPr>
              <w:fldChar w:fldCharType="separate"/>
            </w:r>
            <w:r w:rsidRPr="006D2D38" w:rsidR="006D2D38">
              <w:rPr>
                <w:noProof/>
                <w:webHidden/>
                <w:sz w:val="22"/>
              </w:rPr>
              <w:t>2</w:t>
            </w:r>
            <w:r w:rsidRPr="006D2D38" w:rsidR="006D2D38">
              <w:rPr>
                <w:noProof/>
                <w:webHidden/>
                <w:sz w:val="22"/>
              </w:rPr>
              <w:fldChar w:fldCharType="end"/>
            </w:r>
          </w:hyperlink>
        </w:p>
        <w:p w:rsidRPr="006D2D38" w:rsidR="006D2D38" w:rsidRDefault="006D2D38" w14:paraId="58D09C4D" w14:textId="44FC7DD9">
          <w:pPr>
            <w:pStyle w:val="TOC2"/>
            <w:rPr>
              <w:rFonts w:asciiTheme="minorHAnsi" w:hAnsiTheme="minorHAnsi" w:eastAsiaTheme="minorEastAsia" w:cstheme="minorBidi"/>
              <w:noProof/>
              <w:kern w:val="2"/>
              <w:sz w:val="22"/>
              <w14:ligatures w14:val="standardContextual"/>
            </w:rPr>
          </w:pPr>
          <w:hyperlink w:history="1" w:anchor="_Toc139191695">
            <w:r w:rsidRPr="006D2D38">
              <w:rPr>
                <w:rStyle w:val="Hyperlink"/>
                <w:noProof/>
                <w:sz w:val="22"/>
              </w:rPr>
              <w:t>Consulting Other Documents</w:t>
            </w:r>
            <w:r w:rsidRPr="006D2D38">
              <w:rPr>
                <w:noProof/>
                <w:webHidden/>
                <w:sz w:val="22"/>
              </w:rPr>
              <w:tab/>
            </w:r>
            <w:r w:rsidRPr="006D2D38">
              <w:rPr>
                <w:noProof/>
                <w:webHidden/>
                <w:sz w:val="22"/>
              </w:rPr>
              <w:fldChar w:fldCharType="begin"/>
            </w:r>
            <w:r w:rsidRPr="006D2D38">
              <w:rPr>
                <w:noProof/>
                <w:webHidden/>
                <w:sz w:val="22"/>
              </w:rPr>
              <w:instrText xml:space="preserve"> PAGEREF _Toc139191695 \h </w:instrText>
            </w:r>
            <w:r w:rsidRPr="006D2D38">
              <w:rPr>
                <w:noProof/>
                <w:webHidden/>
                <w:sz w:val="22"/>
              </w:rPr>
            </w:r>
            <w:r w:rsidRPr="006D2D38">
              <w:rPr>
                <w:noProof/>
                <w:webHidden/>
                <w:sz w:val="22"/>
              </w:rPr>
              <w:fldChar w:fldCharType="separate"/>
            </w:r>
            <w:r w:rsidRPr="006D2D38">
              <w:rPr>
                <w:noProof/>
                <w:webHidden/>
                <w:sz w:val="22"/>
              </w:rPr>
              <w:t>2</w:t>
            </w:r>
            <w:r w:rsidRPr="006D2D38">
              <w:rPr>
                <w:noProof/>
                <w:webHidden/>
                <w:sz w:val="22"/>
              </w:rPr>
              <w:fldChar w:fldCharType="end"/>
            </w:r>
          </w:hyperlink>
        </w:p>
        <w:p w:rsidRPr="006D2D38" w:rsidR="006D2D38" w:rsidRDefault="006D2D38" w14:paraId="56090A91" w14:textId="41062BF6">
          <w:pPr>
            <w:pStyle w:val="TOC2"/>
            <w:rPr>
              <w:rFonts w:asciiTheme="minorHAnsi" w:hAnsiTheme="minorHAnsi" w:eastAsiaTheme="minorEastAsia" w:cstheme="minorBidi"/>
              <w:noProof/>
              <w:kern w:val="2"/>
              <w:sz w:val="22"/>
              <w14:ligatures w14:val="standardContextual"/>
            </w:rPr>
          </w:pPr>
          <w:hyperlink w:history="1" w:anchor="_Toc139191696">
            <w:r w:rsidRPr="006D2D38">
              <w:rPr>
                <w:rStyle w:val="Hyperlink"/>
                <w:noProof/>
                <w:sz w:val="22"/>
              </w:rPr>
              <w:t>Glossary</w:t>
            </w:r>
            <w:r w:rsidRPr="006D2D38">
              <w:rPr>
                <w:noProof/>
                <w:webHidden/>
                <w:sz w:val="22"/>
              </w:rPr>
              <w:tab/>
            </w:r>
            <w:r w:rsidRPr="006D2D38">
              <w:rPr>
                <w:noProof/>
                <w:webHidden/>
                <w:sz w:val="22"/>
              </w:rPr>
              <w:fldChar w:fldCharType="begin"/>
            </w:r>
            <w:r w:rsidRPr="006D2D38">
              <w:rPr>
                <w:noProof/>
                <w:webHidden/>
                <w:sz w:val="22"/>
              </w:rPr>
              <w:instrText xml:space="preserve"> PAGEREF _Toc139191696 \h </w:instrText>
            </w:r>
            <w:r w:rsidRPr="006D2D38">
              <w:rPr>
                <w:noProof/>
                <w:webHidden/>
                <w:sz w:val="22"/>
              </w:rPr>
            </w:r>
            <w:r w:rsidRPr="006D2D38">
              <w:rPr>
                <w:noProof/>
                <w:webHidden/>
                <w:sz w:val="22"/>
              </w:rPr>
              <w:fldChar w:fldCharType="separate"/>
            </w:r>
            <w:r w:rsidRPr="006D2D38">
              <w:rPr>
                <w:noProof/>
                <w:webHidden/>
                <w:sz w:val="22"/>
              </w:rPr>
              <w:t>2</w:t>
            </w:r>
            <w:r w:rsidRPr="006D2D38">
              <w:rPr>
                <w:noProof/>
                <w:webHidden/>
                <w:sz w:val="22"/>
              </w:rPr>
              <w:fldChar w:fldCharType="end"/>
            </w:r>
          </w:hyperlink>
        </w:p>
        <w:p w:rsidRPr="006D2D38" w:rsidR="006D2D38" w:rsidRDefault="006D2D38" w14:paraId="33E7394A" w14:textId="13E60198">
          <w:pPr>
            <w:pStyle w:val="TOC1"/>
            <w:rPr>
              <w:rFonts w:asciiTheme="minorHAnsi" w:hAnsiTheme="minorHAnsi" w:eastAsiaTheme="minorEastAsia" w:cstheme="minorBidi"/>
              <w:noProof/>
              <w:kern w:val="2"/>
              <w:sz w:val="22"/>
              <w14:ligatures w14:val="standardContextual"/>
            </w:rPr>
          </w:pPr>
          <w:hyperlink w:history="1" w:anchor="_Toc139191697">
            <w:r w:rsidRPr="006D2D38">
              <w:rPr>
                <w:rStyle w:val="Hyperlink"/>
                <w:noProof/>
                <w:sz w:val="22"/>
              </w:rPr>
              <w:t>1.</w:t>
            </w:r>
            <w:r w:rsidRPr="006D2D38">
              <w:rPr>
                <w:rFonts w:asciiTheme="minorHAnsi" w:hAnsiTheme="minorHAnsi" w:eastAsiaTheme="minorEastAsia" w:cstheme="minorBidi"/>
                <w:noProof/>
                <w:kern w:val="2"/>
                <w:sz w:val="22"/>
                <w14:ligatures w14:val="standardContextual"/>
              </w:rPr>
              <w:tab/>
            </w:r>
            <w:r w:rsidRPr="006D2D38">
              <w:rPr>
                <w:rStyle w:val="Hyperlink"/>
                <w:noProof/>
                <w:sz w:val="22"/>
              </w:rPr>
              <w:t>Introduction and Background Information on the CMA Requirements</w:t>
            </w:r>
            <w:r w:rsidRPr="006D2D38">
              <w:rPr>
                <w:noProof/>
                <w:webHidden/>
                <w:sz w:val="22"/>
              </w:rPr>
              <w:tab/>
            </w:r>
            <w:r w:rsidRPr="006D2D38">
              <w:rPr>
                <w:noProof/>
                <w:webHidden/>
                <w:sz w:val="22"/>
              </w:rPr>
              <w:fldChar w:fldCharType="begin"/>
            </w:r>
            <w:r w:rsidRPr="006D2D38">
              <w:rPr>
                <w:noProof/>
                <w:webHidden/>
                <w:sz w:val="22"/>
              </w:rPr>
              <w:instrText xml:space="preserve"> PAGEREF _Toc139191697 \h </w:instrText>
            </w:r>
            <w:r w:rsidRPr="006D2D38">
              <w:rPr>
                <w:noProof/>
                <w:webHidden/>
                <w:sz w:val="22"/>
              </w:rPr>
            </w:r>
            <w:r w:rsidRPr="006D2D38">
              <w:rPr>
                <w:noProof/>
                <w:webHidden/>
                <w:sz w:val="22"/>
              </w:rPr>
              <w:fldChar w:fldCharType="separate"/>
            </w:r>
            <w:r w:rsidRPr="006D2D38">
              <w:rPr>
                <w:noProof/>
                <w:webHidden/>
                <w:sz w:val="22"/>
              </w:rPr>
              <w:t>3</w:t>
            </w:r>
            <w:r w:rsidRPr="006D2D38">
              <w:rPr>
                <w:noProof/>
                <w:webHidden/>
                <w:sz w:val="22"/>
              </w:rPr>
              <w:fldChar w:fldCharType="end"/>
            </w:r>
          </w:hyperlink>
        </w:p>
        <w:p w:rsidRPr="006D2D38" w:rsidR="006D2D38" w:rsidRDefault="006D2D38" w14:paraId="488D92D7" w14:textId="3FF5F94A">
          <w:pPr>
            <w:pStyle w:val="TOC1"/>
            <w:rPr>
              <w:rFonts w:asciiTheme="minorHAnsi" w:hAnsiTheme="minorHAnsi" w:eastAsiaTheme="minorEastAsia" w:cstheme="minorBidi"/>
              <w:noProof/>
              <w:kern w:val="2"/>
              <w:sz w:val="22"/>
              <w14:ligatures w14:val="standardContextual"/>
            </w:rPr>
          </w:pPr>
          <w:hyperlink w:history="1" w:anchor="_Toc139191698">
            <w:r w:rsidRPr="006D2D38">
              <w:rPr>
                <w:rStyle w:val="Hyperlink"/>
                <w:noProof/>
                <w:sz w:val="22"/>
              </w:rPr>
              <w:t>2.</w:t>
            </w:r>
            <w:r w:rsidRPr="006D2D38">
              <w:rPr>
                <w:rFonts w:asciiTheme="minorHAnsi" w:hAnsiTheme="minorHAnsi" w:eastAsiaTheme="minorEastAsia" w:cstheme="minorBidi"/>
                <w:noProof/>
                <w:kern w:val="2"/>
                <w:sz w:val="22"/>
                <w14:ligatures w14:val="standardContextual"/>
              </w:rPr>
              <w:tab/>
            </w:r>
            <w:r w:rsidRPr="006D2D38">
              <w:rPr>
                <w:rStyle w:val="Hyperlink"/>
                <w:noProof/>
                <w:sz w:val="22"/>
              </w:rPr>
              <w:t>Provision of Information</w:t>
            </w:r>
            <w:r w:rsidRPr="006D2D38">
              <w:rPr>
                <w:noProof/>
                <w:webHidden/>
                <w:sz w:val="22"/>
              </w:rPr>
              <w:tab/>
            </w:r>
            <w:r w:rsidRPr="006D2D38">
              <w:rPr>
                <w:noProof/>
                <w:webHidden/>
                <w:sz w:val="22"/>
              </w:rPr>
              <w:fldChar w:fldCharType="begin"/>
            </w:r>
            <w:r w:rsidRPr="006D2D38">
              <w:rPr>
                <w:noProof/>
                <w:webHidden/>
                <w:sz w:val="22"/>
              </w:rPr>
              <w:instrText xml:space="preserve"> PAGEREF _Toc139191698 \h </w:instrText>
            </w:r>
            <w:r w:rsidRPr="006D2D38">
              <w:rPr>
                <w:noProof/>
                <w:webHidden/>
                <w:sz w:val="22"/>
              </w:rPr>
            </w:r>
            <w:r w:rsidRPr="006D2D38">
              <w:rPr>
                <w:noProof/>
                <w:webHidden/>
                <w:sz w:val="22"/>
              </w:rPr>
              <w:fldChar w:fldCharType="separate"/>
            </w:r>
            <w:r w:rsidRPr="006D2D38">
              <w:rPr>
                <w:noProof/>
                <w:webHidden/>
                <w:sz w:val="22"/>
              </w:rPr>
              <w:t>3</w:t>
            </w:r>
            <w:r w:rsidRPr="006D2D38">
              <w:rPr>
                <w:noProof/>
                <w:webHidden/>
                <w:sz w:val="22"/>
              </w:rPr>
              <w:fldChar w:fldCharType="end"/>
            </w:r>
          </w:hyperlink>
        </w:p>
        <w:p w:rsidRPr="006D2D38" w:rsidR="006D2D38" w:rsidRDefault="006D2D38" w14:paraId="7A471C77" w14:textId="47EAF222">
          <w:pPr>
            <w:pStyle w:val="TOC1"/>
            <w:rPr>
              <w:rFonts w:asciiTheme="minorHAnsi" w:hAnsiTheme="minorHAnsi" w:eastAsiaTheme="minorEastAsia" w:cstheme="minorBidi"/>
              <w:noProof/>
              <w:kern w:val="2"/>
              <w:sz w:val="22"/>
              <w14:ligatures w14:val="standardContextual"/>
            </w:rPr>
          </w:pPr>
          <w:hyperlink w:history="1" w:anchor="_Toc139191699">
            <w:r w:rsidRPr="006D2D38">
              <w:rPr>
                <w:rStyle w:val="Hyperlink"/>
                <w:noProof/>
                <w:sz w:val="22"/>
              </w:rPr>
              <w:t>3.</w:t>
            </w:r>
            <w:r w:rsidRPr="006D2D38">
              <w:rPr>
                <w:rFonts w:asciiTheme="minorHAnsi" w:hAnsiTheme="minorHAnsi" w:eastAsiaTheme="minorEastAsia" w:cstheme="minorBidi"/>
                <w:noProof/>
                <w:kern w:val="2"/>
                <w:sz w:val="22"/>
                <w14:ligatures w14:val="standardContextual"/>
              </w:rPr>
              <w:tab/>
            </w:r>
            <w:r w:rsidRPr="006D2D38">
              <w:rPr>
                <w:rStyle w:val="Hyperlink"/>
                <w:noProof/>
                <w:sz w:val="22"/>
              </w:rPr>
              <w:t>Material Information</w:t>
            </w:r>
            <w:r w:rsidRPr="006D2D38">
              <w:rPr>
                <w:noProof/>
                <w:webHidden/>
                <w:sz w:val="22"/>
              </w:rPr>
              <w:tab/>
            </w:r>
            <w:r w:rsidRPr="006D2D38">
              <w:rPr>
                <w:noProof/>
                <w:webHidden/>
                <w:sz w:val="22"/>
              </w:rPr>
              <w:fldChar w:fldCharType="begin"/>
            </w:r>
            <w:r w:rsidRPr="006D2D38">
              <w:rPr>
                <w:noProof/>
                <w:webHidden/>
                <w:sz w:val="22"/>
              </w:rPr>
              <w:instrText xml:space="preserve"> PAGEREF _Toc139191699 \h </w:instrText>
            </w:r>
            <w:r w:rsidRPr="006D2D38">
              <w:rPr>
                <w:noProof/>
                <w:webHidden/>
                <w:sz w:val="22"/>
              </w:rPr>
            </w:r>
            <w:r w:rsidRPr="006D2D38">
              <w:rPr>
                <w:noProof/>
                <w:webHidden/>
                <w:sz w:val="22"/>
              </w:rPr>
              <w:fldChar w:fldCharType="separate"/>
            </w:r>
            <w:r w:rsidRPr="006D2D38">
              <w:rPr>
                <w:noProof/>
                <w:webHidden/>
                <w:sz w:val="22"/>
              </w:rPr>
              <w:t>3</w:t>
            </w:r>
            <w:r w:rsidRPr="006D2D38">
              <w:rPr>
                <w:noProof/>
                <w:webHidden/>
                <w:sz w:val="22"/>
              </w:rPr>
              <w:fldChar w:fldCharType="end"/>
            </w:r>
          </w:hyperlink>
        </w:p>
        <w:p w:rsidRPr="006D2D38" w:rsidR="006D2D38" w:rsidRDefault="006D2D38" w14:paraId="151C03AF" w14:textId="4782714C">
          <w:pPr>
            <w:pStyle w:val="TOC1"/>
            <w:rPr>
              <w:rFonts w:asciiTheme="minorHAnsi" w:hAnsiTheme="minorHAnsi" w:eastAsiaTheme="minorEastAsia" w:cstheme="minorBidi"/>
              <w:noProof/>
              <w:kern w:val="2"/>
              <w:sz w:val="22"/>
              <w14:ligatures w14:val="standardContextual"/>
            </w:rPr>
          </w:pPr>
          <w:hyperlink w:history="1" w:anchor="_Toc139191700">
            <w:r w:rsidRPr="006D2D38">
              <w:rPr>
                <w:rStyle w:val="Hyperlink"/>
                <w:noProof/>
                <w:sz w:val="22"/>
              </w:rPr>
              <w:t>4.</w:t>
            </w:r>
            <w:r w:rsidRPr="006D2D38">
              <w:rPr>
                <w:rFonts w:asciiTheme="minorHAnsi" w:hAnsiTheme="minorHAnsi" w:eastAsiaTheme="minorEastAsia" w:cstheme="minorBidi"/>
                <w:noProof/>
                <w:kern w:val="2"/>
                <w:sz w:val="22"/>
                <w14:ligatures w14:val="standardContextual"/>
              </w:rPr>
              <w:tab/>
            </w:r>
            <w:r w:rsidRPr="006D2D38">
              <w:rPr>
                <w:rStyle w:val="Hyperlink"/>
                <w:noProof/>
                <w:sz w:val="22"/>
              </w:rPr>
              <w:t>Stages of Engagement between a Student and a University</w:t>
            </w:r>
            <w:r w:rsidRPr="006D2D38">
              <w:rPr>
                <w:noProof/>
                <w:webHidden/>
                <w:sz w:val="22"/>
              </w:rPr>
              <w:tab/>
            </w:r>
            <w:r w:rsidRPr="006D2D38">
              <w:rPr>
                <w:noProof/>
                <w:webHidden/>
                <w:sz w:val="22"/>
              </w:rPr>
              <w:fldChar w:fldCharType="begin"/>
            </w:r>
            <w:r w:rsidRPr="006D2D38">
              <w:rPr>
                <w:noProof/>
                <w:webHidden/>
                <w:sz w:val="22"/>
              </w:rPr>
              <w:instrText xml:space="preserve"> PAGEREF _Toc139191700 \h </w:instrText>
            </w:r>
            <w:r w:rsidRPr="006D2D38">
              <w:rPr>
                <w:noProof/>
                <w:webHidden/>
                <w:sz w:val="22"/>
              </w:rPr>
            </w:r>
            <w:r w:rsidRPr="006D2D38">
              <w:rPr>
                <w:noProof/>
                <w:webHidden/>
                <w:sz w:val="22"/>
              </w:rPr>
              <w:fldChar w:fldCharType="separate"/>
            </w:r>
            <w:r w:rsidRPr="006D2D38">
              <w:rPr>
                <w:noProof/>
                <w:webHidden/>
                <w:sz w:val="22"/>
              </w:rPr>
              <w:t>4</w:t>
            </w:r>
            <w:r w:rsidRPr="006D2D38">
              <w:rPr>
                <w:noProof/>
                <w:webHidden/>
                <w:sz w:val="22"/>
              </w:rPr>
              <w:fldChar w:fldCharType="end"/>
            </w:r>
          </w:hyperlink>
        </w:p>
        <w:p w:rsidRPr="006D2D38" w:rsidR="006D2D38" w:rsidRDefault="006D2D38" w14:paraId="6EC60D30" w14:textId="2AEBBBE5">
          <w:pPr>
            <w:pStyle w:val="TOC1"/>
            <w:rPr>
              <w:rFonts w:asciiTheme="minorHAnsi" w:hAnsiTheme="minorHAnsi" w:eastAsiaTheme="minorEastAsia" w:cstheme="minorBidi"/>
              <w:noProof/>
              <w:kern w:val="2"/>
              <w:sz w:val="22"/>
              <w14:ligatures w14:val="standardContextual"/>
            </w:rPr>
          </w:pPr>
          <w:hyperlink w:history="1" w:anchor="_Toc139191701">
            <w:r w:rsidRPr="006D2D38">
              <w:rPr>
                <w:rStyle w:val="Hyperlink"/>
                <w:noProof/>
                <w:sz w:val="22"/>
              </w:rPr>
              <w:t>5.</w:t>
            </w:r>
            <w:r w:rsidRPr="006D2D38">
              <w:rPr>
                <w:rFonts w:asciiTheme="minorHAnsi" w:hAnsiTheme="minorHAnsi" w:eastAsiaTheme="minorEastAsia" w:cstheme="minorBidi"/>
                <w:noProof/>
                <w:kern w:val="2"/>
                <w:sz w:val="22"/>
                <w14:ligatures w14:val="standardContextual"/>
              </w:rPr>
              <w:tab/>
            </w:r>
            <w:r w:rsidRPr="006D2D38">
              <w:rPr>
                <w:rStyle w:val="Hyperlink"/>
                <w:noProof/>
                <w:sz w:val="22"/>
              </w:rPr>
              <w:t>Express Agreement</w:t>
            </w:r>
            <w:r w:rsidRPr="006D2D38">
              <w:rPr>
                <w:noProof/>
                <w:webHidden/>
                <w:sz w:val="22"/>
              </w:rPr>
              <w:tab/>
            </w:r>
            <w:r w:rsidRPr="006D2D38">
              <w:rPr>
                <w:noProof/>
                <w:webHidden/>
                <w:sz w:val="22"/>
              </w:rPr>
              <w:fldChar w:fldCharType="begin"/>
            </w:r>
            <w:r w:rsidRPr="006D2D38">
              <w:rPr>
                <w:noProof/>
                <w:webHidden/>
                <w:sz w:val="22"/>
              </w:rPr>
              <w:instrText xml:space="preserve"> PAGEREF _Toc139191701 \h </w:instrText>
            </w:r>
            <w:r w:rsidRPr="006D2D38">
              <w:rPr>
                <w:noProof/>
                <w:webHidden/>
                <w:sz w:val="22"/>
              </w:rPr>
            </w:r>
            <w:r w:rsidRPr="006D2D38">
              <w:rPr>
                <w:noProof/>
                <w:webHidden/>
                <w:sz w:val="22"/>
              </w:rPr>
              <w:fldChar w:fldCharType="separate"/>
            </w:r>
            <w:r w:rsidRPr="006D2D38">
              <w:rPr>
                <w:noProof/>
                <w:webHidden/>
                <w:sz w:val="22"/>
              </w:rPr>
              <w:t>4</w:t>
            </w:r>
            <w:r w:rsidRPr="006D2D38">
              <w:rPr>
                <w:noProof/>
                <w:webHidden/>
                <w:sz w:val="22"/>
              </w:rPr>
              <w:fldChar w:fldCharType="end"/>
            </w:r>
          </w:hyperlink>
        </w:p>
        <w:p w:rsidRPr="006D2D38" w:rsidR="006D2D38" w:rsidRDefault="006D2D38" w14:paraId="3EF4E89E" w14:textId="2C525AB3">
          <w:pPr>
            <w:pStyle w:val="TOC1"/>
            <w:rPr>
              <w:rFonts w:asciiTheme="minorHAnsi" w:hAnsiTheme="minorHAnsi" w:eastAsiaTheme="minorEastAsia" w:cstheme="minorBidi"/>
              <w:noProof/>
              <w:kern w:val="2"/>
              <w:sz w:val="22"/>
              <w14:ligatures w14:val="standardContextual"/>
            </w:rPr>
          </w:pPr>
          <w:hyperlink w:history="1" w:anchor="_Toc139191702">
            <w:r w:rsidRPr="006D2D38">
              <w:rPr>
                <w:rStyle w:val="Hyperlink"/>
                <w:noProof/>
                <w:sz w:val="22"/>
              </w:rPr>
              <w:t>6.</w:t>
            </w:r>
            <w:r w:rsidRPr="006D2D38">
              <w:rPr>
                <w:rFonts w:asciiTheme="minorHAnsi" w:hAnsiTheme="minorHAnsi" w:eastAsiaTheme="minorEastAsia" w:cstheme="minorBidi"/>
                <w:noProof/>
                <w:kern w:val="2"/>
                <w:sz w:val="22"/>
                <w14:ligatures w14:val="standardContextual"/>
              </w:rPr>
              <w:tab/>
            </w:r>
            <w:r w:rsidRPr="006D2D38">
              <w:rPr>
                <w:rStyle w:val="Hyperlink"/>
                <w:noProof/>
                <w:sz w:val="22"/>
              </w:rPr>
              <w:t>Rationale for Making Changes to Material Information</w:t>
            </w:r>
            <w:r w:rsidRPr="006D2D38">
              <w:rPr>
                <w:noProof/>
                <w:webHidden/>
                <w:sz w:val="22"/>
              </w:rPr>
              <w:tab/>
            </w:r>
            <w:r w:rsidRPr="006D2D38">
              <w:rPr>
                <w:noProof/>
                <w:webHidden/>
                <w:sz w:val="22"/>
              </w:rPr>
              <w:fldChar w:fldCharType="begin"/>
            </w:r>
            <w:r w:rsidRPr="006D2D38">
              <w:rPr>
                <w:noProof/>
                <w:webHidden/>
                <w:sz w:val="22"/>
              </w:rPr>
              <w:instrText xml:space="preserve"> PAGEREF _Toc139191702 \h </w:instrText>
            </w:r>
            <w:r w:rsidRPr="006D2D38">
              <w:rPr>
                <w:noProof/>
                <w:webHidden/>
                <w:sz w:val="22"/>
              </w:rPr>
            </w:r>
            <w:r w:rsidRPr="006D2D38">
              <w:rPr>
                <w:noProof/>
                <w:webHidden/>
                <w:sz w:val="22"/>
              </w:rPr>
              <w:fldChar w:fldCharType="separate"/>
            </w:r>
            <w:r w:rsidRPr="006D2D38">
              <w:rPr>
                <w:noProof/>
                <w:webHidden/>
                <w:sz w:val="22"/>
              </w:rPr>
              <w:t>5</w:t>
            </w:r>
            <w:r w:rsidRPr="006D2D38">
              <w:rPr>
                <w:noProof/>
                <w:webHidden/>
                <w:sz w:val="22"/>
              </w:rPr>
              <w:fldChar w:fldCharType="end"/>
            </w:r>
          </w:hyperlink>
        </w:p>
        <w:p w:rsidRPr="006D2D38" w:rsidR="006D2D38" w:rsidRDefault="006D2D38" w14:paraId="548CCABE" w14:textId="4F75E604">
          <w:pPr>
            <w:pStyle w:val="TOC1"/>
            <w:rPr>
              <w:rFonts w:asciiTheme="minorHAnsi" w:hAnsiTheme="minorHAnsi" w:eastAsiaTheme="minorEastAsia" w:cstheme="minorBidi"/>
              <w:noProof/>
              <w:kern w:val="2"/>
              <w:sz w:val="22"/>
              <w14:ligatures w14:val="standardContextual"/>
            </w:rPr>
          </w:pPr>
          <w:hyperlink w:history="1" w:anchor="_Toc139191703">
            <w:r w:rsidRPr="006D2D38">
              <w:rPr>
                <w:rStyle w:val="Hyperlink"/>
                <w:noProof/>
                <w:sz w:val="22"/>
              </w:rPr>
              <w:t>7.</w:t>
            </w:r>
            <w:r w:rsidRPr="006D2D38">
              <w:rPr>
                <w:rFonts w:asciiTheme="minorHAnsi" w:hAnsiTheme="minorHAnsi" w:eastAsiaTheme="minorEastAsia" w:cstheme="minorBidi"/>
                <w:noProof/>
                <w:kern w:val="2"/>
                <w:sz w:val="22"/>
                <w14:ligatures w14:val="standardContextual"/>
              </w:rPr>
              <w:tab/>
            </w:r>
            <w:r w:rsidRPr="006D2D38">
              <w:rPr>
                <w:rStyle w:val="Hyperlink"/>
                <w:noProof/>
                <w:sz w:val="22"/>
              </w:rPr>
              <w:t>Timings for Making Changes to Material Information</w:t>
            </w:r>
            <w:r w:rsidRPr="006D2D38">
              <w:rPr>
                <w:noProof/>
                <w:webHidden/>
                <w:sz w:val="22"/>
              </w:rPr>
              <w:tab/>
            </w:r>
            <w:r w:rsidRPr="006D2D38">
              <w:rPr>
                <w:noProof/>
                <w:webHidden/>
                <w:sz w:val="22"/>
              </w:rPr>
              <w:fldChar w:fldCharType="begin"/>
            </w:r>
            <w:r w:rsidRPr="006D2D38">
              <w:rPr>
                <w:noProof/>
                <w:webHidden/>
                <w:sz w:val="22"/>
              </w:rPr>
              <w:instrText xml:space="preserve"> PAGEREF _Toc139191703 \h </w:instrText>
            </w:r>
            <w:r w:rsidRPr="006D2D38">
              <w:rPr>
                <w:noProof/>
                <w:webHidden/>
                <w:sz w:val="22"/>
              </w:rPr>
            </w:r>
            <w:r w:rsidRPr="006D2D38">
              <w:rPr>
                <w:noProof/>
                <w:webHidden/>
                <w:sz w:val="22"/>
              </w:rPr>
              <w:fldChar w:fldCharType="separate"/>
            </w:r>
            <w:r w:rsidRPr="006D2D38">
              <w:rPr>
                <w:noProof/>
                <w:webHidden/>
                <w:sz w:val="22"/>
              </w:rPr>
              <w:t>5</w:t>
            </w:r>
            <w:r w:rsidRPr="006D2D38">
              <w:rPr>
                <w:noProof/>
                <w:webHidden/>
                <w:sz w:val="22"/>
              </w:rPr>
              <w:fldChar w:fldCharType="end"/>
            </w:r>
          </w:hyperlink>
        </w:p>
        <w:p w:rsidRPr="006D2D38" w:rsidR="006D2D38" w:rsidRDefault="006D2D38" w14:paraId="384AB098" w14:textId="6B7C93E2">
          <w:pPr>
            <w:pStyle w:val="TOC1"/>
            <w:rPr>
              <w:rFonts w:asciiTheme="minorHAnsi" w:hAnsiTheme="minorHAnsi" w:eastAsiaTheme="minorEastAsia" w:cstheme="minorBidi"/>
              <w:noProof/>
              <w:kern w:val="2"/>
              <w:sz w:val="22"/>
              <w14:ligatures w14:val="standardContextual"/>
            </w:rPr>
          </w:pPr>
          <w:hyperlink w:history="1" w:anchor="_Toc139191704">
            <w:r w:rsidRPr="006D2D38">
              <w:rPr>
                <w:rStyle w:val="Hyperlink"/>
                <w:noProof/>
                <w:sz w:val="22"/>
              </w:rPr>
              <w:t>8.</w:t>
            </w:r>
            <w:r w:rsidRPr="006D2D38">
              <w:rPr>
                <w:rFonts w:asciiTheme="minorHAnsi" w:hAnsiTheme="minorHAnsi" w:eastAsiaTheme="minorEastAsia" w:cstheme="minorBidi"/>
                <w:noProof/>
                <w:kern w:val="2"/>
                <w:sz w:val="22"/>
                <w14:ligatures w14:val="standardContextual"/>
              </w:rPr>
              <w:tab/>
            </w:r>
            <w:r w:rsidRPr="006D2D38">
              <w:rPr>
                <w:rStyle w:val="Hyperlink"/>
                <w:noProof/>
                <w:sz w:val="22"/>
              </w:rPr>
              <w:t>Process for Making Changes to Material Information</w:t>
            </w:r>
            <w:r w:rsidRPr="006D2D38">
              <w:rPr>
                <w:noProof/>
                <w:webHidden/>
                <w:sz w:val="22"/>
              </w:rPr>
              <w:tab/>
            </w:r>
            <w:r w:rsidRPr="006D2D38">
              <w:rPr>
                <w:noProof/>
                <w:webHidden/>
                <w:sz w:val="22"/>
              </w:rPr>
              <w:fldChar w:fldCharType="begin"/>
            </w:r>
            <w:r w:rsidRPr="006D2D38">
              <w:rPr>
                <w:noProof/>
                <w:webHidden/>
                <w:sz w:val="22"/>
              </w:rPr>
              <w:instrText xml:space="preserve"> PAGEREF _Toc139191704 \h </w:instrText>
            </w:r>
            <w:r w:rsidRPr="006D2D38">
              <w:rPr>
                <w:noProof/>
                <w:webHidden/>
                <w:sz w:val="22"/>
              </w:rPr>
            </w:r>
            <w:r w:rsidRPr="006D2D38">
              <w:rPr>
                <w:noProof/>
                <w:webHidden/>
                <w:sz w:val="22"/>
              </w:rPr>
              <w:fldChar w:fldCharType="separate"/>
            </w:r>
            <w:r w:rsidRPr="006D2D38">
              <w:rPr>
                <w:noProof/>
                <w:webHidden/>
                <w:sz w:val="22"/>
              </w:rPr>
              <w:t>5</w:t>
            </w:r>
            <w:r w:rsidRPr="006D2D38">
              <w:rPr>
                <w:noProof/>
                <w:webHidden/>
                <w:sz w:val="22"/>
              </w:rPr>
              <w:fldChar w:fldCharType="end"/>
            </w:r>
          </w:hyperlink>
        </w:p>
        <w:p w:rsidRPr="006D2D38" w:rsidR="006D2D38" w:rsidRDefault="006D2D38" w14:paraId="24657B55" w14:textId="6AC79DE3">
          <w:pPr>
            <w:pStyle w:val="TOC1"/>
            <w:rPr>
              <w:rFonts w:asciiTheme="minorHAnsi" w:hAnsiTheme="minorHAnsi" w:eastAsiaTheme="minorEastAsia" w:cstheme="minorBidi"/>
              <w:noProof/>
              <w:kern w:val="2"/>
              <w:sz w:val="22"/>
              <w14:ligatures w14:val="standardContextual"/>
            </w:rPr>
          </w:pPr>
          <w:hyperlink w:history="1" w:anchor="_Toc139191705">
            <w:r w:rsidRPr="006D2D38">
              <w:rPr>
                <w:rStyle w:val="Hyperlink"/>
                <w:noProof/>
                <w:sz w:val="22"/>
              </w:rPr>
              <w:t>9.</w:t>
            </w:r>
            <w:r w:rsidRPr="006D2D38">
              <w:rPr>
                <w:rFonts w:asciiTheme="minorHAnsi" w:hAnsiTheme="minorHAnsi" w:eastAsiaTheme="minorEastAsia" w:cstheme="minorBidi"/>
                <w:noProof/>
                <w:kern w:val="2"/>
                <w:sz w:val="22"/>
                <w14:ligatures w14:val="standardContextual"/>
              </w:rPr>
              <w:tab/>
            </w:r>
            <w:r w:rsidRPr="006D2D38">
              <w:rPr>
                <w:rStyle w:val="Hyperlink"/>
                <w:noProof/>
                <w:sz w:val="22"/>
              </w:rPr>
              <w:t>CMA Risk Assessments</w:t>
            </w:r>
            <w:r w:rsidRPr="006D2D38">
              <w:rPr>
                <w:noProof/>
                <w:webHidden/>
                <w:sz w:val="22"/>
              </w:rPr>
              <w:tab/>
            </w:r>
            <w:r w:rsidRPr="006D2D38">
              <w:rPr>
                <w:noProof/>
                <w:webHidden/>
                <w:sz w:val="22"/>
              </w:rPr>
              <w:fldChar w:fldCharType="begin"/>
            </w:r>
            <w:r w:rsidRPr="006D2D38">
              <w:rPr>
                <w:noProof/>
                <w:webHidden/>
                <w:sz w:val="22"/>
              </w:rPr>
              <w:instrText xml:space="preserve"> PAGEREF _Toc139191705 \h </w:instrText>
            </w:r>
            <w:r w:rsidRPr="006D2D38">
              <w:rPr>
                <w:noProof/>
                <w:webHidden/>
                <w:sz w:val="22"/>
              </w:rPr>
            </w:r>
            <w:r w:rsidRPr="006D2D38">
              <w:rPr>
                <w:noProof/>
                <w:webHidden/>
                <w:sz w:val="22"/>
              </w:rPr>
              <w:fldChar w:fldCharType="separate"/>
            </w:r>
            <w:r w:rsidRPr="006D2D38">
              <w:rPr>
                <w:noProof/>
                <w:webHidden/>
                <w:sz w:val="22"/>
              </w:rPr>
              <w:t>6</w:t>
            </w:r>
            <w:r w:rsidRPr="006D2D38">
              <w:rPr>
                <w:noProof/>
                <w:webHidden/>
                <w:sz w:val="22"/>
              </w:rPr>
              <w:fldChar w:fldCharType="end"/>
            </w:r>
          </w:hyperlink>
        </w:p>
        <w:p w:rsidRPr="006D2D38" w:rsidR="006D2D38" w:rsidRDefault="006D2D38" w14:paraId="643923A0" w14:textId="17204680">
          <w:pPr>
            <w:pStyle w:val="TOC1"/>
            <w:rPr>
              <w:rFonts w:asciiTheme="minorHAnsi" w:hAnsiTheme="minorHAnsi" w:eastAsiaTheme="minorEastAsia" w:cstheme="minorBidi"/>
              <w:noProof/>
              <w:kern w:val="2"/>
              <w:sz w:val="22"/>
              <w14:ligatures w14:val="standardContextual"/>
            </w:rPr>
          </w:pPr>
          <w:hyperlink w:history="1" w:anchor="_Toc139191706">
            <w:r w:rsidRPr="006D2D38">
              <w:rPr>
                <w:rStyle w:val="Hyperlink"/>
                <w:noProof/>
                <w:sz w:val="22"/>
              </w:rPr>
              <w:t>10.</w:t>
            </w:r>
            <w:r w:rsidRPr="006D2D38">
              <w:rPr>
                <w:rFonts w:asciiTheme="minorHAnsi" w:hAnsiTheme="minorHAnsi" w:eastAsiaTheme="minorEastAsia" w:cstheme="minorBidi"/>
                <w:noProof/>
                <w:kern w:val="2"/>
                <w:sz w:val="22"/>
                <w14:ligatures w14:val="standardContextual"/>
              </w:rPr>
              <w:tab/>
            </w:r>
            <w:r w:rsidRPr="006D2D38">
              <w:rPr>
                <w:rStyle w:val="Hyperlink"/>
                <w:noProof/>
                <w:sz w:val="22"/>
              </w:rPr>
              <w:t>CMA Risk Assessments for Courses</w:t>
            </w:r>
            <w:r w:rsidRPr="006D2D38">
              <w:rPr>
                <w:noProof/>
                <w:webHidden/>
                <w:sz w:val="22"/>
              </w:rPr>
              <w:tab/>
            </w:r>
            <w:r w:rsidRPr="006D2D38">
              <w:rPr>
                <w:noProof/>
                <w:webHidden/>
                <w:sz w:val="22"/>
              </w:rPr>
              <w:fldChar w:fldCharType="begin"/>
            </w:r>
            <w:r w:rsidRPr="006D2D38">
              <w:rPr>
                <w:noProof/>
                <w:webHidden/>
                <w:sz w:val="22"/>
              </w:rPr>
              <w:instrText xml:space="preserve"> PAGEREF _Toc139191706 \h </w:instrText>
            </w:r>
            <w:r w:rsidRPr="006D2D38">
              <w:rPr>
                <w:noProof/>
                <w:webHidden/>
                <w:sz w:val="22"/>
              </w:rPr>
            </w:r>
            <w:r w:rsidRPr="006D2D38">
              <w:rPr>
                <w:noProof/>
                <w:webHidden/>
                <w:sz w:val="22"/>
              </w:rPr>
              <w:fldChar w:fldCharType="separate"/>
            </w:r>
            <w:r w:rsidRPr="006D2D38">
              <w:rPr>
                <w:noProof/>
                <w:webHidden/>
                <w:sz w:val="22"/>
              </w:rPr>
              <w:t>7</w:t>
            </w:r>
            <w:r w:rsidRPr="006D2D38">
              <w:rPr>
                <w:noProof/>
                <w:webHidden/>
                <w:sz w:val="22"/>
              </w:rPr>
              <w:fldChar w:fldCharType="end"/>
            </w:r>
          </w:hyperlink>
        </w:p>
        <w:p w:rsidRPr="006D2D38" w:rsidR="006D2D38" w:rsidRDefault="006D2D38" w14:paraId="7F18905B" w14:textId="682EC2A0">
          <w:pPr>
            <w:pStyle w:val="TOC1"/>
            <w:rPr>
              <w:rFonts w:asciiTheme="minorHAnsi" w:hAnsiTheme="minorHAnsi" w:eastAsiaTheme="minorEastAsia" w:cstheme="minorBidi"/>
              <w:noProof/>
              <w:kern w:val="2"/>
              <w:sz w:val="22"/>
              <w14:ligatures w14:val="standardContextual"/>
            </w:rPr>
          </w:pPr>
          <w:hyperlink w:history="1" w:anchor="_Toc139191707">
            <w:r w:rsidRPr="006D2D38">
              <w:rPr>
                <w:rStyle w:val="Hyperlink"/>
                <w:noProof/>
                <w:sz w:val="22"/>
              </w:rPr>
              <w:t>11.</w:t>
            </w:r>
            <w:r w:rsidRPr="006D2D38">
              <w:rPr>
                <w:rFonts w:asciiTheme="minorHAnsi" w:hAnsiTheme="minorHAnsi" w:eastAsiaTheme="minorEastAsia" w:cstheme="minorBidi"/>
                <w:noProof/>
                <w:kern w:val="2"/>
                <w:sz w:val="22"/>
                <w14:ligatures w14:val="standardContextual"/>
              </w:rPr>
              <w:tab/>
            </w:r>
            <w:r w:rsidRPr="006D2D38">
              <w:rPr>
                <w:rStyle w:val="Hyperlink"/>
                <w:noProof/>
                <w:sz w:val="22"/>
              </w:rPr>
              <w:t>CMA Risk Assessment for Modules</w:t>
            </w:r>
            <w:r w:rsidRPr="006D2D38">
              <w:rPr>
                <w:noProof/>
                <w:webHidden/>
                <w:sz w:val="22"/>
              </w:rPr>
              <w:tab/>
            </w:r>
            <w:r w:rsidRPr="006D2D38">
              <w:rPr>
                <w:noProof/>
                <w:webHidden/>
                <w:sz w:val="22"/>
              </w:rPr>
              <w:fldChar w:fldCharType="begin"/>
            </w:r>
            <w:r w:rsidRPr="006D2D38">
              <w:rPr>
                <w:noProof/>
                <w:webHidden/>
                <w:sz w:val="22"/>
              </w:rPr>
              <w:instrText xml:space="preserve"> PAGEREF _Toc139191707 \h </w:instrText>
            </w:r>
            <w:r w:rsidRPr="006D2D38">
              <w:rPr>
                <w:noProof/>
                <w:webHidden/>
                <w:sz w:val="22"/>
              </w:rPr>
            </w:r>
            <w:r w:rsidRPr="006D2D38">
              <w:rPr>
                <w:noProof/>
                <w:webHidden/>
                <w:sz w:val="22"/>
              </w:rPr>
              <w:fldChar w:fldCharType="separate"/>
            </w:r>
            <w:r w:rsidRPr="006D2D38">
              <w:rPr>
                <w:noProof/>
                <w:webHidden/>
                <w:sz w:val="22"/>
              </w:rPr>
              <w:t>8</w:t>
            </w:r>
            <w:r w:rsidRPr="006D2D38">
              <w:rPr>
                <w:noProof/>
                <w:webHidden/>
                <w:sz w:val="22"/>
              </w:rPr>
              <w:fldChar w:fldCharType="end"/>
            </w:r>
          </w:hyperlink>
        </w:p>
        <w:p w:rsidRPr="006D2D38" w:rsidR="006D2D38" w:rsidRDefault="006D2D38" w14:paraId="6C66EE17" w14:textId="113CCC1E">
          <w:pPr>
            <w:pStyle w:val="TOC1"/>
            <w:rPr>
              <w:rFonts w:asciiTheme="minorHAnsi" w:hAnsiTheme="minorHAnsi" w:eastAsiaTheme="minorEastAsia" w:cstheme="minorBidi"/>
              <w:noProof/>
              <w:kern w:val="2"/>
              <w:sz w:val="22"/>
              <w14:ligatures w14:val="standardContextual"/>
            </w:rPr>
          </w:pPr>
          <w:hyperlink w:history="1" w:anchor="_Toc139191708">
            <w:r w:rsidRPr="006D2D38">
              <w:rPr>
                <w:rStyle w:val="Hyperlink"/>
                <w:noProof/>
                <w:sz w:val="22"/>
              </w:rPr>
              <w:t>12.</w:t>
            </w:r>
            <w:r w:rsidRPr="006D2D38">
              <w:rPr>
                <w:rFonts w:asciiTheme="minorHAnsi" w:hAnsiTheme="minorHAnsi" w:eastAsiaTheme="minorEastAsia" w:cstheme="minorBidi"/>
                <w:noProof/>
                <w:kern w:val="2"/>
                <w:sz w:val="22"/>
                <w14:ligatures w14:val="standardContextual"/>
              </w:rPr>
              <w:tab/>
            </w:r>
            <w:r w:rsidRPr="006D2D38">
              <w:rPr>
                <w:rStyle w:val="Hyperlink"/>
                <w:noProof/>
                <w:sz w:val="22"/>
              </w:rPr>
              <w:t>Reporting Activities</w:t>
            </w:r>
            <w:r w:rsidRPr="006D2D38">
              <w:rPr>
                <w:noProof/>
                <w:webHidden/>
                <w:sz w:val="22"/>
              </w:rPr>
              <w:tab/>
            </w:r>
            <w:r w:rsidRPr="006D2D38">
              <w:rPr>
                <w:noProof/>
                <w:webHidden/>
                <w:sz w:val="22"/>
              </w:rPr>
              <w:fldChar w:fldCharType="begin"/>
            </w:r>
            <w:r w:rsidRPr="006D2D38">
              <w:rPr>
                <w:noProof/>
                <w:webHidden/>
                <w:sz w:val="22"/>
              </w:rPr>
              <w:instrText xml:space="preserve"> PAGEREF _Toc139191708 \h </w:instrText>
            </w:r>
            <w:r w:rsidRPr="006D2D38">
              <w:rPr>
                <w:noProof/>
                <w:webHidden/>
                <w:sz w:val="22"/>
              </w:rPr>
            </w:r>
            <w:r w:rsidRPr="006D2D38">
              <w:rPr>
                <w:noProof/>
                <w:webHidden/>
                <w:sz w:val="22"/>
              </w:rPr>
              <w:fldChar w:fldCharType="separate"/>
            </w:r>
            <w:r w:rsidRPr="006D2D38">
              <w:rPr>
                <w:noProof/>
                <w:webHidden/>
                <w:sz w:val="22"/>
              </w:rPr>
              <w:t>8</w:t>
            </w:r>
            <w:r w:rsidRPr="006D2D38">
              <w:rPr>
                <w:noProof/>
                <w:webHidden/>
                <w:sz w:val="22"/>
              </w:rPr>
              <w:fldChar w:fldCharType="end"/>
            </w:r>
          </w:hyperlink>
        </w:p>
        <w:p w:rsidR="00797E01" w:rsidP="006903E0" w:rsidRDefault="00797E01" w14:paraId="5337F48E" w14:textId="43C8CC16">
          <w:pPr>
            <w:ind w:left="567" w:right="95" w:hanging="567"/>
          </w:pPr>
          <w:r w:rsidRPr="006D2D38">
            <w:rPr>
              <w:b/>
              <w:bCs/>
              <w:noProof/>
              <w:sz w:val="22"/>
            </w:rPr>
            <w:fldChar w:fldCharType="end"/>
          </w:r>
        </w:p>
      </w:sdtContent>
    </w:sdt>
    <w:p w:rsidR="00E110E9" w:rsidP="00096037" w:rsidRDefault="00797E01" w14:paraId="31AB6E5C" w14:textId="67DC3870">
      <w:pPr>
        <w:spacing w:after="160" w:line="259" w:lineRule="auto"/>
        <w:ind w:left="0" w:right="95" w:firstLine="0"/>
      </w:pPr>
      <w:r>
        <w:br w:type="page"/>
      </w:r>
    </w:p>
    <w:p w:rsidR="009645A9" w:rsidP="00C609AF" w:rsidRDefault="009645A9" w14:paraId="186A85DB" w14:textId="599DE13D">
      <w:pPr>
        <w:pStyle w:val="Heading1"/>
        <w:numPr>
          <w:ilvl w:val="0"/>
          <w:numId w:val="0"/>
        </w:numPr>
        <w:ind w:left="284" w:hanging="284"/>
      </w:pPr>
      <w:bookmarkStart w:name="_Toc133902876" w:id="0"/>
      <w:bookmarkStart w:name="_Toc139191694" w:id="1"/>
      <w:r w:rsidRPr="00FB7B82">
        <w:lastRenderedPageBreak/>
        <w:t xml:space="preserve">Overview of this </w:t>
      </w:r>
      <w:bookmarkEnd w:id="0"/>
      <w:r>
        <w:t>Document</w:t>
      </w:r>
      <w:bookmarkEnd w:id="1"/>
      <w:r w:rsidRPr="00FB7B82">
        <w:t xml:space="preserve"> </w:t>
      </w:r>
    </w:p>
    <w:p w:rsidR="009645A9" w:rsidP="009645A9" w:rsidRDefault="009645A9" w14:paraId="7C70DB25" w14:textId="160E8AC9">
      <w:pPr>
        <w:ind w:left="0" w:firstLine="0"/>
      </w:pPr>
      <w:r>
        <w:t>This document establishes the requirements and procedures for modules and courses where the proposed revisions, suspensions</w:t>
      </w:r>
      <w:r w:rsidR="1B0F366D">
        <w:t>,</w:t>
      </w:r>
      <w:r>
        <w:t xml:space="preserve"> and withdrawals result in changes to material information outlined by the Competition and Markets Authority (CMA). This document is designed to ensure that all such changes meet the CMA guidance requirements. </w:t>
      </w:r>
    </w:p>
    <w:p w:rsidRPr="00DA0EF7" w:rsidR="009645A9" w:rsidP="00B424E5" w:rsidRDefault="009645A9" w14:paraId="3269F6EE" w14:textId="77777777">
      <w:pPr>
        <w:pStyle w:val="Heading2"/>
        <w:spacing w:before="240"/>
      </w:pPr>
      <w:bookmarkStart w:name="_Toc131525395" w:id="2"/>
      <w:bookmarkStart w:name="_Toc131601932" w:id="3"/>
      <w:bookmarkStart w:name="_Toc139191695" w:id="4"/>
      <w:r w:rsidRPr="00DA0EF7">
        <w:t>Consulting Other Documents</w:t>
      </w:r>
      <w:bookmarkEnd w:id="2"/>
      <w:bookmarkEnd w:id="3"/>
      <w:bookmarkEnd w:id="4"/>
    </w:p>
    <w:p w:rsidRPr="006D1DAA" w:rsidR="009645A9" w:rsidP="009645A9" w:rsidRDefault="009645A9" w14:paraId="2632D710" w14:textId="66279EB0">
      <w:pPr>
        <w:rPr>
          <w:szCs w:val="24"/>
        </w:rPr>
      </w:pPr>
      <w:r w:rsidRPr="006D1DAA">
        <w:rPr>
          <w:szCs w:val="24"/>
        </w:rPr>
        <w:t xml:space="preserve">This </w:t>
      </w:r>
      <w:r>
        <w:rPr>
          <w:szCs w:val="24"/>
        </w:rPr>
        <w:t>document</w:t>
      </w:r>
      <w:r w:rsidRPr="006D1DAA">
        <w:rPr>
          <w:szCs w:val="24"/>
        </w:rPr>
        <w:t xml:space="preserve"> must be followed in conjunction with: </w:t>
      </w:r>
    </w:p>
    <w:p w:rsidR="009645A9" w:rsidP="00F72090" w:rsidRDefault="009645A9" w14:paraId="0771490C" w14:textId="77777777">
      <w:pPr>
        <w:pStyle w:val="ListParagraph"/>
        <w:numPr>
          <w:ilvl w:val="0"/>
          <w:numId w:val="1"/>
        </w:numPr>
        <w:snapToGrid/>
        <w:spacing w:after="120"/>
        <w:ind w:left="709"/>
        <w:contextualSpacing w:val="0"/>
        <w:rPr>
          <w:rFonts w:ascii="Arial" w:hAnsi="Arial" w:cs="Arial"/>
          <w:sz w:val="24"/>
          <w:szCs w:val="24"/>
        </w:rPr>
      </w:pPr>
      <w:r w:rsidRPr="006D1DAA">
        <w:rPr>
          <w:rFonts w:ascii="Arial" w:hAnsi="Arial" w:cs="Arial"/>
          <w:sz w:val="24"/>
          <w:szCs w:val="24"/>
        </w:rPr>
        <w:t xml:space="preserve">Annex A: Requirements for Taught Courses of Study </w:t>
      </w:r>
    </w:p>
    <w:p w:rsidR="009645A9" w:rsidP="00F72090" w:rsidRDefault="009645A9" w14:paraId="200C08BC" w14:textId="77777777">
      <w:pPr>
        <w:pStyle w:val="ListParagraph"/>
        <w:numPr>
          <w:ilvl w:val="0"/>
          <w:numId w:val="1"/>
        </w:numPr>
        <w:snapToGrid/>
        <w:spacing w:after="120"/>
        <w:ind w:left="709"/>
        <w:contextualSpacing w:val="0"/>
        <w:rPr>
          <w:rFonts w:ascii="Arial" w:hAnsi="Arial" w:cs="Arial"/>
          <w:sz w:val="24"/>
          <w:szCs w:val="24"/>
        </w:rPr>
      </w:pPr>
      <w:r>
        <w:rPr>
          <w:rFonts w:ascii="Arial" w:hAnsi="Arial" w:cs="Arial"/>
          <w:sz w:val="24"/>
          <w:szCs w:val="24"/>
        </w:rPr>
        <w:t xml:space="preserve">Annex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Appendix A: Requirements for Modules</w:t>
      </w:r>
    </w:p>
    <w:p w:rsidRPr="00172CA4" w:rsidR="009645A9" w:rsidP="00F72090" w:rsidRDefault="009645A9" w14:paraId="0ECDD937" w14:textId="77777777">
      <w:pPr>
        <w:pStyle w:val="ListParagraph"/>
        <w:numPr>
          <w:ilvl w:val="0"/>
          <w:numId w:val="1"/>
        </w:numPr>
        <w:snapToGrid/>
        <w:spacing w:after="120"/>
        <w:ind w:left="709"/>
        <w:contextualSpacing w:val="0"/>
        <w:rPr>
          <w:rFonts w:ascii="Arial" w:hAnsi="Arial" w:cs="Arial"/>
          <w:color w:val="000000"/>
          <w:sz w:val="24"/>
          <w:szCs w:val="24"/>
          <w:shd w:val="clear" w:color="auto" w:fill="FFFFFF"/>
        </w:rPr>
      </w:pPr>
      <w:r>
        <w:rPr>
          <w:rFonts w:ascii="Arial" w:hAnsi="Arial" w:cs="Arial"/>
          <w:sz w:val="24"/>
          <w:szCs w:val="24"/>
        </w:rPr>
        <w:t>Annex C:</w:t>
      </w:r>
      <w:r>
        <w:rPr>
          <w:rFonts w:ascii="Arial" w:hAnsi="Arial" w:cs="Arial"/>
          <w:color w:val="000000"/>
          <w:sz w:val="24"/>
          <w:szCs w:val="24"/>
          <w:shd w:val="clear" w:color="auto" w:fill="FFFFFF"/>
        </w:rPr>
        <w:t xml:space="preserve"> Approval of Modules</w:t>
      </w:r>
    </w:p>
    <w:p w:rsidRPr="006D2D38" w:rsidR="009645A9" w:rsidP="00F72090" w:rsidRDefault="009645A9" w14:paraId="0A12CE54" w14:textId="77777777">
      <w:pPr>
        <w:pStyle w:val="ListParagraph"/>
        <w:numPr>
          <w:ilvl w:val="0"/>
          <w:numId w:val="1"/>
        </w:numPr>
        <w:snapToGrid/>
        <w:spacing w:after="120"/>
        <w:ind w:left="709"/>
        <w:contextualSpacing w:val="0"/>
        <w:rPr>
          <w:rStyle w:val="normaltextrun"/>
          <w:rFonts w:ascii="Arial" w:hAnsi="Arial" w:cs="Arial"/>
          <w:sz w:val="24"/>
          <w:szCs w:val="24"/>
        </w:rPr>
      </w:pPr>
      <w:r w:rsidRPr="006D1DAA">
        <w:rPr>
          <w:rStyle w:val="normaltextrun"/>
          <w:rFonts w:ascii="Arial" w:hAnsi="Arial" w:cs="Arial"/>
          <w:color w:val="000000"/>
          <w:sz w:val="24"/>
          <w:szCs w:val="24"/>
          <w:shd w:val="clear" w:color="auto" w:fill="FFFFFF"/>
        </w:rPr>
        <w:t>Assessment Regulations Framework</w:t>
      </w:r>
    </w:p>
    <w:p w:rsidRPr="00172CA4" w:rsidR="006D2D38" w:rsidP="00F72090" w:rsidRDefault="006D2D38" w14:paraId="4844CDB0" w14:textId="483D2157">
      <w:pPr>
        <w:pStyle w:val="ListParagraph"/>
        <w:numPr>
          <w:ilvl w:val="0"/>
          <w:numId w:val="1"/>
        </w:numPr>
        <w:snapToGrid/>
        <w:spacing w:after="120"/>
        <w:ind w:left="709"/>
        <w:contextualSpacing w:val="0"/>
        <w:rPr>
          <w:rStyle w:val="normaltextrun"/>
          <w:rFonts w:ascii="Arial" w:hAnsi="Arial" w:cs="Arial"/>
          <w:sz w:val="24"/>
          <w:szCs w:val="24"/>
        </w:rPr>
      </w:pPr>
      <w:r>
        <w:rPr>
          <w:rStyle w:val="normaltextrun"/>
          <w:rFonts w:ascii="Arial" w:hAnsi="Arial" w:cs="Arial"/>
          <w:color w:val="000000"/>
          <w:sz w:val="24"/>
          <w:szCs w:val="24"/>
          <w:shd w:val="clear" w:color="auto" w:fill="FFFFFF"/>
        </w:rPr>
        <w:t>Compliance with Consumer Protection Laws – Policy on Communicating with Applicants and Students</w:t>
      </w:r>
    </w:p>
    <w:p w:rsidRPr="00566159" w:rsidR="009645A9" w:rsidP="00B424E5" w:rsidRDefault="009645A9" w14:paraId="0E821A9A" w14:textId="77777777">
      <w:pPr>
        <w:pStyle w:val="Heading2"/>
        <w:spacing w:before="240"/>
      </w:pPr>
      <w:bookmarkStart w:name="_Toc131525396" w:id="5"/>
      <w:bookmarkStart w:name="_Toc131601933" w:id="6"/>
      <w:bookmarkStart w:name="_Toc139191696" w:id="7"/>
      <w:r w:rsidRPr="00566159">
        <w:t>Glossary</w:t>
      </w:r>
      <w:bookmarkEnd w:id="5"/>
      <w:bookmarkEnd w:id="6"/>
      <w:bookmarkEnd w:id="7"/>
    </w:p>
    <w:p w:rsidR="009645A9" w:rsidP="6BCDC192" w:rsidRDefault="009645A9" w14:paraId="1C52692E" w14:textId="7EE76CC0">
      <w:pPr>
        <w:rPr>
          <w:rStyle w:val="normaltextrun"/>
        </w:rPr>
      </w:pPr>
      <w:r w:rsidRPr="6BCDC192">
        <w:rPr>
          <w:rStyle w:val="normaltextrun"/>
        </w:rPr>
        <w:t>CASC – Course Approval Sub-Committee</w:t>
      </w:r>
    </w:p>
    <w:p w:rsidR="009645A9" w:rsidP="6BCDC192" w:rsidRDefault="009645A9" w14:paraId="2099BCF7" w14:textId="76B5D97B">
      <w:pPr>
        <w:rPr>
          <w:rStyle w:val="normaltextrun"/>
        </w:rPr>
      </w:pPr>
      <w:r w:rsidRPr="6BCDC192">
        <w:rPr>
          <w:rStyle w:val="normaltextrun"/>
        </w:rPr>
        <w:t>CMA – Competition and Markets Authority</w:t>
      </w:r>
    </w:p>
    <w:p w:rsidR="000335BD" w:rsidP="6BCDC192" w:rsidRDefault="000335BD" w14:paraId="796D3B0A" w14:textId="3FC0D2B7">
      <w:pPr>
        <w:rPr>
          <w:rStyle w:val="normaltextrun"/>
        </w:rPr>
      </w:pPr>
      <w:r w:rsidRPr="6BCDC192">
        <w:rPr>
          <w:rStyle w:val="normaltextrun"/>
        </w:rPr>
        <w:t>CSAO – Central Student Administration Office</w:t>
      </w:r>
    </w:p>
    <w:p w:rsidR="009645A9" w:rsidP="009645A9" w:rsidRDefault="009645A9" w14:paraId="44F30C7F" w14:textId="77777777">
      <w:pPr>
        <w:rPr>
          <w:bCs/>
          <w:szCs w:val="24"/>
        </w:rPr>
      </w:pPr>
      <w:r>
        <w:rPr>
          <w:bCs/>
          <w:szCs w:val="24"/>
        </w:rPr>
        <w:t xml:space="preserve">DDESE – </w:t>
      </w:r>
      <w:r w:rsidRPr="00ED76BA">
        <w:rPr>
          <w:bCs/>
          <w:szCs w:val="24"/>
        </w:rPr>
        <w:t>Director</w:t>
      </w:r>
      <w:r>
        <w:rPr>
          <w:bCs/>
          <w:szCs w:val="24"/>
        </w:rPr>
        <w:t xml:space="preserve"> </w:t>
      </w:r>
      <w:r w:rsidRPr="00ED76BA">
        <w:rPr>
          <w:bCs/>
          <w:szCs w:val="24"/>
        </w:rPr>
        <w:t>of Education and UG Student Experience</w:t>
      </w:r>
      <w:r>
        <w:rPr>
          <w:bCs/>
          <w:szCs w:val="24"/>
        </w:rPr>
        <w:t xml:space="preserve"> </w:t>
      </w:r>
    </w:p>
    <w:p w:rsidR="009645A9" w:rsidP="009645A9" w:rsidRDefault="009645A9" w14:paraId="3B3349E4" w14:textId="77777777">
      <w:pPr>
        <w:rPr>
          <w:bCs/>
          <w:szCs w:val="24"/>
        </w:rPr>
      </w:pPr>
      <w:r>
        <w:rPr>
          <w:bCs/>
          <w:szCs w:val="24"/>
        </w:rPr>
        <w:t xml:space="preserve">DDGSSE – </w:t>
      </w:r>
      <w:r w:rsidRPr="00ED76BA">
        <w:rPr>
          <w:bCs/>
          <w:szCs w:val="24"/>
        </w:rPr>
        <w:t>Divisional</w:t>
      </w:r>
      <w:r>
        <w:rPr>
          <w:bCs/>
          <w:szCs w:val="24"/>
        </w:rPr>
        <w:t xml:space="preserve"> </w:t>
      </w:r>
      <w:r w:rsidRPr="00ED76BA">
        <w:rPr>
          <w:bCs/>
          <w:szCs w:val="24"/>
        </w:rPr>
        <w:t>Director of Graduate Studies and PG Student Experience</w:t>
      </w:r>
      <w:r>
        <w:rPr>
          <w:bCs/>
          <w:szCs w:val="24"/>
        </w:rPr>
        <w:t xml:space="preserve"> </w:t>
      </w:r>
    </w:p>
    <w:p w:rsidR="009645A9" w:rsidP="009645A9" w:rsidRDefault="009645A9" w14:paraId="39A67CEE" w14:textId="77777777">
      <w:pPr>
        <w:rPr>
          <w:szCs w:val="24"/>
        </w:rPr>
      </w:pPr>
      <w:r>
        <w:rPr>
          <w:szCs w:val="24"/>
        </w:rPr>
        <w:t xml:space="preserve">DESEC – </w:t>
      </w:r>
      <w:r w:rsidRPr="00E31F4F">
        <w:rPr>
          <w:szCs w:val="24"/>
        </w:rPr>
        <w:t>Divisional</w:t>
      </w:r>
      <w:r>
        <w:rPr>
          <w:szCs w:val="24"/>
        </w:rPr>
        <w:t xml:space="preserve"> </w:t>
      </w:r>
      <w:r w:rsidRPr="00E31F4F">
        <w:rPr>
          <w:szCs w:val="24"/>
        </w:rPr>
        <w:t xml:space="preserve">Education and Student Experience Committee </w:t>
      </w:r>
    </w:p>
    <w:p w:rsidR="009645A9" w:rsidP="009645A9" w:rsidRDefault="009645A9" w14:paraId="43138CC7" w14:textId="77777777">
      <w:pPr>
        <w:spacing w:line="276" w:lineRule="auto"/>
        <w:rPr>
          <w:szCs w:val="24"/>
        </w:rPr>
      </w:pPr>
      <w:r>
        <w:rPr>
          <w:szCs w:val="24"/>
        </w:rPr>
        <w:t xml:space="preserve">DGSSEC – </w:t>
      </w:r>
      <w:r w:rsidRPr="00E31F4F">
        <w:rPr>
          <w:szCs w:val="24"/>
        </w:rPr>
        <w:t>Divisional</w:t>
      </w:r>
      <w:r>
        <w:rPr>
          <w:szCs w:val="24"/>
        </w:rPr>
        <w:t xml:space="preserve"> </w:t>
      </w:r>
      <w:r w:rsidRPr="00E31F4F">
        <w:rPr>
          <w:szCs w:val="24"/>
        </w:rPr>
        <w:t>Graduate Studies and Student Experience Committee</w:t>
      </w:r>
    </w:p>
    <w:p w:rsidR="00646C02" w:rsidP="009645A9" w:rsidRDefault="00646C02" w14:paraId="6BDABB6F" w14:textId="0ACE0432">
      <w:pPr>
        <w:spacing w:line="276" w:lineRule="auto"/>
        <w:rPr>
          <w:szCs w:val="24"/>
        </w:rPr>
      </w:pPr>
      <w:r>
        <w:rPr>
          <w:szCs w:val="24"/>
        </w:rPr>
        <w:t xml:space="preserve">UCAS – </w:t>
      </w:r>
      <w:r w:rsidRPr="00646C02">
        <w:rPr>
          <w:szCs w:val="24"/>
        </w:rPr>
        <w:t>Universities</w:t>
      </w:r>
      <w:r>
        <w:rPr>
          <w:szCs w:val="24"/>
        </w:rPr>
        <w:t xml:space="preserve"> </w:t>
      </w:r>
      <w:r w:rsidRPr="00646C02">
        <w:rPr>
          <w:szCs w:val="24"/>
        </w:rPr>
        <w:t>and Colleges Admissions Service</w:t>
      </w:r>
    </w:p>
    <w:p w:rsidR="009645A9" w:rsidP="6BCDC192" w:rsidRDefault="009645A9" w14:paraId="600C91B9" w14:textId="62489E45">
      <w:pPr>
        <w:spacing w:line="276" w:lineRule="auto"/>
        <w:rPr>
          <w:rStyle w:val="normaltextrun"/>
          <w:color w:val="000000"/>
          <w:shd w:val="clear" w:color="auto" w:fill="FFFFFF"/>
        </w:rPr>
      </w:pPr>
      <w:r>
        <w:t>QACO – Quality Assurance and Compliance Office</w:t>
      </w:r>
    </w:p>
    <w:p w:rsidR="009645A9" w:rsidP="009645A9" w:rsidRDefault="009645A9" w14:paraId="55298D91" w14:textId="77777777">
      <w:pPr>
        <w:ind w:left="0" w:firstLine="0"/>
        <w:rPr>
          <w:bCs/>
          <w:szCs w:val="24"/>
        </w:rPr>
      </w:pPr>
    </w:p>
    <w:p w:rsidR="009645A9" w:rsidP="009645A9" w:rsidRDefault="009645A9" w14:paraId="27BAAB0B" w14:textId="77777777">
      <w:pPr>
        <w:ind w:left="0" w:firstLine="0"/>
        <w:rPr>
          <w:bCs/>
          <w:szCs w:val="24"/>
        </w:rPr>
      </w:pPr>
    </w:p>
    <w:p w:rsidR="009645A9" w:rsidP="009645A9" w:rsidRDefault="009645A9" w14:paraId="29BED016" w14:textId="77777777">
      <w:pPr>
        <w:ind w:left="0" w:firstLine="0"/>
        <w:rPr>
          <w:bCs/>
          <w:szCs w:val="24"/>
        </w:rPr>
      </w:pPr>
    </w:p>
    <w:p w:rsidR="009645A9" w:rsidP="009645A9" w:rsidRDefault="009645A9" w14:paraId="26C7D928" w14:textId="77777777">
      <w:pPr>
        <w:ind w:left="0" w:firstLine="0"/>
        <w:rPr>
          <w:bCs/>
          <w:szCs w:val="24"/>
        </w:rPr>
      </w:pPr>
    </w:p>
    <w:p w:rsidR="009645A9" w:rsidP="009645A9" w:rsidRDefault="009645A9" w14:paraId="1CD80419" w14:textId="77777777">
      <w:pPr>
        <w:ind w:left="0" w:firstLine="0"/>
        <w:rPr>
          <w:bCs/>
          <w:szCs w:val="24"/>
        </w:rPr>
      </w:pPr>
    </w:p>
    <w:p w:rsidR="009645A9" w:rsidP="009645A9" w:rsidRDefault="009645A9" w14:paraId="00F246F5" w14:textId="77777777">
      <w:pPr>
        <w:ind w:left="0" w:firstLine="0"/>
        <w:rPr>
          <w:bCs/>
          <w:szCs w:val="24"/>
        </w:rPr>
      </w:pPr>
    </w:p>
    <w:p w:rsidR="009645A9" w:rsidP="009645A9" w:rsidRDefault="009645A9" w14:paraId="26F52106" w14:textId="77777777">
      <w:pPr>
        <w:ind w:left="0" w:firstLine="0"/>
        <w:rPr>
          <w:bCs/>
          <w:szCs w:val="24"/>
        </w:rPr>
      </w:pPr>
    </w:p>
    <w:p w:rsidR="009645A9" w:rsidP="00F72090" w:rsidRDefault="009645A9" w14:paraId="3044D599" w14:textId="10CC4CE9">
      <w:pPr>
        <w:pStyle w:val="Heading1"/>
        <w:numPr>
          <w:ilvl w:val="0"/>
          <w:numId w:val="14"/>
        </w:numPr>
        <w:ind w:left="426" w:hanging="426"/>
      </w:pPr>
      <w:bookmarkStart w:name="_Toc139191697" w:id="8"/>
      <w:r>
        <w:t>Introduction and Background Information on the CMA Requirements</w:t>
      </w:r>
      <w:bookmarkEnd w:id="8"/>
    </w:p>
    <w:p w:rsidR="001C7260" w:rsidP="00B424E5" w:rsidRDefault="001C7260" w14:paraId="3A678B4C" w14:textId="3966FF4F">
      <w:pPr>
        <w:spacing w:line="276" w:lineRule="auto"/>
        <w:ind w:left="0" w:firstLine="0"/>
      </w:pPr>
      <w:r w:rsidRPr="001C7260">
        <w:t>In March 2015, the CMA provided guidance</w:t>
      </w:r>
      <w:r w:rsidR="00A31DFF">
        <w:t xml:space="preserve"> </w:t>
      </w:r>
      <w:r w:rsidRPr="001C7260">
        <w:t>designed to help Higher Education Institutions (HEIs) comply with their obligations under consumer protection law.</w:t>
      </w:r>
      <w:r w:rsidR="00A31DFF">
        <w:t xml:space="preserve"> This guidance was updated in May 2023</w:t>
      </w:r>
      <w:r w:rsidR="00A31DFF">
        <w:rPr>
          <w:rStyle w:val="FootnoteReference"/>
        </w:rPr>
        <w:footnoteReference w:id="2"/>
      </w:r>
      <w:r w:rsidR="00A31DFF">
        <w:t>.</w:t>
      </w:r>
    </w:p>
    <w:p w:rsidR="001C7260" w:rsidP="00B424E5" w:rsidRDefault="001C7260" w14:paraId="62206D09" w14:textId="2D019EC4">
      <w:pPr>
        <w:spacing w:line="276" w:lineRule="auto"/>
        <w:ind w:left="0" w:firstLine="0"/>
      </w:pPr>
      <w:r w:rsidRPr="001C7260">
        <w:t>These minimum standards apply to various aspects of an HEI’s dealings with students, such as information provision, complaint handling, and the requirement of fairness for terms and conditions.</w:t>
      </w:r>
    </w:p>
    <w:p w:rsidR="002F746F" w:rsidP="00B424E5" w:rsidRDefault="002F746F" w14:paraId="482028B6" w14:textId="1322B5A5">
      <w:pPr>
        <w:spacing w:line="276" w:lineRule="auto"/>
        <w:ind w:left="0" w:firstLine="0"/>
      </w:pPr>
      <w:r>
        <w:t xml:space="preserve">All members of </w:t>
      </w:r>
      <w:r w:rsidRPr="002F746F">
        <w:t xml:space="preserve">academic and professional staff engaged with marketing, marketing events, admissions, student and the administration, quality assurance and delivery of course content, development of course and considering any module and/or courses </w:t>
      </w:r>
      <w:r>
        <w:t>changes will be expected to complete the Online Staff Training on Consumer Protection Laws for Higher Education</w:t>
      </w:r>
      <w:r w:rsidR="00C1582A">
        <w:rPr>
          <w:rStyle w:val="FootnoteReference"/>
        </w:rPr>
        <w:footnoteReference w:id="3"/>
      </w:r>
      <w:r>
        <w:t xml:space="preserve">. </w:t>
      </w:r>
    </w:p>
    <w:p w:rsidR="00177830" w:rsidP="00C609AF" w:rsidRDefault="00177830" w14:paraId="747D1971" w14:textId="18ACC96A">
      <w:pPr>
        <w:pStyle w:val="Heading1"/>
      </w:pPr>
      <w:bookmarkStart w:name="_Toc139191698" w:id="9"/>
      <w:r>
        <w:t>Provision of Information</w:t>
      </w:r>
      <w:bookmarkEnd w:id="9"/>
    </w:p>
    <w:p w:rsidR="00B424E5" w:rsidP="00F72090" w:rsidRDefault="00177830" w14:paraId="15B086B1" w14:textId="77777777">
      <w:pPr>
        <w:pStyle w:val="ListParagraph"/>
        <w:numPr>
          <w:ilvl w:val="1"/>
          <w:numId w:val="4"/>
        </w:numPr>
        <w:spacing w:after="120" w:line="276" w:lineRule="auto"/>
        <w:ind w:left="851" w:hanging="567"/>
        <w:contextualSpacing w:val="0"/>
        <w:rPr>
          <w:rFonts w:ascii="Arial" w:hAnsi="Arial" w:cs="Arial"/>
          <w:sz w:val="24"/>
          <w:szCs w:val="24"/>
        </w:rPr>
      </w:pPr>
      <w:r w:rsidRPr="00B424E5">
        <w:rPr>
          <w:rFonts w:ascii="Arial" w:hAnsi="Arial" w:cs="Arial"/>
          <w:sz w:val="24"/>
          <w:szCs w:val="24"/>
        </w:rPr>
        <w:t xml:space="preserve">Consumer Protection Law requires that the information provided by universities is clear, intelligible, unambiguous, and timely. </w:t>
      </w:r>
    </w:p>
    <w:p w:rsidRPr="00B424E5" w:rsidR="00177830" w:rsidP="00F72090" w:rsidRDefault="00177830" w14:paraId="4A6EC5CA" w14:textId="1DE2D6F7">
      <w:pPr>
        <w:pStyle w:val="ListParagraph"/>
        <w:numPr>
          <w:ilvl w:val="1"/>
          <w:numId w:val="4"/>
        </w:numPr>
        <w:spacing w:after="120" w:line="276" w:lineRule="auto"/>
        <w:ind w:left="851" w:hanging="567"/>
        <w:rPr>
          <w:rFonts w:ascii="Arial" w:hAnsi="Arial" w:cs="Arial"/>
          <w:sz w:val="24"/>
          <w:szCs w:val="24"/>
        </w:rPr>
      </w:pPr>
      <w:r w:rsidRPr="07F217DE">
        <w:rPr>
          <w:rFonts w:ascii="Arial" w:hAnsi="Arial" w:cs="Arial"/>
          <w:sz w:val="24"/>
          <w:szCs w:val="24"/>
        </w:rPr>
        <w:t xml:space="preserve">This includes information given in writing or visually, and includes any information communicated verbally and applies to information provided to </w:t>
      </w:r>
      <w:r w:rsidR="009D0EA4">
        <w:rPr>
          <w:rFonts w:ascii="Arial" w:hAnsi="Arial" w:cs="Arial"/>
          <w:sz w:val="24"/>
          <w:szCs w:val="24"/>
        </w:rPr>
        <w:t>applicants and</w:t>
      </w:r>
      <w:r w:rsidRPr="07F217DE">
        <w:rPr>
          <w:rFonts w:ascii="Arial" w:hAnsi="Arial" w:cs="Arial"/>
          <w:sz w:val="24"/>
          <w:szCs w:val="24"/>
        </w:rPr>
        <w:t xml:space="preserve"> students from when they apply to universities, up until the point at which they graduate.</w:t>
      </w:r>
    </w:p>
    <w:p w:rsidR="00177830" w:rsidP="00C609AF" w:rsidRDefault="00177830" w14:paraId="54281DF1" w14:textId="0EDB1D04">
      <w:pPr>
        <w:pStyle w:val="Heading1"/>
      </w:pPr>
      <w:bookmarkStart w:name="_Toc139191699" w:id="10"/>
      <w:r>
        <w:t>Material Information</w:t>
      </w:r>
      <w:bookmarkEnd w:id="10"/>
    </w:p>
    <w:p w:rsidRPr="00B424E5" w:rsidR="00177830" w:rsidP="00F72090" w:rsidRDefault="00177830" w14:paraId="53FC1778" w14:textId="77777777">
      <w:pPr>
        <w:pStyle w:val="ListParagraph"/>
        <w:numPr>
          <w:ilvl w:val="1"/>
          <w:numId w:val="4"/>
        </w:numPr>
        <w:spacing w:after="120" w:line="276" w:lineRule="auto"/>
        <w:ind w:left="851" w:hanging="567"/>
        <w:contextualSpacing w:val="0"/>
        <w:rPr>
          <w:rFonts w:ascii="Arial" w:hAnsi="Arial" w:cs="Arial"/>
          <w:sz w:val="24"/>
          <w:szCs w:val="24"/>
        </w:rPr>
      </w:pPr>
      <w:r w:rsidRPr="00D92AAB">
        <w:rPr>
          <w:rFonts w:ascii="Arial" w:hAnsi="Arial" w:cs="Arial"/>
          <w:bCs/>
          <w:sz w:val="24"/>
          <w:szCs w:val="24"/>
        </w:rPr>
        <w:t>‘</w:t>
      </w:r>
      <w:r w:rsidRPr="00B424E5">
        <w:rPr>
          <w:rFonts w:ascii="Arial" w:hAnsi="Arial" w:cs="Arial"/>
          <w:sz w:val="24"/>
          <w:szCs w:val="24"/>
        </w:rPr>
        <w:t xml:space="preserve">Material information’ is information that the prospective student needs </w:t>
      </w:r>
      <w:proofErr w:type="gramStart"/>
      <w:r w:rsidRPr="00B424E5">
        <w:rPr>
          <w:rFonts w:ascii="Arial" w:hAnsi="Arial" w:cs="Arial"/>
          <w:sz w:val="24"/>
          <w:szCs w:val="24"/>
        </w:rPr>
        <w:t>in order to</w:t>
      </w:r>
      <w:proofErr w:type="gramEnd"/>
      <w:r w:rsidRPr="00B424E5">
        <w:rPr>
          <w:rFonts w:ascii="Arial" w:hAnsi="Arial" w:cs="Arial"/>
          <w:sz w:val="24"/>
          <w:szCs w:val="24"/>
        </w:rPr>
        <w:t xml:space="preserve"> make an informed decision about the place of study. </w:t>
      </w:r>
    </w:p>
    <w:p w:rsidRPr="00B424E5" w:rsidR="00177830" w:rsidP="00F72090" w:rsidRDefault="00177830" w14:paraId="4593FABD" w14:textId="36A43117">
      <w:pPr>
        <w:pStyle w:val="ListParagraph"/>
        <w:numPr>
          <w:ilvl w:val="1"/>
          <w:numId w:val="4"/>
        </w:numPr>
        <w:spacing w:after="120" w:line="276" w:lineRule="auto"/>
        <w:ind w:left="851" w:hanging="567"/>
        <w:contextualSpacing w:val="0"/>
        <w:rPr>
          <w:rFonts w:ascii="Arial" w:hAnsi="Arial" w:cs="Arial"/>
          <w:sz w:val="24"/>
          <w:szCs w:val="24"/>
        </w:rPr>
      </w:pPr>
      <w:r w:rsidRPr="00B424E5">
        <w:rPr>
          <w:rFonts w:ascii="Arial" w:hAnsi="Arial" w:cs="Arial"/>
          <w:sz w:val="24"/>
          <w:szCs w:val="24"/>
        </w:rPr>
        <w:t xml:space="preserve">Material information should be provided in all circumstances, </w:t>
      </w:r>
      <w:proofErr w:type="gramStart"/>
      <w:r w:rsidRPr="00B424E5">
        <w:rPr>
          <w:rFonts w:ascii="Arial" w:hAnsi="Arial" w:cs="Arial"/>
          <w:sz w:val="24"/>
          <w:szCs w:val="24"/>
        </w:rPr>
        <w:t>whether or not</w:t>
      </w:r>
      <w:proofErr w:type="gramEnd"/>
      <w:r w:rsidRPr="00B424E5">
        <w:rPr>
          <w:rFonts w:ascii="Arial" w:hAnsi="Arial" w:cs="Arial"/>
          <w:sz w:val="24"/>
          <w:szCs w:val="24"/>
        </w:rPr>
        <w:t xml:space="preserve"> the prospective student requests it.</w:t>
      </w:r>
    </w:p>
    <w:p w:rsidRPr="00B424E5" w:rsidR="00177830" w:rsidP="00F72090" w:rsidRDefault="00177830" w14:paraId="5906ED44" w14:textId="77777777">
      <w:pPr>
        <w:pStyle w:val="ListParagraph"/>
        <w:numPr>
          <w:ilvl w:val="1"/>
          <w:numId w:val="4"/>
        </w:numPr>
        <w:spacing w:after="120" w:line="276" w:lineRule="auto"/>
        <w:ind w:left="851" w:hanging="567"/>
        <w:contextualSpacing w:val="0"/>
        <w:rPr>
          <w:rFonts w:ascii="Arial" w:hAnsi="Arial" w:cs="Arial"/>
          <w:sz w:val="24"/>
          <w:szCs w:val="24"/>
        </w:rPr>
      </w:pPr>
      <w:r w:rsidRPr="00B424E5">
        <w:rPr>
          <w:rFonts w:ascii="Arial" w:hAnsi="Arial" w:cs="Arial"/>
          <w:sz w:val="24"/>
          <w:szCs w:val="24"/>
        </w:rPr>
        <w:t>The details of the University’s material information are available on Kent’s Competition and Markets Authority Guidance website</w:t>
      </w:r>
      <w:r w:rsidRPr="00C1582A">
        <w:rPr>
          <w:rFonts w:ascii="Arial" w:hAnsi="Arial" w:cs="Arial"/>
          <w:sz w:val="24"/>
          <w:szCs w:val="24"/>
          <w:vertAlign w:val="superscript"/>
        </w:rPr>
        <w:footnoteReference w:id="4"/>
      </w:r>
      <w:r w:rsidRPr="00B424E5">
        <w:rPr>
          <w:rFonts w:ascii="Arial" w:hAnsi="Arial" w:cs="Arial"/>
          <w:sz w:val="24"/>
          <w:szCs w:val="24"/>
        </w:rPr>
        <w:t xml:space="preserve"> and should be referred to for guidance.</w:t>
      </w:r>
    </w:p>
    <w:p w:rsidR="009645A9" w:rsidP="00C609AF" w:rsidRDefault="009645A9" w14:paraId="3B24C542" w14:textId="78899E41">
      <w:pPr>
        <w:pStyle w:val="Heading1"/>
      </w:pPr>
      <w:bookmarkStart w:name="_Toc139191700" w:id="11"/>
      <w:r>
        <w:lastRenderedPageBreak/>
        <w:t>Stages of Engagement between a Student and a University</w:t>
      </w:r>
      <w:bookmarkEnd w:id="11"/>
    </w:p>
    <w:p w:rsidR="009645A9" w:rsidP="00937C88" w:rsidRDefault="009645A9" w14:paraId="7163C3C7" w14:textId="6FF05801">
      <w:pPr>
        <w:ind w:left="0" w:firstLine="0"/>
      </w:pPr>
      <w:r>
        <w:t xml:space="preserve">There are three stages of engagement </w:t>
      </w:r>
      <w:r w:rsidR="009C76D0">
        <w:t>between a student and a university, as identified by CMA</w:t>
      </w:r>
      <w:r w:rsidR="00C1582A">
        <w:t>:</w:t>
      </w:r>
    </w:p>
    <w:p w:rsidRPr="00B424E5" w:rsidR="009C76D0" w:rsidP="00B424E5" w:rsidRDefault="009C76D0" w14:paraId="1E34172F" w14:textId="77777777">
      <w:pPr>
        <w:ind w:left="284" w:firstLine="0"/>
        <w:rPr>
          <w:b/>
          <w:bCs/>
          <w:color w:val="000000" w:themeColor="text1"/>
          <w:szCs w:val="24"/>
          <w:shd w:val="clear" w:color="auto" w:fill="FFFFFF"/>
        </w:rPr>
      </w:pPr>
      <w:r w:rsidRPr="00B424E5">
        <w:rPr>
          <w:b/>
          <w:bCs/>
          <w:color w:val="000000" w:themeColor="text1"/>
          <w:szCs w:val="24"/>
          <w:shd w:val="clear" w:color="auto" w:fill="FFFFFF"/>
        </w:rPr>
        <w:t>Stage 1: Research and Application Stage</w:t>
      </w:r>
    </w:p>
    <w:p w:rsidRPr="00B424E5" w:rsidR="009C76D0" w:rsidP="00B424E5" w:rsidRDefault="009C76D0" w14:paraId="36CFEBF6" w14:textId="614E2CAA">
      <w:pPr>
        <w:spacing w:line="276" w:lineRule="auto"/>
        <w:ind w:left="284" w:firstLine="0"/>
        <w:rPr>
          <w:color w:val="000000" w:themeColor="text1"/>
          <w:szCs w:val="24"/>
          <w:shd w:val="clear" w:color="auto" w:fill="FFFFFF"/>
        </w:rPr>
      </w:pPr>
      <w:r w:rsidRPr="00B424E5">
        <w:rPr>
          <w:color w:val="000000" w:themeColor="text1"/>
          <w:szCs w:val="24"/>
          <w:shd w:val="clear" w:color="auto" w:fill="FFFFFF"/>
        </w:rPr>
        <w:t>When the prospective student considers options for what and where to study, and then makes</w:t>
      </w:r>
      <w:r w:rsidRPr="00B424E5" w:rsidR="00937C88">
        <w:rPr>
          <w:color w:val="000000" w:themeColor="text1"/>
          <w:szCs w:val="24"/>
          <w:shd w:val="clear" w:color="auto" w:fill="FFFFFF"/>
        </w:rPr>
        <w:t xml:space="preserve"> </w:t>
      </w:r>
      <w:r w:rsidRPr="00B424E5">
        <w:rPr>
          <w:color w:val="000000" w:themeColor="text1"/>
          <w:szCs w:val="24"/>
          <w:shd w:val="clear" w:color="auto" w:fill="FFFFFF"/>
        </w:rPr>
        <w:t>an application</w:t>
      </w:r>
      <w:r w:rsidRPr="00B424E5" w:rsidR="00937C88">
        <w:rPr>
          <w:color w:val="000000" w:themeColor="text1"/>
          <w:szCs w:val="24"/>
          <w:shd w:val="clear" w:color="auto" w:fill="FFFFFF"/>
        </w:rPr>
        <w:t>, also referred to as pre-contract stage</w:t>
      </w:r>
      <w:r w:rsidRPr="00B424E5">
        <w:rPr>
          <w:color w:val="000000" w:themeColor="text1"/>
          <w:szCs w:val="24"/>
          <w:shd w:val="clear" w:color="auto" w:fill="FFFFFF"/>
        </w:rPr>
        <w:t>. Higher Education Institutions are required to provide material information needed to make informed decisions.</w:t>
      </w:r>
    </w:p>
    <w:p w:rsidRPr="00B424E5" w:rsidR="00937C88" w:rsidP="07F217DE" w:rsidRDefault="700C5467" w14:paraId="1C9A4A9C" w14:textId="3C100051">
      <w:pPr>
        <w:pStyle w:val="ListParagraph"/>
        <w:snapToGrid/>
        <w:spacing w:line="276" w:lineRule="auto"/>
        <w:ind w:left="284"/>
        <w:rPr>
          <w:rFonts w:ascii="Arial" w:hAnsi="Arial" w:cs="Arial"/>
          <w:b/>
          <w:bCs/>
          <w:sz w:val="24"/>
          <w:szCs w:val="24"/>
        </w:rPr>
      </w:pPr>
      <w:r w:rsidRPr="07F217DE">
        <w:rPr>
          <w:rFonts w:ascii="Arial" w:hAnsi="Arial" w:cs="Arial"/>
          <w:b/>
          <w:bCs/>
          <w:sz w:val="24"/>
          <w:szCs w:val="24"/>
        </w:rPr>
        <w:t xml:space="preserve">             </w:t>
      </w:r>
      <w:r w:rsidRPr="07F217DE" w:rsidR="00937C88">
        <w:rPr>
          <w:rFonts w:ascii="Arial" w:hAnsi="Arial" w:cs="Arial"/>
          <w:b/>
          <w:bCs/>
          <w:sz w:val="24"/>
          <w:szCs w:val="24"/>
        </w:rPr>
        <w:t>Information that was available at the pre-contract stage is legally binding. This means that a prospective student, if accepted, should receive what they expected, rather than something different.</w:t>
      </w:r>
    </w:p>
    <w:p w:rsidRPr="00B424E5" w:rsidR="009C76D0" w:rsidP="00B424E5" w:rsidRDefault="009C76D0" w14:paraId="619C0DF6" w14:textId="77777777">
      <w:pPr>
        <w:spacing w:before="240"/>
        <w:ind w:left="284" w:firstLine="0"/>
        <w:rPr>
          <w:b/>
          <w:bCs/>
          <w:color w:val="000000" w:themeColor="text1"/>
          <w:szCs w:val="24"/>
          <w:shd w:val="clear" w:color="auto" w:fill="FFFFFF"/>
        </w:rPr>
      </w:pPr>
      <w:r w:rsidRPr="00B424E5">
        <w:rPr>
          <w:b/>
          <w:bCs/>
          <w:color w:val="000000" w:themeColor="text1"/>
          <w:szCs w:val="24"/>
          <w:shd w:val="clear" w:color="auto" w:fill="FFFFFF"/>
        </w:rPr>
        <w:t>Stage 2: Offer Stage</w:t>
      </w:r>
    </w:p>
    <w:p w:rsidRPr="00B424E5" w:rsidR="009C76D0" w:rsidP="00B424E5" w:rsidRDefault="009C76D0" w14:paraId="6E109D83" w14:textId="46105425">
      <w:pPr>
        <w:spacing w:line="276" w:lineRule="auto"/>
        <w:ind w:left="284" w:firstLine="0"/>
        <w:rPr>
          <w:color w:val="000000" w:themeColor="text1"/>
          <w:szCs w:val="24"/>
          <w:shd w:val="clear" w:color="auto" w:fill="FFFFFF"/>
        </w:rPr>
      </w:pPr>
      <w:r w:rsidRPr="00B424E5">
        <w:rPr>
          <w:color w:val="000000" w:themeColor="text1"/>
          <w:szCs w:val="24"/>
          <w:shd w:val="clear" w:color="auto" w:fill="FFFFFF"/>
        </w:rPr>
        <w:t>When the prospective student decides whether to accept an offer of a place</w:t>
      </w:r>
      <w:r w:rsidRPr="00B424E5" w:rsidR="00937C88">
        <w:rPr>
          <w:color w:val="000000" w:themeColor="text1"/>
          <w:szCs w:val="24"/>
          <w:shd w:val="clear" w:color="auto" w:fill="FFFFFF"/>
        </w:rPr>
        <w:t>, the</w:t>
      </w:r>
      <w:r w:rsidRPr="00B424E5">
        <w:rPr>
          <w:color w:val="000000" w:themeColor="text1"/>
          <w:szCs w:val="24"/>
          <w:shd w:val="clear" w:color="auto" w:fill="FFFFFF"/>
        </w:rPr>
        <w:t xml:space="preserve"> Higher Education provider</w:t>
      </w:r>
      <w:r w:rsidRPr="00B424E5" w:rsidR="00937C88">
        <w:rPr>
          <w:color w:val="000000" w:themeColor="text1"/>
          <w:szCs w:val="24"/>
          <w:shd w:val="clear" w:color="auto" w:fill="FFFFFF"/>
        </w:rPr>
        <w:t xml:space="preserve"> and a prospective student </w:t>
      </w:r>
      <w:proofErr w:type="gramStart"/>
      <w:r w:rsidRPr="00B424E5" w:rsidR="00937C88">
        <w:rPr>
          <w:color w:val="000000" w:themeColor="text1"/>
          <w:szCs w:val="24"/>
          <w:shd w:val="clear" w:color="auto" w:fill="FFFFFF"/>
        </w:rPr>
        <w:t>enter into</w:t>
      </w:r>
      <w:proofErr w:type="gramEnd"/>
      <w:r w:rsidRPr="00B424E5" w:rsidR="00937C88">
        <w:rPr>
          <w:color w:val="000000" w:themeColor="text1"/>
          <w:szCs w:val="24"/>
          <w:shd w:val="clear" w:color="auto" w:fill="FFFFFF"/>
        </w:rPr>
        <w:t xml:space="preserve"> a contract</w:t>
      </w:r>
      <w:r w:rsidRPr="00B424E5">
        <w:rPr>
          <w:color w:val="000000" w:themeColor="text1"/>
          <w:szCs w:val="24"/>
          <w:shd w:val="clear" w:color="auto" w:fill="FFFFFF"/>
        </w:rPr>
        <w:t xml:space="preserve">. Institutions are required to provide information needed to </w:t>
      </w:r>
      <w:proofErr w:type="gramStart"/>
      <w:r w:rsidRPr="00B424E5">
        <w:rPr>
          <w:color w:val="000000" w:themeColor="text1"/>
          <w:szCs w:val="24"/>
          <w:shd w:val="clear" w:color="auto" w:fill="FFFFFF"/>
        </w:rPr>
        <w:t>make a decision</w:t>
      </w:r>
      <w:proofErr w:type="gramEnd"/>
      <w:r w:rsidRPr="00B424E5">
        <w:rPr>
          <w:color w:val="000000" w:themeColor="text1"/>
          <w:szCs w:val="24"/>
          <w:shd w:val="clear" w:color="auto" w:fill="FFFFFF"/>
        </w:rPr>
        <w:t>, including the required pre-contract information, before the prospective student accepts a formal offer of a place on the course.</w:t>
      </w:r>
      <w:r w:rsidRPr="00B424E5" w:rsidR="00937C88">
        <w:rPr>
          <w:color w:val="000000" w:themeColor="text1"/>
          <w:szCs w:val="24"/>
          <w:shd w:val="clear" w:color="auto" w:fill="FFFFFF"/>
        </w:rPr>
        <w:t xml:space="preserve"> Universities are expected to deliver the course as advertised in any pre-contract information. </w:t>
      </w:r>
    </w:p>
    <w:p w:rsidRPr="00B424E5" w:rsidR="009C76D0" w:rsidP="00B424E5" w:rsidRDefault="009C76D0" w14:paraId="0E779C56" w14:textId="77777777">
      <w:pPr>
        <w:spacing w:before="240"/>
        <w:ind w:left="284" w:firstLine="0"/>
        <w:rPr>
          <w:b/>
          <w:bCs/>
          <w:color w:val="000000" w:themeColor="text1"/>
          <w:szCs w:val="24"/>
          <w:shd w:val="clear" w:color="auto" w:fill="FFFFFF"/>
        </w:rPr>
      </w:pPr>
      <w:r w:rsidRPr="00B424E5">
        <w:rPr>
          <w:b/>
          <w:bCs/>
          <w:color w:val="000000" w:themeColor="text1"/>
          <w:szCs w:val="24"/>
          <w:shd w:val="clear" w:color="auto" w:fill="FFFFFF"/>
        </w:rPr>
        <w:t>Stage 3: Enrolment Stage</w:t>
      </w:r>
    </w:p>
    <w:p w:rsidRPr="00B424E5" w:rsidR="009C76D0" w:rsidP="00B424E5" w:rsidRDefault="009C76D0" w14:paraId="372CFB71" w14:textId="3A2E40FA">
      <w:pPr>
        <w:spacing w:line="276" w:lineRule="auto"/>
        <w:ind w:left="284" w:firstLine="0"/>
        <w:rPr>
          <w:color w:val="000000" w:themeColor="text1"/>
          <w:szCs w:val="24"/>
          <w:shd w:val="clear" w:color="auto" w:fill="FFFFFF"/>
        </w:rPr>
      </w:pPr>
      <w:r w:rsidRPr="00B424E5">
        <w:rPr>
          <w:color w:val="000000" w:themeColor="text1"/>
          <w:szCs w:val="24"/>
          <w:shd w:val="clear" w:color="auto" w:fill="FFFFFF"/>
        </w:rPr>
        <w:t>This stage is reached when the student enrols with their chosen Higher Education provider and is officially registered on a course of study.</w:t>
      </w:r>
    </w:p>
    <w:p w:rsidRPr="00B424E5" w:rsidR="002F746F" w:rsidP="00C609AF" w:rsidRDefault="00937C88" w14:paraId="7DAF51D9" w14:textId="0A97ED2E">
      <w:pPr>
        <w:pStyle w:val="Heading1"/>
      </w:pPr>
      <w:bookmarkStart w:name="_Toc139191701" w:id="12"/>
      <w:r w:rsidRPr="00937C88">
        <w:t>Express Agreement</w:t>
      </w:r>
      <w:bookmarkEnd w:id="12"/>
    </w:p>
    <w:p w:rsidRPr="00B424E5" w:rsidR="00017E1C" w:rsidP="00F72090" w:rsidRDefault="00017E1C" w14:paraId="6FCC3C32" w14:textId="373CB4EE">
      <w:pPr>
        <w:pStyle w:val="ListParagraph"/>
        <w:numPr>
          <w:ilvl w:val="1"/>
          <w:numId w:val="5"/>
        </w:numPr>
        <w:spacing w:after="120" w:line="276" w:lineRule="auto"/>
        <w:ind w:left="851" w:hanging="567"/>
        <w:contextualSpacing w:val="0"/>
        <w:rPr>
          <w:rFonts w:ascii="Arial" w:hAnsi="Arial" w:cs="Arial"/>
          <w:sz w:val="24"/>
          <w:szCs w:val="24"/>
        </w:rPr>
      </w:pPr>
      <w:r w:rsidRPr="00B424E5">
        <w:rPr>
          <w:rFonts w:ascii="Arial" w:hAnsi="Arial" w:cs="Arial"/>
          <w:sz w:val="24"/>
          <w:szCs w:val="24"/>
        </w:rPr>
        <w:t>An express agreement is an exchange of promises in which the terms by which the parties agree to be bound are declared.</w:t>
      </w:r>
    </w:p>
    <w:p w:rsidRPr="00B424E5" w:rsidR="00937C88" w:rsidP="00F72090" w:rsidRDefault="00937C88" w14:paraId="437BE958" w14:textId="3229270F">
      <w:pPr>
        <w:pStyle w:val="ListParagraph"/>
        <w:numPr>
          <w:ilvl w:val="1"/>
          <w:numId w:val="5"/>
        </w:numPr>
        <w:spacing w:after="120" w:line="276" w:lineRule="auto"/>
        <w:ind w:left="851" w:hanging="567"/>
        <w:contextualSpacing w:val="0"/>
        <w:rPr>
          <w:rFonts w:ascii="Arial" w:hAnsi="Arial" w:cs="Arial"/>
          <w:sz w:val="24"/>
          <w:szCs w:val="24"/>
        </w:rPr>
      </w:pPr>
      <w:r w:rsidRPr="00B424E5">
        <w:rPr>
          <w:rFonts w:ascii="Arial" w:hAnsi="Arial" w:cs="Arial"/>
          <w:sz w:val="24"/>
          <w:szCs w:val="24"/>
        </w:rPr>
        <w:t>Information provided at the Research and Application Stage (Stage 1, see section 4, above) is legally binding and for any changes to be effective, Higher Education providers must seek an express agreement from prospective students before or at the time of accepting the offer, at the latest, to ensure that the applicant is fully informed of the basis upon which they are accepting the offer.</w:t>
      </w:r>
    </w:p>
    <w:p w:rsidRPr="00B424E5" w:rsidR="00937C88" w:rsidP="00F72090" w:rsidRDefault="002F746F" w14:paraId="10281988" w14:textId="08033C2A">
      <w:pPr>
        <w:pStyle w:val="ListParagraph"/>
        <w:numPr>
          <w:ilvl w:val="1"/>
          <w:numId w:val="5"/>
        </w:numPr>
        <w:spacing w:after="120" w:line="276" w:lineRule="auto"/>
        <w:ind w:left="851" w:hanging="567"/>
        <w:contextualSpacing w:val="0"/>
        <w:rPr>
          <w:rFonts w:ascii="Arial" w:hAnsi="Arial" w:cs="Arial"/>
          <w:sz w:val="24"/>
          <w:szCs w:val="24"/>
        </w:rPr>
      </w:pPr>
      <w:r w:rsidRPr="00B424E5">
        <w:rPr>
          <w:rFonts w:ascii="Arial" w:hAnsi="Arial" w:cs="Arial"/>
          <w:sz w:val="24"/>
          <w:szCs w:val="24"/>
        </w:rPr>
        <w:t xml:space="preserve">For more information about the process of seeking express agreement from applicants and/or students, see section </w:t>
      </w:r>
      <w:r w:rsidR="00C1582A">
        <w:rPr>
          <w:rFonts w:ascii="Arial" w:hAnsi="Arial" w:cs="Arial"/>
          <w:sz w:val="24"/>
          <w:szCs w:val="24"/>
        </w:rPr>
        <w:t>13</w:t>
      </w:r>
      <w:r w:rsidRPr="00B424E5">
        <w:rPr>
          <w:rFonts w:ascii="Arial" w:hAnsi="Arial" w:cs="Arial"/>
          <w:sz w:val="24"/>
          <w:szCs w:val="24"/>
        </w:rPr>
        <w:t xml:space="preserve"> below.</w:t>
      </w:r>
    </w:p>
    <w:p w:rsidRPr="00937C88" w:rsidR="00937C88" w:rsidP="00937C88" w:rsidRDefault="00937C88" w14:paraId="72DB825C" w14:textId="77777777">
      <w:pPr>
        <w:pStyle w:val="ListParagraph"/>
        <w:snapToGrid/>
        <w:spacing w:after="160" w:line="259" w:lineRule="auto"/>
        <w:ind w:left="360"/>
        <w:rPr>
          <w:rFonts w:ascii="Arial" w:hAnsi="Arial" w:cs="Arial"/>
          <w:sz w:val="22"/>
          <w:szCs w:val="22"/>
        </w:rPr>
      </w:pPr>
    </w:p>
    <w:p w:rsidRPr="00B424E5" w:rsidR="002F746F" w:rsidP="00C609AF" w:rsidRDefault="002F746F" w14:paraId="643AB9FD" w14:textId="24CD6D3A">
      <w:pPr>
        <w:pStyle w:val="Heading1"/>
      </w:pPr>
      <w:bookmarkStart w:name="_Toc139191702" w:id="13"/>
      <w:r w:rsidRPr="00937C88">
        <w:t>Rationale for Making Changes to Material Information</w:t>
      </w:r>
      <w:bookmarkEnd w:id="13"/>
    </w:p>
    <w:p w:rsidRPr="00B424E5" w:rsidR="002F746F" w:rsidP="00F72090" w:rsidRDefault="002F746F" w14:paraId="7C33686F" w14:textId="34943B2F">
      <w:pPr>
        <w:pStyle w:val="ListParagraph"/>
        <w:numPr>
          <w:ilvl w:val="1"/>
          <w:numId w:val="6"/>
        </w:numPr>
        <w:spacing w:after="120" w:line="276" w:lineRule="auto"/>
        <w:ind w:left="851" w:hanging="567"/>
        <w:rPr>
          <w:rFonts w:ascii="Arial" w:hAnsi="Arial" w:cs="Arial"/>
          <w:sz w:val="24"/>
          <w:szCs w:val="24"/>
        </w:rPr>
      </w:pPr>
      <w:r w:rsidRPr="07F217DE">
        <w:rPr>
          <w:rFonts w:ascii="Arial" w:hAnsi="Arial" w:cs="Arial"/>
          <w:sz w:val="24"/>
          <w:szCs w:val="24"/>
        </w:rPr>
        <w:t>Changes to material information are more likely to be considered fair under CMA legislation</w:t>
      </w:r>
      <w:r w:rsidRPr="07F217DE" w:rsidR="00C1582A">
        <w:rPr>
          <w:rFonts w:ascii="Arial" w:hAnsi="Arial" w:cs="Arial"/>
          <w:sz w:val="24"/>
          <w:szCs w:val="24"/>
        </w:rPr>
        <w:t xml:space="preserve"> and therefore low risk</w:t>
      </w:r>
      <w:r w:rsidRPr="07F217DE">
        <w:rPr>
          <w:rFonts w:ascii="Arial" w:hAnsi="Arial" w:cs="Arial"/>
          <w:sz w:val="24"/>
          <w:szCs w:val="24"/>
        </w:rPr>
        <w:t xml:space="preserve"> if they are restricted to allowing minor adjustments that are unlikely to </w:t>
      </w:r>
      <w:r w:rsidRPr="07F217DE" w:rsidR="00C1582A">
        <w:rPr>
          <w:rFonts w:ascii="Arial" w:hAnsi="Arial" w:cs="Arial"/>
          <w:sz w:val="24"/>
          <w:szCs w:val="24"/>
        </w:rPr>
        <w:t xml:space="preserve">have a </w:t>
      </w:r>
      <w:r w:rsidRPr="07F217DE">
        <w:rPr>
          <w:rFonts w:ascii="Arial" w:hAnsi="Arial" w:cs="Arial"/>
          <w:sz w:val="24"/>
          <w:szCs w:val="24"/>
        </w:rPr>
        <w:t>negativ</w:t>
      </w:r>
      <w:r w:rsidRPr="07F217DE" w:rsidR="00C1582A">
        <w:rPr>
          <w:rFonts w:ascii="Arial" w:hAnsi="Arial" w:cs="Arial"/>
          <w:sz w:val="24"/>
          <w:szCs w:val="24"/>
        </w:rPr>
        <w:t>e</w:t>
      </w:r>
      <w:r w:rsidRPr="07F217DE">
        <w:rPr>
          <w:rFonts w:ascii="Arial" w:hAnsi="Arial" w:cs="Arial"/>
          <w:sz w:val="24"/>
          <w:szCs w:val="24"/>
        </w:rPr>
        <w:t xml:space="preserve"> impact </w:t>
      </w:r>
      <w:r w:rsidRPr="07F217DE" w:rsidR="00C1582A">
        <w:rPr>
          <w:rFonts w:ascii="Arial" w:hAnsi="Arial" w:cs="Arial"/>
          <w:sz w:val="24"/>
          <w:szCs w:val="24"/>
        </w:rPr>
        <w:t xml:space="preserve">on </w:t>
      </w:r>
      <w:r w:rsidR="001F5F4B">
        <w:rPr>
          <w:rFonts w:ascii="Arial" w:hAnsi="Arial" w:cs="Arial"/>
          <w:sz w:val="24"/>
          <w:szCs w:val="24"/>
        </w:rPr>
        <w:t>applicants and/or</w:t>
      </w:r>
      <w:r w:rsidRPr="07F217DE" w:rsidR="00C1582A">
        <w:rPr>
          <w:rFonts w:ascii="Arial" w:hAnsi="Arial" w:cs="Arial"/>
          <w:sz w:val="24"/>
          <w:szCs w:val="24"/>
        </w:rPr>
        <w:t xml:space="preserve"> </w:t>
      </w:r>
      <w:r w:rsidRPr="07F217DE">
        <w:rPr>
          <w:rFonts w:ascii="Arial" w:hAnsi="Arial" w:cs="Arial"/>
          <w:sz w:val="24"/>
          <w:szCs w:val="24"/>
        </w:rPr>
        <w:t>students.</w:t>
      </w:r>
    </w:p>
    <w:p w:rsidRPr="00B424E5" w:rsidR="002F746F" w:rsidP="00F72090" w:rsidRDefault="002F746F" w14:paraId="0E4B4512" w14:textId="0C3BB54B">
      <w:pPr>
        <w:pStyle w:val="ListParagraph"/>
        <w:numPr>
          <w:ilvl w:val="1"/>
          <w:numId w:val="6"/>
        </w:numPr>
        <w:spacing w:after="120" w:line="276" w:lineRule="auto"/>
        <w:ind w:left="851" w:hanging="567"/>
        <w:rPr>
          <w:rFonts w:ascii="Arial" w:hAnsi="Arial" w:cs="Arial"/>
          <w:sz w:val="24"/>
          <w:szCs w:val="24"/>
        </w:rPr>
      </w:pPr>
      <w:r w:rsidRPr="07F217DE">
        <w:rPr>
          <w:rFonts w:ascii="Arial" w:hAnsi="Arial" w:cs="Arial"/>
          <w:sz w:val="24"/>
          <w:szCs w:val="24"/>
        </w:rPr>
        <w:t>Examples</w:t>
      </w:r>
      <w:r w:rsidRPr="07F217DE" w:rsidR="7B1E22EA">
        <w:rPr>
          <w:rFonts w:ascii="Arial" w:hAnsi="Arial" w:cs="Arial"/>
          <w:sz w:val="24"/>
          <w:szCs w:val="24"/>
        </w:rPr>
        <w:t xml:space="preserve"> </w:t>
      </w:r>
      <w:r w:rsidRPr="07F217DE" w:rsidR="36B5ACA1">
        <w:rPr>
          <w:rFonts w:ascii="Arial" w:hAnsi="Arial" w:cs="Arial"/>
          <w:sz w:val="24"/>
          <w:szCs w:val="24"/>
        </w:rPr>
        <w:t>of</w:t>
      </w:r>
      <w:r w:rsidRPr="07F217DE" w:rsidDel="002F746F">
        <w:rPr>
          <w:rFonts w:ascii="Arial" w:hAnsi="Arial" w:cs="Arial"/>
          <w:sz w:val="24"/>
          <w:szCs w:val="24"/>
        </w:rPr>
        <w:t xml:space="preserve"> </w:t>
      </w:r>
      <w:r w:rsidRPr="07F217DE">
        <w:rPr>
          <w:rFonts w:ascii="Arial" w:hAnsi="Arial" w:cs="Arial"/>
          <w:sz w:val="24"/>
          <w:szCs w:val="24"/>
        </w:rPr>
        <w:t>changes</w:t>
      </w:r>
      <w:r w:rsidRPr="07F217DE" w:rsidR="47FCD7AD">
        <w:rPr>
          <w:rFonts w:ascii="Arial" w:hAnsi="Arial" w:cs="Arial"/>
          <w:sz w:val="24"/>
          <w:szCs w:val="24"/>
        </w:rPr>
        <w:t xml:space="preserve"> which</w:t>
      </w:r>
      <w:r w:rsidRPr="07F217DE">
        <w:rPr>
          <w:rFonts w:ascii="Arial" w:hAnsi="Arial" w:cs="Arial"/>
          <w:sz w:val="24"/>
          <w:szCs w:val="24"/>
        </w:rPr>
        <w:t xml:space="preserve"> are more likely to be considered fair, include:</w:t>
      </w:r>
    </w:p>
    <w:p w:rsidRPr="00B424E5" w:rsidR="002F746F" w:rsidP="00F72090" w:rsidRDefault="0DEC871F" w14:paraId="78A57CDB" w14:textId="6523293C">
      <w:pPr>
        <w:pStyle w:val="ListParagraph"/>
        <w:numPr>
          <w:ilvl w:val="0"/>
          <w:numId w:val="2"/>
        </w:numPr>
        <w:snapToGrid/>
        <w:spacing w:before="120" w:after="120"/>
        <w:rPr>
          <w:rFonts w:ascii="Arial" w:hAnsi="Arial" w:cs="Arial"/>
          <w:sz w:val="24"/>
          <w:szCs w:val="24"/>
        </w:rPr>
      </w:pPr>
      <w:r w:rsidRPr="07F217DE">
        <w:rPr>
          <w:rFonts w:ascii="Arial" w:hAnsi="Arial" w:cs="Arial"/>
          <w:sz w:val="24"/>
          <w:szCs w:val="24"/>
        </w:rPr>
        <w:t>C</w:t>
      </w:r>
      <w:r w:rsidRPr="07F217DE" w:rsidR="002F746F">
        <w:rPr>
          <w:rFonts w:ascii="Arial" w:hAnsi="Arial" w:cs="Arial"/>
          <w:sz w:val="24"/>
          <w:szCs w:val="24"/>
        </w:rPr>
        <w:t xml:space="preserve">hanges made in response to PSRB </w:t>
      </w:r>
      <w:proofErr w:type="gramStart"/>
      <w:r w:rsidRPr="07F217DE" w:rsidR="002F746F">
        <w:rPr>
          <w:rFonts w:ascii="Arial" w:hAnsi="Arial" w:cs="Arial"/>
          <w:sz w:val="24"/>
          <w:szCs w:val="24"/>
        </w:rPr>
        <w:t>requirements;</w:t>
      </w:r>
      <w:proofErr w:type="gramEnd"/>
    </w:p>
    <w:p w:rsidRPr="00B424E5" w:rsidR="002F746F" w:rsidP="00F72090" w:rsidRDefault="782DC909" w14:paraId="7FB3DC09" w14:textId="7954DCD2">
      <w:pPr>
        <w:pStyle w:val="ListParagraph"/>
        <w:numPr>
          <w:ilvl w:val="0"/>
          <w:numId w:val="2"/>
        </w:numPr>
        <w:snapToGrid/>
        <w:spacing w:before="120" w:after="120"/>
        <w:rPr>
          <w:rFonts w:ascii="Arial" w:hAnsi="Arial" w:cs="Arial"/>
          <w:sz w:val="24"/>
          <w:szCs w:val="24"/>
        </w:rPr>
      </w:pPr>
      <w:r w:rsidRPr="07F217DE">
        <w:rPr>
          <w:rFonts w:ascii="Arial" w:hAnsi="Arial" w:cs="Arial"/>
          <w:sz w:val="24"/>
          <w:szCs w:val="24"/>
        </w:rPr>
        <w:t>Changes t</w:t>
      </w:r>
      <w:r w:rsidRPr="07F217DE" w:rsidR="002F746F">
        <w:rPr>
          <w:rFonts w:ascii="Arial" w:hAnsi="Arial" w:cs="Arial"/>
          <w:sz w:val="24"/>
          <w:szCs w:val="24"/>
        </w:rPr>
        <w:t xml:space="preserve">o reflect the theory in an area of research or practices around the subject or its delivery to ensure that the module content is up-to-date and </w:t>
      </w:r>
      <w:proofErr w:type="gramStart"/>
      <w:r w:rsidRPr="07F217DE" w:rsidR="002F746F">
        <w:rPr>
          <w:rFonts w:ascii="Arial" w:hAnsi="Arial" w:cs="Arial"/>
          <w:sz w:val="24"/>
          <w:szCs w:val="24"/>
        </w:rPr>
        <w:t>valid;</w:t>
      </w:r>
      <w:proofErr w:type="gramEnd"/>
    </w:p>
    <w:p w:rsidRPr="00B424E5" w:rsidR="002F746F" w:rsidP="00A31DFF" w:rsidRDefault="7C952125" w14:paraId="1B78B5B0" w14:textId="1498A704">
      <w:pPr>
        <w:pStyle w:val="ListParagraph"/>
        <w:numPr>
          <w:ilvl w:val="0"/>
          <w:numId w:val="2"/>
        </w:numPr>
        <w:snapToGrid/>
        <w:spacing w:before="120" w:after="120"/>
        <w:ind w:left="1077" w:hanging="357"/>
        <w:contextualSpacing w:val="0"/>
        <w:rPr>
          <w:rFonts w:ascii="Arial" w:hAnsi="Arial" w:cs="Arial"/>
          <w:sz w:val="24"/>
          <w:szCs w:val="24"/>
        </w:rPr>
      </w:pPr>
      <w:r w:rsidRPr="07F217DE">
        <w:rPr>
          <w:rFonts w:ascii="Arial" w:hAnsi="Arial" w:cs="Arial"/>
          <w:sz w:val="24"/>
          <w:szCs w:val="24"/>
        </w:rPr>
        <w:t>Changes t</w:t>
      </w:r>
      <w:r w:rsidRPr="07F217DE" w:rsidR="002F746F">
        <w:rPr>
          <w:rFonts w:ascii="Arial" w:hAnsi="Arial" w:cs="Arial"/>
          <w:sz w:val="24"/>
          <w:szCs w:val="24"/>
        </w:rPr>
        <w:t>o incorporate external examiner and/or current student feedback.</w:t>
      </w:r>
    </w:p>
    <w:p w:rsidRPr="00B424E5" w:rsidR="002F746F" w:rsidP="00F72090" w:rsidRDefault="002F746F" w14:paraId="693CA2C2" w14:textId="6FE78DC7">
      <w:pPr>
        <w:pStyle w:val="ListParagraph"/>
        <w:numPr>
          <w:ilvl w:val="1"/>
          <w:numId w:val="6"/>
        </w:numPr>
        <w:spacing w:after="120" w:line="276" w:lineRule="auto"/>
        <w:ind w:left="851" w:hanging="567"/>
        <w:rPr>
          <w:rFonts w:ascii="Arial" w:hAnsi="Arial" w:cs="Arial"/>
          <w:sz w:val="24"/>
          <w:szCs w:val="24"/>
        </w:rPr>
      </w:pPr>
      <w:r w:rsidRPr="07F217DE">
        <w:rPr>
          <w:rFonts w:ascii="Arial" w:hAnsi="Arial" w:cs="Arial"/>
          <w:sz w:val="24"/>
          <w:szCs w:val="24"/>
        </w:rPr>
        <w:t>Changes proposed due to</w:t>
      </w:r>
      <w:r w:rsidRPr="07F217DE" w:rsidDel="002F746F">
        <w:rPr>
          <w:rFonts w:ascii="Arial" w:hAnsi="Arial" w:cs="Arial"/>
          <w:sz w:val="24"/>
          <w:szCs w:val="24"/>
        </w:rPr>
        <w:t xml:space="preserve"> </w:t>
      </w:r>
      <w:r w:rsidRPr="07F217DE">
        <w:rPr>
          <w:rFonts w:ascii="Arial" w:hAnsi="Arial" w:cs="Arial"/>
          <w:sz w:val="24"/>
          <w:szCs w:val="24"/>
        </w:rPr>
        <w:t>resource issues will not be normally considered as good reason</w:t>
      </w:r>
      <w:r w:rsidRPr="07F217DE" w:rsidR="37A8A76D">
        <w:rPr>
          <w:rFonts w:ascii="Arial" w:hAnsi="Arial" w:cs="Arial"/>
          <w:sz w:val="24"/>
          <w:szCs w:val="24"/>
        </w:rPr>
        <w:t>,</w:t>
      </w:r>
      <w:r w:rsidRPr="07F217DE">
        <w:rPr>
          <w:rFonts w:ascii="Arial" w:hAnsi="Arial" w:cs="Arial"/>
          <w:sz w:val="24"/>
          <w:szCs w:val="24"/>
        </w:rPr>
        <w:t xml:space="preserve"> as</w:t>
      </w:r>
      <w:r w:rsidRPr="07F217DE" w:rsidR="14E9E165">
        <w:rPr>
          <w:rFonts w:ascii="Arial" w:hAnsi="Arial" w:cs="Arial"/>
          <w:sz w:val="24"/>
          <w:szCs w:val="24"/>
        </w:rPr>
        <w:t xml:space="preserve"> they</w:t>
      </w:r>
      <w:r w:rsidRPr="07F217DE">
        <w:rPr>
          <w:rFonts w:ascii="Arial" w:hAnsi="Arial" w:cs="Arial"/>
          <w:sz w:val="24"/>
          <w:szCs w:val="24"/>
        </w:rPr>
        <w:t xml:space="preserve"> may result in </w:t>
      </w:r>
      <w:r w:rsidRPr="07F217DE" w:rsidR="6088504D">
        <w:rPr>
          <w:rFonts w:ascii="Arial" w:hAnsi="Arial" w:cs="Arial"/>
          <w:sz w:val="24"/>
          <w:szCs w:val="24"/>
        </w:rPr>
        <w:t xml:space="preserve">a </w:t>
      </w:r>
      <w:r w:rsidRPr="07F217DE">
        <w:rPr>
          <w:rFonts w:ascii="Arial" w:hAnsi="Arial" w:cs="Arial"/>
          <w:sz w:val="24"/>
          <w:szCs w:val="24"/>
        </w:rPr>
        <w:t xml:space="preserve">breach of </w:t>
      </w:r>
      <w:proofErr w:type="spellStart"/>
      <w:r w:rsidRPr="07F217DE">
        <w:rPr>
          <w:rFonts w:ascii="Arial" w:hAnsi="Arial" w:cs="Arial"/>
          <w:sz w:val="24"/>
          <w:szCs w:val="24"/>
        </w:rPr>
        <w:t>OfS</w:t>
      </w:r>
      <w:proofErr w:type="spellEnd"/>
      <w:r w:rsidRPr="07F217DE">
        <w:rPr>
          <w:rFonts w:ascii="Arial" w:hAnsi="Arial" w:cs="Arial"/>
          <w:sz w:val="24"/>
          <w:szCs w:val="24"/>
        </w:rPr>
        <w:t xml:space="preserve"> B Conditions.</w:t>
      </w:r>
    </w:p>
    <w:p w:rsidRPr="00B424E5" w:rsidR="002F746F" w:rsidP="00C609AF" w:rsidRDefault="002F746F" w14:paraId="5BF4FE39" w14:textId="6B432A82">
      <w:pPr>
        <w:pStyle w:val="Heading1"/>
      </w:pPr>
      <w:bookmarkStart w:name="_Toc139191703" w:id="14"/>
      <w:r w:rsidRPr="00937C88">
        <w:t>Timings for Making Changes to Material Information</w:t>
      </w:r>
      <w:bookmarkEnd w:id="14"/>
    </w:p>
    <w:p w:rsidRPr="00B424E5" w:rsidR="002F746F" w:rsidP="00F72090" w:rsidRDefault="002F746F" w14:paraId="3419491A" w14:textId="5C98B1CC">
      <w:pPr>
        <w:pStyle w:val="ListParagraph"/>
        <w:numPr>
          <w:ilvl w:val="1"/>
          <w:numId w:val="7"/>
        </w:numPr>
        <w:spacing w:after="120" w:line="276" w:lineRule="auto"/>
        <w:ind w:left="851" w:hanging="567"/>
        <w:contextualSpacing w:val="0"/>
        <w:rPr>
          <w:rFonts w:ascii="Arial" w:hAnsi="Arial" w:cs="Arial"/>
          <w:sz w:val="24"/>
          <w:szCs w:val="24"/>
        </w:rPr>
      </w:pPr>
      <w:r w:rsidRPr="00B424E5">
        <w:rPr>
          <w:rFonts w:ascii="Arial" w:hAnsi="Arial" w:cs="Arial"/>
          <w:sz w:val="24"/>
          <w:szCs w:val="24"/>
        </w:rPr>
        <w:t xml:space="preserve">It is the University’s expectation that any </w:t>
      </w:r>
      <w:r w:rsidR="00C1582A">
        <w:rPr>
          <w:rFonts w:ascii="Arial" w:hAnsi="Arial" w:cs="Arial"/>
          <w:sz w:val="24"/>
          <w:szCs w:val="24"/>
        </w:rPr>
        <w:t>material</w:t>
      </w:r>
      <w:r w:rsidRPr="00B424E5">
        <w:rPr>
          <w:rFonts w:ascii="Arial" w:hAnsi="Arial" w:cs="Arial"/>
          <w:sz w:val="24"/>
          <w:szCs w:val="24"/>
        </w:rPr>
        <w:t xml:space="preserve"> changes would be implemented before the marketing and recruitment window starts (at least 18 months for UG courses and 12 months for PG courses). Changes made within the recruitment window will be referred to as ‘in-cycle’.</w:t>
      </w:r>
    </w:p>
    <w:p w:rsidRPr="00B424E5" w:rsidR="009C76D0" w:rsidP="00F72090" w:rsidRDefault="002F746F" w14:paraId="177AC7F4" w14:textId="43776BEC">
      <w:pPr>
        <w:pStyle w:val="ListParagraph"/>
        <w:numPr>
          <w:ilvl w:val="1"/>
          <w:numId w:val="7"/>
        </w:numPr>
        <w:snapToGrid/>
        <w:spacing w:after="120" w:line="276" w:lineRule="auto"/>
        <w:ind w:left="851" w:hanging="567"/>
        <w:contextualSpacing w:val="0"/>
        <w:rPr>
          <w:rFonts w:ascii="Arial" w:hAnsi="Arial" w:cs="Arial"/>
          <w:b/>
          <w:sz w:val="24"/>
          <w:szCs w:val="24"/>
        </w:rPr>
      </w:pPr>
      <w:r>
        <w:rPr>
          <w:rFonts w:ascii="Arial" w:hAnsi="Arial" w:cs="Arial"/>
          <w:bCs/>
          <w:sz w:val="24"/>
          <w:szCs w:val="24"/>
        </w:rPr>
        <w:t xml:space="preserve">Therefore, Divisions </w:t>
      </w:r>
      <w:r w:rsidR="00290184">
        <w:rPr>
          <w:rFonts w:ascii="Arial" w:hAnsi="Arial" w:cs="Arial"/>
          <w:bCs/>
          <w:sz w:val="24"/>
          <w:szCs w:val="24"/>
        </w:rPr>
        <w:t>must</w:t>
      </w:r>
      <w:r>
        <w:rPr>
          <w:rFonts w:ascii="Arial" w:hAnsi="Arial" w:cs="Arial"/>
          <w:bCs/>
          <w:sz w:val="24"/>
          <w:szCs w:val="24"/>
        </w:rPr>
        <w:t xml:space="preserve"> consult marketing and recruitment deadlines, </w:t>
      </w:r>
      <w:r w:rsidR="00290184">
        <w:rPr>
          <w:rFonts w:ascii="Arial" w:hAnsi="Arial" w:cs="Arial"/>
          <w:bCs/>
          <w:sz w:val="24"/>
          <w:szCs w:val="24"/>
        </w:rPr>
        <w:t xml:space="preserve">and </w:t>
      </w:r>
      <w:r w:rsidRPr="006E0DCB" w:rsidR="00290184">
        <w:rPr>
          <w:rFonts w:ascii="Arial" w:hAnsi="Arial" w:cs="Arial"/>
          <w:bCs/>
          <w:sz w:val="24"/>
          <w:szCs w:val="24"/>
        </w:rPr>
        <w:t>UCAS deadlines (for UG courses)</w:t>
      </w:r>
      <w:r w:rsidR="00290184">
        <w:rPr>
          <w:rFonts w:ascii="Arial" w:hAnsi="Arial" w:cs="Arial"/>
          <w:bCs/>
          <w:sz w:val="24"/>
          <w:szCs w:val="24"/>
        </w:rPr>
        <w:t xml:space="preserve"> </w:t>
      </w:r>
      <w:r>
        <w:rPr>
          <w:rFonts w:ascii="Arial" w:hAnsi="Arial" w:cs="Arial"/>
          <w:bCs/>
          <w:sz w:val="24"/>
          <w:szCs w:val="24"/>
        </w:rPr>
        <w:t xml:space="preserve">available on </w:t>
      </w:r>
      <w:proofErr w:type="spellStart"/>
      <w:r>
        <w:rPr>
          <w:rFonts w:ascii="Arial" w:hAnsi="Arial" w:cs="Arial"/>
          <w:bCs/>
          <w:sz w:val="24"/>
          <w:szCs w:val="24"/>
        </w:rPr>
        <w:t>KentNet</w:t>
      </w:r>
      <w:proofErr w:type="spellEnd"/>
      <w:r>
        <w:rPr>
          <w:rStyle w:val="FootnoteReference"/>
          <w:rFonts w:ascii="Arial" w:hAnsi="Arial" w:cs="Arial"/>
          <w:bCs/>
          <w:sz w:val="24"/>
          <w:szCs w:val="24"/>
        </w:rPr>
        <w:footnoteReference w:id="5"/>
      </w:r>
      <w:r>
        <w:rPr>
          <w:rFonts w:ascii="Arial" w:hAnsi="Arial" w:cs="Arial"/>
          <w:bCs/>
          <w:sz w:val="24"/>
          <w:szCs w:val="24"/>
        </w:rPr>
        <w:t xml:space="preserve">, when considering any changes to material information. </w:t>
      </w:r>
    </w:p>
    <w:p w:rsidRPr="00B424E5" w:rsidR="009C76D0" w:rsidP="00C609AF" w:rsidRDefault="00937C88" w14:paraId="12992E01" w14:textId="0260B56A">
      <w:pPr>
        <w:pStyle w:val="Heading1"/>
      </w:pPr>
      <w:bookmarkStart w:name="_Toc139191704" w:id="15"/>
      <w:r>
        <w:t xml:space="preserve">Process for Making </w:t>
      </w:r>
      <w:r w:rsidR="009C76D0">
        <w:t>Changes to Material Information</w:t>
      </w:r>
      <w:bookmarkEnd w:id="15"/>
    </w:p>
    <w:p w:rsidRPr="00B470CC" w:rsidR="009C76D0" w:rsidP="00F72090" w:rsidRDefault="009C76D0" w14:paraId="198691A4" w14:textId="1EA8EF13">
      <w:pPr>
        <w:pStyle w:val="ListParagraph"/>
        <w:numPr>
          <w:ilvl w:val="1"/>
          <w:numId w:val="8"/>
        </w:numPr>
        <w:snapToGrid/>
        <w:spacing w:after="120" w:line="276" w:lineRule="auto"/>
        <w:ind w:left="851" w:hanging="567"/>
        <w:contextualSpacing w:val="0"/>
        <w:rPr>
          <w:rFonts w:ascii="Arial" w:hAnsi="Arial" w:cs="Arial"/>
          <w:b/>
          <w:sz w:val="24"/>
          <w:szCs w:val="24"/>
        </w:rPr>
      </w:pPr>
      <w:r w:rsidRPr="00CE0129">
        <w:rPr>
          <w:rFonts w:ascii="Arial" w:hAnsi="Arial" w:cs="Arial"/>
          <w:sz w:val="24"/>
          <w:szCs w:val="24"/>
        </w:rPr>
        <w:t>When proposing a change to a course</w:t>
      </w:r>
      <w:r>
        <w:rPr>
          <w:rFonts w:ascii="Arial" w:hAnsi="Arial" w:cs="Arial"/>
          <w:sz w:val="24"/>
          <w:szCs w:val="24"/>
        </w:rPr>
        <w:t xml:space="preserve"> and/or module</w:t>
      </w:r>
      <w:r w:rsidRPr="00CE0129">
        <w:rPr>
          <w:rFonts w:ascii="Arial" w:hAnsi="Arial" w:cs="Arial"/>
          <w:sz w:val="24"/>
          <w:szCs w:val="24"/>
        </w:rPr>
        <w:t>, the Division must give proper consideration as to whether the proposed change represents a ‘material’ change</w:t>
      </w:r>
      <w:r w:rsidR="00B470CC">
        <w:rPr>
          <w:rStyle w:val="FootnoteReference"/>
          <w:rFonts w:ascii="Arial" w:hAnsi="Arial" w:cs="Arial"/>
          <w:sz w:val="24"/>
          <w:szCs w:val="24"/>
        </w:rPr>
        <w:footnoteReference w:id="6"/>
      </w:r>
      <w:r w:rsidR="002F746F">
        <w:rPr>
          <w:rFonts w:ascii="Arial" w:hAnsi="Arial" w:cs="Arial"/>
          <w:sz w:val="24"/>
          <w:szCs w:val="24"/>
        </w:rPr>
        <w:t>.</w:t>
      </w:r>
    </w:p>
    <w:p w:rsidRPr="00E21772" w:rsidR="009C76D0" w:rsidP="00F72090" w:rsidRDefault="009C76D0" w14:paraId="5A8DF9AC" w14:textId="43C42382">
      <w:pPr>
        <w:pStyle w:val="ListParagraph"/>
        <w:numPr>
          <w:ilvl w:val="1"/>
          <w:numId w:val="8"/>
        </w:numPr>
        <w:snapToGrid/>
        <w:spacing w:after="120" w:line="276" w:lineRule="auto"/>
        <w:ind w:left="851" w:hanging="567"/>
        <w:contextualSpacing w:val="0"/>
        <w:rPr>
          <w:rFonts w:ascii="Arial" w:hAnsi="Arial" w:cs="Arial"/>
          <w:b/>
          <w:sz w:val="24"/>
          <w:szCs w:val="24"/>
        </w:rPr>
      </w:pPr>
      <w:r w:rsidRPr="00E21772">
        <w:rPr>
          <w:rFonts w:ascii="Arial" w:hAnsi="Arial" w:cs="Arial"/>
          <w:sz w:val="24"/>
          <w:szCs w:val="24"/>
        </w:rPr>
        <w:t>Divisions should seek a CMA Risk Assessment</w:t>
      </w:r>
      <w:r w:rsidR="00B470CC">
        <w:rPr>
          <w:rStyle w:val="FootnoteReference"/>
          <w:rFonts w:ascii="Arial" w:hAnsi="Arial" w:cs="Arial"/>
          <w:sz w:val="24"/>
          <w:szCs w:val="24"/>
        </w:rPr>
        <w:footnoteReference w:id="7"/>
      </w:r>
      <w:r w:rsidRPr="00E21772">
        <w:rPr>
          <w:rFonts w:ascii="Arial" w:hAnsi="Arial" w:cs="Arial"/>
          <w:sz w:val="24"/>
          <w:szCs w:val="24"/>
        </w:rPr>
        <w:t xml:space="preserve"> where the proposed changes to a course and/or module involve changes to the material information.</w:t>
      </w:r>
    </w:p>
    <w:p w:rsidRPr="00E21772" w:rsidR="009C76D0" w:rsidP="00F72090" w:rsidRDefault="009C76D0" w14:paraId="13B02510" w14:textId="64DA7F61">
      <w:pPr>
        <w:pStyle w:val="ListParagraph"/>
        <w:numPr>
          <w:ilvl w:val="1"/>
          <w:numId w:val="8"/>
        </w:numPr>
        <w:snapToGrid/>
        <w:spacing w:after="120" w:line="276" w:lineRule="auto"/>
        <w:ind w:left="851" w:hanging="567"/>
        <w:rPr>
          <w:rFonts w:ascii="Arial" w:hAnsi="Arial" w:cs="Arial"/>
          <w:b/>
          <w:bCs/>
          <w:sz w:val="24"/>
          <w:szCs w:val="24"/>
        </w:rPr>
      </w:pPr>
      <w:r w:rsidRPr="07F217DE">
        <w:rPr>
          <w:rFonts w:ascii="Arial" w:hAnsi="Arial" w:cs="Arial"/>
          <w:sz w:val="24"/>
          <w:szCs w:val="24"/>
        </w:rPr>
        <w:lastRenderedPageBreak/>
        <w:t xml:space="preserve">If uncertain </w:t>
      </w:r>
      <w:r w:rsidRPr="07F217DE" w:rsidR="33C75FED">
        <w:rPr>
          <w:rFonts w:ascii="Arial" w:hAnsi="Arial" w:cs="Arial"/>
          <w:sz w:val="24"/>
          <w:szCs w:val="24"/>
        </w:rPr>
        <w:t xml:space="preserve">as to </w:t>
      </w:r>
      <w:r w:rsidRPr="07F217DE">
        <w:rPr>
          <w:rFonts w:ascii="Arial" w:hAnsi="Arial" w:cs="Arial"/>
          <w:sz w:val="24"/>
          <w:szCs w:val="24"/>
        </w:rPr>
        <w:t xml:space="preserve">whether the proposed </w:t>
      </w:r>
      <w:r w:rsidRPr="07F217DE" w:rsidR="00C1582A">
        <w:rPr>
          <w:rFonts w:ascii="Arial" w:hAnsi="Arial" w:cs="Arial"/>
          <w:sz w:val="24"/>
          <w:szCs w:val="24"/>
        </w:rPr>
        <w:t>revisions</w:t>
      </w:r>
      <w:r w:rsidRPr="07F217DE">
        <w:rPr>
          <w:rFonts w:ascii="Arial" w:hAnsi="Arial" w:cs="Arial"/>
          <w:sz w:val="24"/>
          <w:szCs w:val="24"/>
        </w:rPr>
        <w:t xml:space="preserve"> result in changes to material information, Divisions should seek advice from the Quality Assurance and Compliance Office via </w:t>
      </w:r>
      <w:hyperlink r:id="rId11">
        <w:r w:rsidRPr="07F217DE">
          <w:rPr>
            <w:rStyle w:val="Hyperlink"/>
            <w:rFonts w:ascii="Arial" w:hAnsi="Arial" w:cs="Arial"/>
            <w:sz w:val="24"/>
            <w:szCs w:val="24"/>
          </w:rPr>
          <w:t>kentcma@kent.ac.uk</w:t>
        </w:r>
      </w:hyperlink>
      <w:r w:rsidRPr="07F217DE">
        <w:rPr>
          <w:rFonts w:ascii="Arial" w:hAnsi="Arial" w:cs="Arial"/>
          <w:sz w:val="24"/>
          <w:szCs w:val="24"/>
        </w:rPr>
        <w:t xml:space="preserve">. </w:t>
      </w:r>
    </w:p>
    <w:p w:rsidRPr="00B470CC" w:rsidR="002F746F" w:rsidP="00F72090" w:rsidRDefault="009C76D0" w14:paraId="74AA83A5" w14:textId="78FC4057">
      <w:pPr>
        <w:pStyle w:val="ListParagraph"/>
        <w:numPr>
          <w:ilvl w:val="1"/>
          <w:numId w:val="8"/>
        </w:numPr>
        <w:snapToGrid/>
        <w:spacing w:after="120" w:line="276" w:lineRule="auto"/>
        <w:ind w:left="851" w:hanging="567"/>
        <w:contextualSpacing w:val="0"/>
        <w:rPr>
          <w:rFonts w:ascii="Arial" w:hAnsi="Arial" w:cs="Arial"/>
          <w:b/>
          <w:sz w:val="24"/>
          <w:szCs w:val="24"/>
        </w:rPr>
      </w:pPr>
      <w:r w:rsidRPr="00E21772">
        <w:rPr>
          <w:rFonts w:ascii="Arial" w:hAnsi="Arial" w:cs="Arial"/>
          <w:bCs/>
          <w:sz w:val="24"/>
          <w:szCs w:val="24"/>
        </w:rPr>
        <w:t xml:space="preserve">When proposing a change to material information, the Division responsible for the change must </w:t>
      </w:r>
      <w:r w:rsidR="00B470CC">
        <w:rPr>
          <w:rFonts w:ascii="Arial" w:hAnsi="Arial" w:cs="Arial"/>
          <w:bCs/>
          <w:sz w:val="24"/>
          <w:szCs w:val="24"/>
        </w:rPr>
        <w:t>consult</w:t>
      </w:r>
      <w:r w:rsidRPr="00E21772">
        <w:rPr>
          <w:rFonts w:ascii="Arial" w:hAnsi="Arial" w:cs="Arial"/>
          <w:bCs/>
          <w:sz w:val="24"/>
          <w:szCs w:val="24"/>
        </w:rPr>
        <w:t xml:space="preserve"> other Department(s)/Division(s) that will be affected </w:t>
      </w:r>
      <w:r>
        <w:rPr>
          <w:rFonts w:ascii="Arial" w:hAnsi="Arial" w:cs="Arial"/>
          <w:bCs/>
          <w:sz w:val="24"/>
          <w:szCs w:val="24"/>
        </w:rPr>
        <w:t>in a timely manner</w:t>
      </w:r>
      <w:r w:rsidR="00B470CC">
        <w:rPr>
          <w:rFonts w:ascii="Arial" w:hAnsi="Arial" w:cs="Arial"/>
          <w:bCs/>
          <w:sz w:val="24"/>
          <w:szCs w:val="24"/>
        </w:rPr>
        <w:t xml:space="preserve"> and prior to seeking the risk assessment.</w:t>
      </w:r>
    </w:p>
    <w:p w:rsidRPr="00B470CC" w:rsidR="00B470CC" w:rsidP="00F72090" w:rsidRDefault="00B470CC" w14:paraId="1A188B4E" w14:textId="5468B8AC">
      <w:pPr>
        <w:pStyle w:val="ListParagraph"/>
        <w:numPr>
          <w:ilvl w:val="1"/>
          <w:numId w:val="8"/>
        </w:numPr>
        <w:snapToGrid/>
        <w:spacing w:after="120" w:line="276" w:lineRule="auto"/>
        <w:ind w:left="851" w:hanging="567"/>
        <w:contextualSpacing w:val="0"/>
        <w:rPr>
          <w:rFonts w:ascii="Arial" w:hAnsi="Arial" w:cs="Arial"/>
          <w:b/>
          <w:sz w:val="24"/>
          <w:szCs w:val="24"/>
        </w:rPr>
      </w:pPr>
      <w:r>
        <w:rPr>
          <w:rFonts w:ascii="Arial" w:hAnsi="Arial" w:cs="Arial"/>
          <w:bCs/>
          <w:sz w:val="24"/>
          <w:szCs w:val="24"/>
        </w:rPr>
        <w:t>T</w:t>
      </w:r>
      <w:r w:rsidRPr="00E21772">
        <w:rPr>
          <w:rFonts w:ascii="Arial" w:hAnsi="Arial" w:cs="Arial"/>
          <w:bCs/>
          <w:sz w:val="24"/>
          <w:szCs w:val="24"/>
        </w:rPr>
        <w:t xml:space="preserve">he Division </w:t>
      </w:r>
      <w:r>
        <w:rPr>
          <w:rFonts w:ascii="Arial" w:hAnsi="Arial" w:cs="Arial"/>
          <w:bCs/>
          <w:sz w:val="24"/>
          <w:szCs w:val="24"/>
        </w:rPr>
        <w:t xml:space="preserve">proposing the change will normally be </w:t>
      </w:r>
      <w:r w:rsidRPr="00E21772">
        <w:rPr>
          <w:rFonts w:ascii="Arial" w:hAnsi="Arial" w:cs="Arial"/>
          <w:bCs/>
          <w:sz w:val="24"/>
          <w:szCs w:val="24"/>
        </w:rPr>
        <w:t xml:space="preserve">responsible for </w:t>
      </w:r>
      <w:r>
        <w:rPr>
          <w:rFonts w:ascii="Arial" w:hAnsi="Arial" w:cs="Arial"/>
          <w:bCs/>
          <w:sz w:val="24"/>
          <w:szCs w:val="24"/>
        </w:rPr>
        <w:t xml:space="preserve">seeking express agreement from applicants and/or students, as applicable. </w:t>
      </w:r>
    </w:p>
    <w:p w:rsidRPr="00B424E5" w:rsidR="00B470CC" w:rsidP="00F72090" w:rsidRDefault="009C76D0" w14:paraId="42892B98" w14:textId="5A7D93AC">
      <w:pPr>
        <w:pStyle w:val="ListParagraph"/>
        <w:numPr>
          <w:ilvl w:val="1"/>
          <w:numId w:val="8"/>
        </w:numPr>
        <w:snapToGrid/>
        <w:spacing w:after="120" w:line="276" w:lineRule="auto"/>
        <w:ind w:left="851" w:hanging="567"/>
        <w:contextualSpacing w:val="0"/>
        <w:rPr>
          <w:rFonts w:ascii="Arial" w:hAnsi="Arial" w:cs="Arial"/>
          <w:b/>
          <w:sz w:val="24"/>
          <w:szCs w:val="24"/>
        </w:rPr>
      </w:pPr>
      <w:r w:rsidRPr="00E21772">
        <w:rPr>
          <w:rFonts w:ascii="Arial" w:hAnsi="Arial" w:cs="Arial"/>
          <w:bCs/>
          <w:sz w:val="24"/>
          <w:szCs w:val="24"/>
        </w:rPr>
        <w:t xml:space="preserve">The Division proposing the change will be responsible for any financial redress, where appropriate, including </w:t>
      </w:r>
      <w:r>
        <w:rPr>
          <w:rFonts w:ascii="Arial" w:hAnsi="Arial" w:cs="Arial"/>
          <w:bCs/>
          <w:sz w:val="24"/>
          <w:szCs w:val="24"/>
        </w:rPr>
        <w:t xml:space="preserve">financial compensation as the outcome of any </w:t>
      </w:r>
      <w:r w:rsidR="00B424E5">
        <w:rPr>
          <w:rFonts w:ascii="Arial" w:hAnsi="Arial" w:cs="Arial"/>
          <w:bCs/>
          <w:sz w:val="24"/>
          <w:szCs w:val="24"/>
        </w:rPr>
        <w:t>upheld</w:t>
      </w:r>
      <w:r w:rsidRPr="00E21772">
        <w:rPr>
          <w:rFonts w:ascii="Arial" w:hAnsi="Arial" w:cs="Arial"/>
          <w:bCs/>
          <w:sz w:val="24"/>
          <w:szCs w:val="24"/>
        </w:rPr>
        <w:t xml:space="preserve"> complaints.</w:t>
      </w:r>
    </w:p>
    <w:p w:rsidRPr="00C537D5" w:rsidR="00B470CC" w:rsidP="00C609AF" w:rsidRDefault="00B470CC" w14:paraId="19E7E615" w14:textId="5C189A87">
      <w:pPr>
        <w:pStyle w:val="Heading1"/>
      </w:pPr>
      <w:bookmarkStart w:name="_Toc139191705" w:id="16"/>
      <w:r>
        <w:t>CMA Risk Assessments</w:t>
      </w:r>
      <w:bookmarkEnd w:id="16"/>
      <w:r>
        <w:t xml:space="preserve"> </w:t>
      </w:r>
    </w:p>
    <w:p w:rsidRPr="00F0440E" w:rsidR="00B470CC" w:rsidP="00F72090" w:rsidRDefault="00B470CC" w14:paraId="43F64DC7" w14:textId="350E9F9B">
      <w:pPr>
        <w:pStyle w:val="ListParagraph"/>
        <w:numPr>
          <w:ilvl w:val="1"/>
          <w:numId w:val="9"/>
        </w:numPr>
        <w:snapToGrid/>
        <w:spacing w:after="120" w:line="276" w:lineRule="auto"/>
        <w:ind w:left="851" w:hanging="567"/>
        <w:contextualSpacing w:val="0"/>
        <w:rPr>
          <w:rFonts w:ascii="Arial" w:hAnsi="Arial" w:cs="Arial"/>
          <w:bCs/>
          <w:sz w:val="24"/>
          <w:szCs w:val="24"/>
        </w:rPr>
      </w:pPr>
      <w:r w:rsidRPr="00F0440E">
        <w:rPr>
          <w:rFonts w:ascii="Arial" w:hAnsi="Arial" w:cs="Arial"/>
          <w:bCs/>
          <w:sz w:val="24"/>
          <w:szCs w:val="24"/>
        </w:rPr>
        <w:t xml:space="preserve">Where a proposal is made for the withdrawal, </w:t>
      </w:r>
      <w:proofErr w:type="gramStart"/>
      <w:r w:rsidRPr="00F0440E">
        <w:rPr>
          <w:rFonts w:ascii="Arial" w:hAnsi="Arial" w:cs="Arial"/>
          <w:bCs/>
          <w:sz w:val="24"/>
          <w:szCs w:val="24"/>
        </w:rPr>
        <w:t>suspension</w:t>
      </w:r>
      <w:proofErr w:type="gramEnd"/>
      <w:r w:rsidRPr="00F0440E">
        <w:rPr>
          <w:rFonts w:ascii="Arial" w:hAnsi="Arial" w:cs="Arial"/>
          <w:bCs/>
          <w:sz w:val="24"/>
          <w:szCs w:val="24"/>
        </w:rPr>
        <w:t xml:space="preserve"> or material amendment of a course and/or module to take place in-cycle, this will have implications under the CMA guidance which must be risk-assessed and considered prior to approval.</w:t>
      </w:r>
    </w:p>
    <w:p w:rsidRPr="00F0440E" w:rsidR="00B470CC" w:rsidP="00F72090" w:rsidRDefault="00B470CC" w14:paraId="56CAF603" w14:textId="77777777">
      <w:pPr>
        <w:pStyle w:val="ListParagraph"/>
        <w:numPr>
          <w:ilvl w:val="1"/>
          <w:numId w:val="9"/>
        </w:numPr>
        <w:snapToGrid/>
        <w:spacing w:after="120" w:line="276" w:lineRule="auto"/>
        <w:ind w:left="851" w:hanging="567"/>
        <w:contextualSpacing w:val="0"/>
        <w:rPr>
          <w:rFonts w:ascii="Arial" w:hAnsi="Arial" w:cs="Arial"/>
          <w:bCs/>
          <w:sz w:val="24"/>
          <w:szCs w:val="24"/>
        </w:rPr>
      </w:pPr>
      <w:r w:rsidRPr="00F0440E">
        <w:rPr>
          <w:rFonts w:ascii="Arial" w:hAnsi="Arial" w:cs="Arial"/>
          <w:sz w:val="24"/>
          <w:szCs w:val="24"/>
        </w:rPr>
        <w:t>The CMA Risk Assessment will be carried out by the Quality Assurance and Compliance Office (QACO).</w:t>
      </w:r>
    </w:p>
    <w:p w:rsidRPr="00F0440E" w:rsidR="00B470CC" w:rsidP="00F72090" w:rsidRDefault="00B470CC" w14:paraId="721A1000" w14:textId="2F26EF8B">
      <w:pPr>
        <w:pStyle w:val="ListParagraph"/>
        <w:numPr>
          <w:ilvl w:val="1"/>
          <w:numId w:val="9"/>
        </w:numPr>
        <w:snapToGrid/>
        <w:spacing w:after="120" w:line="276" w:lineRule="auto"/>
        <w:ind w:left="851" w:hanging="567"/>
        <w:contextualSpacing w:val="0"/>
        <w:rPr>
          <w:rFonts w:ascii="Arial" w:hAnsi="Arial" w:cs="Arial"/>
          <w:bCs/>
          <w:sz w:val="24"/>
          <w:szCs w:val="24"/>
        </w:rPr>
      </w:pPr>
      <w:r w:rsidRPr="00F0440E">
        <w:rPr>
          <w:rFonts w:ascii="Arial" w:hAnsi="Arial" w:cs="Arial"/>
          <w:sz w:val="24"/>
          <w:szCs w:val="24"/>
        </w:rPr>
        <w:t xml:space="preserve">Every request will be reviewed on individual basis and the consideration will be given to the rationale for the ‘in-cycle’ change, the recruitment cycle timeframe, </w:t>
      </w:r>
      <w:r w:rsidRPr="00D16C27" w:rsidR="00F40D1D">
        <w:rPr>
          <w:rFonts w:ascii="Arial" w:hAnsi="Arial" w:cs="Arial"/>
          <w:sz w:val="24"/>
          <w:szCs w:val="24"/>
        </w:rPr>
        <w:t>UCAS deadlines</w:t>
      </w:r>
      <w:r w:rsidR="00F40D1D">
        <w:rPr>
          <w:rFonts w:ascii="Arial" w:hAnsi="Arial" w:cs="Arial"/>
          <w:sz w:val="24"/>
          <w:szCs w:val="24"/>
        </w:rPr>
        <w:t xml:space="preserve">, </w:t>
      </w:r>
      <w:r w:rsidRPr="00F0440E">
        <w:rPr>
          <w:rFonts w:ascii="Arial" w:hAnsi="Arial" w:cs="Arial"/>
          <w:sz w:val="24"/>
          <w:szCs w:val="24"/>
        </w:rPr>
        <w:t xml:space="preserve">the number of </w:t>
      </w:r>
      <w:r w:rsidR="00C1582A">
        <w:rPr>
          <w:rFonts w:ascii="Arial" w:hAnsi="Arial" w:cs="Arial"/>
          <w:sz w:val="24"/>
          <w:szCs w:val="24"/>
        </w:rPr>
        <w:t>applicants and/or s</w:t>
      </w:r>
      <w:r w:rsidRPr="00F0440E">
        <w:rPr>
          <w:rFonts w:ascii="Arial" w:hAnsi="Arial" w:cs="Arial"/>
          <w:sz w:val="24"/>
          <w:szCs w:val="24"/>
        </w:rPr>
        <w:t>tudents affected, the level of disruption and planned mitigation by the Division.</w:t>
      </w:r>
    </w:p>
    <w:p w:rsidRPr="00F0440E" w:rsidR="00B470CC" w:rsidP="00F72090" w:rsidRDefault="00B470CC" w14:paraId="31DD7192" w14:textId="25BC1749">
      <w:pPr>
        <w:pStyle w:val="ListParagraph"/>
        <w:numPr>
          <w:ilvl w:val="1"/>
          <w:numId w:val="9"/>
        </w:numPr>
        <w:snapToGrid/>
        <w:spacing w:after="120" w:line="276" w:lineRule="auto"/>
        <w:ind w:left="851" w:hanging="567"/>
        <w:rPr>
          <w:rStyle w:val="normaltextrun"/>
          <w:rFonts w:ascii="Arial" w:hAnsi="Arial" w:cs="Arial"/>
          <w:sz w:val="24"/>
          <w:szCs w:val="24"/>
        </w:rPr>
      </w:pPr>
      <w:r w:rsidRPr="07F217DE">
        <w:rPr>
          <w:rStyle w:val="normaltextrun"/>
          <w:rFonts w:ascii="Arial" w:hAnsi="Arial" w:cs="Arial" w:eastAsiaTheme="majorEastAsia"/>
          <w:color w:val="000000"/>
          <w:sz w:val="24"/>
          <w:szCs w:val="24"/>
          <w:shd w:val="clear" w:color="auto" w:fill="FFFFFF"/>
        </w:rPr>
        <w:t xml:space="preserve">The risk assessment is designed to support Divisions in their decision to proceed with the approval process for proposed changes in-cycle, </w:t>
      </w:r>
      <w:r w:rsidRPr="07F217DE" w:rsidR="00C1582A">
        <w:rPr>
          <w:rStyle w:val="normaltextrun"/>
          <w:rFonts w:ascii="Arial" w:hAnsi="Arial" w:cs="Arial" w:eastAsiaTheme="majorEastAsia"/>
          <w:color w:val="000000"/>
          <w:sz w:val="24"/>
          <w:szCs w:val="24"/>
          <w:shd w:val="clear" w:color="auto" w:fill="FFFFFF"/>
        </w:rPr>
        <w:t>to consider changes to the proposal</w:t>
      </w:r>
      <w:r w:rsidRPr="07F217DE" w:rsidR="4FD86C08">
        <w:rPr>
          <w:rStyle w:val="normaltextrun"/>
          <w:rFonts w:ascii="Arial" w:hAnsi="Arial" w:cs="Arial" w:eastAsiaTheme="majorEastAsia"/>
          <w:color w:val="000000"/>
          <w:sz w:val="24"/>
          <w:szCs w:val="24"/>
          <w:shd w:val="clear" w:color="auto" w:fill="FFFFFF"/>
        </w:rPr>
        <w:t>,</w:t>
      </w:r>
      <w:r w:rsidRPr="07F217DE" w:rsidR="00C1582A">
        <w:rPr>
          <w:rStyle w:val="normaltextrun"/>
          <w:rFonts w:ascii="Arial" w:hAnsi="Arial" w:cs="Arial" w:eastAsiaTheme="majorEastAsia"/>
          <w:color w:val="000000"/>
          <w:sz w:val="24"/>
          <w:szCs w:val="24"/>
          <w:shd w:val="clear" w:color="auto" w:fill="FFFFFF"/>
        </w:rPr>
        <w:t xml:space="preserve"> </w:t>
      </w:r>
      <w:r w:rsidRPr="07F217DE">
        <w:rPr>
          <w:rStyle w:val="normaltextrun"/>
          <w:rFonts w:ascii="Arial" w:hAnsi="Arial" w:cs="Arial" w:eastAsiaTheme="majorEastAsia"/>
          <w:color w:val="000000"/>
          <w:sz w:val="24"/>
          <w:szCs w:val="24"/>
          <w:shd w:val="clear" w:color="auto" w:fill="FFFFFF"/>
        </w:rPr>
        <w:t>or to defer such changes to a later date.</w:t>
      </w:r>
    </w:p>
    <w:p w:rsidR="00A31DFF" w:rsidP="00A31DFF" w:rsidRDefault="00B470CC" w14:paraId="1D902F53" w14:textId="77777777">
      <w:pPr>
        <w:pStyle w:val="ListParagraph"/>
        <w:numPr>
          <w:ilvl w:val="1"/>
          <w:numId w:val="9"/>
        </w:numPr>
        <w:snapToGrid/>
        <w:spacing w:after="120" w:line="276" w:lineRule="auto"/>
        <w:ind w:left="851" w:hanging="567"/>
        <w:rPr>
          <w:rFonts w:ascii="Arial" w:hAnsi="Arial" w:cs="Arial"/>
          <w:sz w:val="24"/>
          <w:szCs w:val="24"/>
        </w:rPr>
      </w:pPr>
      <w:r w:rsidRPr="07F217DE">
        <w:rPr>
          <w:rFonts w:ascii="Arial" w:hAnsi="Arial" w:cs="Arial"/>
          <w:sz w:val="24"/>
          <w:szCs w:val="24"/>
        </w:rPr>
        <w:t>The proposed changes will be assigned one of the following risks – low, moderate</w:t>
      </w:r>
      <w:r w:rsidRPr="07F217DE" w:rsidR="3B0A12D5">
        <w:rPr>
          <w:rFonts w:ascii="Arial" w:hAnsi="Arial" w:cs="Arial"/>
          <w:sz w:val="24"/>
          <w:szCs w:val="24"/>
        </w:rPr>
        <w:t>,</w:t>
      </w:r>
      <w:r w:rsidRPr="07F217DE">
        <w:rPr>
          <w:rFonts w:ascii="Arial" w:hAnsi="Arial" w:cs="Arial"/>
          <w:sz w:val="24"/>
          <w:szCs w:val="24"/>
        </w:rPr>
        <w:t xml:space="preserve"> or high.</w:t>
      </w:r>
    </w:p>
    <w:p w:rsidRPr="0047363F" w:rsidR="0071161F" w:rsidP="0047363F" w:rsidRDefault="00B3433E" w14:paraId="437B4878" w14:textId="26F84588">
      <w:pPr>
        <w:pStyle w:val="ListParagraph"/>
        <w:numPr>
          <w:ilvl w:val="1"/>
          <w:numId w:val="9"/>
        </w:numPr>
        <w:snapToGrid/>
        <w:spacing w:after="120" w:line="276" w:lineRule="auto"/>
        <w:ind w:left="851" w:hanging="567"/>
        <w:contextualSpacing w:val="0"/>
        <w:rPr>
          <w:rFonts w:ascii="Arial" w:hAnsi="Arial" w:cs="Arial"/>
          <w:sz w:val="24"/>
          <w:szCs w:val="24"/>
        </w:rPr>
      </w:pPr>
      <w:r w:rsidRPr="00A31DFF">
        <w:rPr>
          <w:rFonts w:ascii="Arial" w:hAnsi="Arial" w:cs="Arial"/>
          <w:sz w:val="24"/>
          <w:szCs w:val="24"/>
          <w:lang w:val="en-US"/>
        </w:rPr>
        <w:t xml:space="preserve">Where the risk level has been identified as high and the Division wishes to proceed with the approval process, the request will have to be reviewed and approved by the Deputy Vice Chancellor (DVC) Academic Strategy, Planning and Performance and the Deputy Vice Chancellor (DVC) Education and Student Experience prior to submission to CASC. </w:t>
      </w:r>
      <w:r w:rsidRPr="00A31DFF" w:rsidR="0071161F">
        <w:rPr>
          <w:rFonts w:ascii="Arial" w:hAnsi="Arial" w:cs="Arial"/>
          <w:sz w:val="24"/>
          <w:szCs w:val="24"/>
          <w:lang w:val="en-US"/>
        </w:rPr>
        <w:t>Where</w:t>
      </w:r>
      <w:r w:rsidRPr="00A31DFF" w:rsidR="00423A8F">
        <w:rPr>
          <w:rFonts w:ascii="Arial" w:hAnsi="Arial" w:cs="Arial"/>
          <w:sz w:val="24"/>
          <w:szCs w:val="24"/>
          <w:lang w:val="en-US"/>
        </w:rPr>
        <w:t xml:space="preserve"> the risk level has been identified as high due to implications on UCAS deadlines</w:t>
      </w:r>
      <w:r w:rsidRPr="00A31DFF" w:rsidR="00045ECE">
        <w:rPr>
          <w:rFonts w:ascii="Arial" w:hAnsi="Arial" w:cs="Arial"/>
          <w:sz w:val="24"/>
          <w:szCs w:val="24"/>
          <w:lang w:val="en-US"/>
        </w:rPr>
        <w:t>, the request will also have to be reviewed by the Head of Admissions (or nominee) in addit</w:t>
      </w:r>
      <w:r w:rsidRPr="00A31DFF" w:rsidR="0006481F">
        <w:rPr>
          <w:rFonts w:ascii="Arial" w:hAnsi="Arial" w:cs="Arial"/>
          <w:sz w:val="24"/>
          <w:szCs w:val="24"/>
          <w:lang w:val="en-US"/>
        </w:rPr>
        <w:t xml:space="preserve">ion to the </w:t>
      </w:r>
      <w:r w:rsidRPr="0047363F" w:rsidR="0006481F">
        <w:rPr>
          <w:rFonts w:ascii="Arial" w:hAnsi="Arial" w:cs="Arial"/>
          <w:sz w:val="24"/>
          <w:szCs w:val="24"/>
          <w:lang w:val="en-US"/>
        </w:rPr>
        <w:lastRenderedPageBreak/>
        <w:t xml:space="preserve">DVCs. </w:t>
      </w:r>
      <w:r w:rsidRPr="0047363F">
        <w:rPr>
          <w:rFonts w:ascii="Arial" w:hAnsi="Arial" w:cs="Arial"/>
          <w:sz w:val="24"/>
          <w:szCs w:val="24"/>
          <w:lang w:val="en-US"/>
        </w:rPr>
        <w:t xml:space="preserve">QACO will liaise with both DVCs </w:t>
      </w:r>
      <w:r w:rsidRPr="0047363F" w:rsidR="0006481F">
        <w:rPr>
          <w:rFonts w:ascii="Arial" w:hAnsi="Arial" w:cs="Arial"/>
          <w:sz w:val="24"/>
          <w:szCs w:val="24"/>
          <w:lang w:val="en-US"/>
        </w:rPr>
        <w:t xml:space="preserve">and the Head of Admissions (where applicable) </w:t>
      </w:r>
      <w:r w:rsidRPr="0047363F">
        <w:rPr>
          <w:rFonts w:ascii="Arial" w:hAnsi="Arial" w:cs="Arial"/>
          <w:sz w:val="24"/>
          <w:szCs w:val="24"/>
          <w:lang w:val="en-US"/>
        </w:rPr>
        <w:t xml:space="preserve">to obtain their commentary. </w:t>
      </w:r>
    </w:p>
    <w:p w:rsidRPr="00F0440E" w:rsidR="00B3433E" w:rsidP="00F72090" w:rsidRDefault="00B3433E" w14:paraId="767AD370" w14:textId="727D4968">
      <w:pPr>
        <w:pStyle w:val="ListParagraph"/>
        <w:numPr>
          <w:ilvl w:val="1"/>
          <w:numId w:val="9"/>
        </w:numPr>
        <w:snapToGrid/>
        <w:spacing w:after="120" w:line="276" w:lineRule="auto"/>
        <w:ind w:left="851" w:hanging="567"/>
        <w:contextualSpacing w:val="0"/>
        <w:rPr>
          <w:rFonts w:ascii="Arial" w:hAnsi="Arial" w:cs="Arial"/>
          <w:bCs/>
          <w:sz w:val="24"/>
          <w:szCs w:val="24"/>
        </w:rPr>
      </w:pPr>
      <w:r w:rsidRPr="00F0440E">
        <w:rPr>
          <w:rFonts w:ascii="Arial" w:hAnsi="Arial" w:cs="Arial"/>
          <w:sz w:val="24"/>
          <w:szCs w:val="24"/>
          <w:lang w:val="en-US"/>
        </w:rPr>
        <w:t xml:space="preserve">The approval of the DVC Education and Student Experience </w:t>
      </w:r>
      <w:r w:rsidR="00C1582A">
        <w:rPr>
          <w:rFonts w:ascii="Arial" w:hAnsi="Arial" w:cs="Arial"/>
          <w:sz w:val="24"/>
          <w:szCs w:val="24"/>
          <w:lang w:val="en-US"/>
        </w:rPr>
        <w:t xml:space="preserve">and the DVC </w:t>
      </w:r>
      <w:r w:rsidRPr="00F0440E" w:rsidR="00C1582A">
        <w:rPr>
          <w:rFonts w:ascii="Arial" w:hAnsi="Arial" w:cs="Arial"/>
          <w:sz w:val="24"/>
          <w:szCs w:val="24"/>
          <w:lang w:val="en-US"/>
        </w:rPr>
        <w:t xml:space="preserve">Academic Strategy, Planning and Performance </w:t>
      </w:r>
      <w:r w:rsidRPr="00F0440E">
        <w:rPr>
          <w:rFonts w:ascii="Arial" w:hAnsi="Arial" w:cs="Arial"/>
          <w:sz w:val="24"/>
          <w:szCs w:val="24"/>
          <w:lang w:val="en-US"/>
        </w:rPr>
        <w:t>will normally only be required for courses. However, certain changes to modules, such as suspending a module with a high number of students, may be referred to the DVC</w:t>
      </w:r>
      <w:r w:rsidR="00C1582A">
        <w:rPr>
          <w:rFonts w:ascii="Arial" w:hAnsi="Arial" w:cs="Arial"/>
          <w:sz w:val="24"/>
          <w:szCs w:val="24"/>
          <w:lang w:val="en-US"/>
        </w:rPr>
        <w:t xml:space="preserve">s </w:t>
      </w:r>
      <w:r w:rsidRPr="00F0440E">
        <w:rPr>
          <w:rFonts w:ascii="Arial" w:hAnsi="Arial" w:cs="Arial"/>
          <w:sz w:val="24"/>
          <w:szCs w:val="24"/>
          <w:lang w:val="en-US"/>
        </w:rPr>
        <w:t>for consideration.</w:t>
      </w:r>
    </w:p>
    <w:p w:rsidR="00B3433E" w:rsidP="00C1582A" w:rsidRDefault="00B3433E" w14:paraId="1540408B" w14:textId="61A1CAD5">
      <w:pPr>
        <w:pStyle w:val="Heading1"/>
        <w:tabs>
          <w:tab w:val="left" w:pos="567"/>
          <w:tab w:val="left" w:pos="709"/>
        </w:tabs>
      </w:pPr>
      <w:bookmarkStart w:name="_Toc139191706" w:id="17"/>
      <w:r>
        <w:t>CMA Risk Assessments for Courses</w:t>
      </w:r>
      <w:bookmarkEnd w:id="17"/>
    </w:p>
    <w:p w:rsidRPr="00F0440E" w:rsidR="00B3433E" w:rsidP="00F72090" w:rsidRDefault="00B3433E" w14:paraId="734F2EB1" w14:textId="708D564B">
      <w:pPr>
        <w:pStyle w:val="NormalWeb"/>
        <w:numPr>
          <w:ilvl w:val="1"/>
          <w:numId w:val="10"/>
        </w:numPr>
        <w:spacing w:before="0" w:beforeAutospacing="0" w:after="120" w:afterAutospacing="0" w:line="276" w:lineRule="auto"/>
        <w:ind w:left="851" w:hanging="567"/>
        <w:rPr>
          <w:rFonts w:ascii="Arial" w:hAnsi="Arial" w:cs="Arial"/>
          <w:bCs/>
        </w:rPr>
      </w:pPr>
      <w:r w:rsidRPr="00F0440E">
        <w:rPr>
          <w:rFonts w:ascii="Arial" w:hAnsi="Arial" w:cs="Arial"/>
          <w:bCs/>
        </w:rPr>
        <w:t>The CMA Risk Assessment must be requested in advance of the submission of the proposal to the Course Approval Sub-Committee (CASC)</w:t>
      </w:r>
      <w:r w:rsidRPr="00F0440E">
        <w:rPr>
          <w:rStyle w:val="FootnoteReference"/>
          <w:rFonts w:ascii="Arial" w:hAnsi="Arial" w:cs="Arial"/>
          <w:bCs/>
        </w:rPr>
        <w:footnoteReference w:id="8"/>
      </w:r>
      <w:r w:rsidRPr="00F0440E">
        <w:rPr>
          <w:rFonts w:ascii="Arial" w:hAnsi="Arial" w:cs="Arial"/>
          <w:bCs/>
        </w:rPr>
        <w:t>.</w:t>
      </w:r>
    </w:p>
    <w:p w:rsidRPr="00F0440E" w:rsidR="00B3433E" w:rsidP="00F72090" w:rsidRDefault="00B3433E" w14:paraId="05F54809" w14:textId="1D523B00">
      <w:pPr>
        <w:pStyle w:val="NormalWeb"/>
        <w:numPr>
          <w:ilvl w:val="1"/>
          <w:numId w:val="10"/>
        </w:numPr>
        <w:spacing w:before="0" w:beforeAutospacing="0" w:after="120" w:afterAutospacing="0" w:line="276" w:lineRule="auto"/>
        <w:ind w:left="851" w:hanging="567"/>
        <w:rPr>
          <w:rFonts w:ascii="Arial" w:hAnsi="Arial" w:cs="Arial"/>
          <w:bCs/>
        </w:rPr>
      </w:pPr>
      <w:r w:rsidRPr="00F0440E">
        <w:rPr>
          <w:rFonts w:ascii="Arial" w:hAnsi="Arial" w:cs="Arial"/>
          <w:bCs/>
        </w:rPr>
        <w:t xml:space="preserve">It is also advisable to seek the </w:t>
      </w:r>
      <w:r w:rsidR="00C1582A">
        <w:rPr>
          <w:rFonts w:ascii="Arial" w:hAnsi="Arial" w:cs="Arial"/>
          <w:bCs/>
        </w:rPr>
        <w:t xml:space="preserve">risk </w:t>
      </w:r>
      <w:r w:rsidRPr="00F0440E">
        <w:rPr>
          <w:rFonts w:ascii="Arial" w:hAnsi="Arial" w:cs="Arial"/>
          <w:bCs/>
        </w:rPr>
        <w:t xml:space="preserve">assessment prior to any deliberations about the changes as these may impact on the outcome. </w:t>
      </w:r>
    </w:p>
    <w:p w:rsidRPr="00F0440E" w:rsidR="00B3433E" w:rsidP="00F72090" w:rsidRDefault="00B3433E" w14:paraId="11A8A1C9" w14:textId="77777777">
      <w:pPr>
        <w:pStyle w:val="NormalWeb"/>
        <w:numPr>
          <w:ilvl w:val="1"/>
          <w:numId w:val="10"/>
        </w:numPr>
        <w:spacing w:before="0" w:beforeAutospacing="0" w:after="120" w:afterAutospacing="0" w:line="276" w:lineRule="auto"/>
        <w:ind w:left="851" w:hanging="567"/>
        <w:rPr>
          <w:rFonts w:ascii="Arial" w:hAnsi="Arial" w:cs="Arial"/>
          <w:bCs/>
        </w:rPr>
      </w:pPr>
      <w:r w:rsidRPr="00F0440E">
        <w:rPr>
          <w:rStyle w:val="normaltextrun"/>
          <w:rFonts w:ascii="Arial" w:hAnsi="Arial" w:cs="Arial"/>
          <w:color w:val="000000"/>
          <w:shd w:val="clear" w:color="auto" w:fill="FFFFFF"/>
        </w:rPr>
        <w:t>CASC will not consider proposals that have failed to undergo a risk assessment. </w:t>
      </w:r>
      <w:r w:rsidRPr="00F0440E">
        <w:rPr>
          <w:rStyle w:val="eop"/>
          <w:rFonts w:ascii="Arial" w:hAnsi="Arial" w:cs="Arial"/>
          <w:color w:val="000000"/>
          <w:shd w:val="clear" w:color="auto" w:fill="FFFFFF"/>
        </w:rPr>
        <w:t> </w:t>
      </w:r>
      <w:r w:rsidRPr="00F0440E">
        <w:rPr>
          <w:rFonts w:ascii="Arial" w:hAnsi="Arial" w:cs="Arial"/>
        </w:rPr>
        <w:t xml:space="preserve">  </w:t>
      </w:r>
    </w:p>
    <w:p w:rsidRPr="00F0440E" w:rsidR="00B3433E" w:rsidP="00F72090" w:rsidRDefault="00B3433E" w14:paraId="5B36B940" w14:textId="430747F8">
      <w:pPr>
        <w:pStyle w:val="NormalWeb"/>
        <w:numPr>
          <w:ilvl w:val="1"/>
          <w:numId w:val="10"/>
        </w:numPr>
        <w:spacing w:before="0" w:beforeAutospacing="0" w:after="120" w:afterAutospacing="0" w:line="276" w:lineRule="auto"/>
        <w:ind w:left="851" w:hanging="567"/>
        <w:rPr>
          <w:rFonts w:ascii="Arial" w:hAnsi="Arial" w:cs="Arial"/>
        </w:rPr>
      </w:pPr>
      <w:r w:rsidRPr="07F217DE">
        <w:rPr>
          <w:rFonts w:ascii="Arial" w:hAnsi="Arial" w:cs="Arial"/>
        </w:rPr>
        <w:t xml:space="preserve">Requests to suspend or withdraw the course must </w:t>
      </w:r>
      <w:r w:rsidRPr="07F217DE" w:rsidR="1AD1009C">
        <w:rPr>
          <w:rFonts w:ascii="Arial" w:hAnsi="Arial" w:cs="Arial"/>
        </w:rPr>
        <w:t>be accompanied by a</w:t>
      </w:r>
      <w:r w:rsidRPr="07F217DE">
        <w:rPr>
          <w:rFonts w:ascii="Arial" w:hAnsi="Arial" w:cs="Arial"/>
        </w:rPr>
        <w:t xml:space="preserve"> CMA Risk Assessment. This includes recommendations to suspend/withdraw courses made as part of the Annual Portfolio Reviews, or </w:t>
      </w:r>
      <w:r w:rsidRPr="07F217DE" w:rsidR="00C1582A">
        <w:rPr>
          <w:rFonts w:ascii="Arial" w:hAnsi="Arial" w:cs="Arial"/>
        </w:rPr>
        <w:t xml:space="preserve">via </w:t>
      </w:r>
      <w:r w:rsidRPr="07F217DE">
        <w:rPr>
          <w:rFonts w:ascii="Arial" w:hAnsi="Arial" w:cs="Arial"/>
        </w:rPr>
        <w:t>any other process.</w:t>
      </w:r>
    </w:p>
    <w:p w:rsidRPr="00F0440E" w:rsidR="00017E1C" w:rsidP="00F72090" w:rsidRDefault="00017E1C" w14:paraId="0E773A70" w14:textId="6EBFFCC7">
      <w:pPr>
        <w:pStyle w:val="NormalWeb"/>
        <w:numPr>
          <w:ilvl w:val="1"/>
          <w:numId w:val="10"/>
        </w:numPr>
        <w:spacing w:before="0" w:beforeAutospacing="0" w:after="120" w:afterAutospacing="0" w:line="276" w:lineRule="auto"/>
        <w:ind w:left="851" w:hanging="567"/>
        <w:rPr>
          <w:rFonts w:ascii="Arial" w:hAnsi="Arial" w:cs="Arial"/>
          <w:bCs/>
        </w:rPr>
      </w:pPr>
      <w:r w:rsidRPr="00F0440E">
        <w:rPr>
          <w:rFonts w:ascii="Arial" w:hAnsi="Arial" w:cs="Arial"/>
        </w:rPr>
        <w:t xml:space="preserve">Where a </w:t>
      </w:r>
      <w:proofErr w:type="gramStart"/>
      <w:r w:rsidRPr="00F0440E">
        <w:rPr>
          <w:rFonts w:ascii="Arial" w:hAnsi="Arial" w:cs="Arial"/>
        </w:rPr>
        <w:t>Division</w:t>
      </w:r>
      <w:proofErr w:type="gramEnd"/>
      <w:r w:rsidRPr="00F0440E">
        <w:rPr>
          <w:rFonts w:ascii="Arial" w:hAnsi="Arial" w:cs="Arial"/>
        </w:rPr>
        <w:t xml:space="preserve"> proposes that a course </w:t>
      </w:r>
      <w:r w:rsidR="00C1582A">
        <w:rPr>
          <w:rFonts w:ascii="Arial" w:hAnsi="Arial" w:cs="Arial"/>
        </w:rPr>
        <w:t>is</w:t>
      </w:r>
      <w:r w:rsidRPr="00F0440E">
        <w:rPr>
          <w:rFonts w:ascii="Arial" w:hAnsi="Arial" w:cs="Arial"/>
        </w:rPr>
        <w:t xml:space="preserve"> withdrawn, the University’s Student Protection Plan</w:t>
      </w:r>
      <w:r w:rsidRPr="00F0440E">
        <w:rPr>
          <w:rStyle w:val="FootnoteReference"/>
          <w:rFonts w:ascii="Arial" w:hAnsi="Arial" w:cs="Arial"/>
        </w:rPr>
        <w:footnoteReference w:id="9"/>
      </w:r>
      <w:r w:rsidRPr="00F0440E">
        <w:rPr>
          <w:rFonts w:ascii="Arial" w:hAnsi="Arial" w:cs="Arial"/>
        </w:rPr>
        <w:t xml:space="preserve"> may be instigated.</w:t>
      </w:r>
    </w:p>
    <w:p w:rsidRPr="00F0440E" w:rsidR="00CD2421" w:rsidP="00F72090" w:rsidRDefault="00CD2421" w14:paraId="679CF190" w14:textId="703E61A2">
      <w:pPr>
        <w:pStyle w:val="NormalWeb"/>
        <w:numPr>
          <w:ilvl w:val="1"/>
          <w:numId w:val="10"/>
        </w:numPr>
        <w:spacing w:before="0" w:beforeAutospacing="0" w:after="120" w:afterAutospacing="0" w:line="276" w:lineRule="auto"/>
        <w:ind w:left="851" w:hanging="567"/>
        <w:rPr>
          <w:rFonts w:ascii="Arial" w:hAnsi="Arial" w:cs="Arial"/>
        </w:rPr>
      </w:pPr>
      <w:r w:rsidRPr="07F217DE">
        <w:rPr>
          <w:rFonts w:ascii="Arial" w:hAnsi="Arial" w:cs="Arial"/>
        </w:rPr>
        <w:t xml:space="preserve">Where student consultation is required (see section </w:t>
      </w:r>
      <w:r w:rsidRPr="07F217DE" w:rsidR="00C1582A">
        <w:rPr>
          <w:rFonts w:ascii="Arial" w:hAnsi="Arial" w:cs="Arial"/>
        </w:rPr>
        <w:t>16 below</w:t>
      </w:r>
      <w:r w:rsidRPr="07F217DE">
        <w:rPr>
          <w:rFonts w:ascii="Arial" w:hAnsi="Arial" w:cs="Arial"/>
        </w:rPr>
        <w:t xml:space="preserve">), </w:t>
      </w:r>
      <w:r w:rsidRPr="07F217DE" w:rsidR="2F9109E1">
        <w:rPr>
          <w:rFonts w:ascii="Arial" w:hAnsi="Arial" w:cs="Arial"/>
        </w:rPr>
        <w:t>this must be</w:t>
      </w:r>
      <w:r w:rsidRPr="07F217DE">
        <w:rPr>
          <w:rFonts w:ascii="Arial" w:hAnsi="Arial" w:cs="Arial"/>
        </w:rPr>
        <w:t xml:space="preserve"> completed prior to seeking the CMA Risk Assessment.</w:t>
      </w:r>
    </w:p>
    <w:p w:rsidRPr="00F0440E" w:rsidR="00B3433E" w:rsidP="00F72090" w:rsidRDefault="00B3433E" w14:paraId="60AB39FC" w14:textId="6960399F">
      <w:pPr>
        <w:pStyle w:val="NormalWeb"/>
        <w:numPr>
          <w:ilvl w:val="1"/>
          <w:numId w:val="10"/>
        </w:numPr>
        <w:spacing w:before="0" w:beforeAutospacing="0" w:after="120" w:afterAutospacing="0" w:line="276" w:lineRule="auto"/>
        <w:ind w:left="851" w:hanging="567"/>
        <w:rPr>
          <w:rFonts w:ascii="Arial" w:hAnsi="Arial" w:cs="Arial"/>
        </w:rPr>
      </w:pPr>
      <w:r w:rsidRPr="07F217DE">
        <w:rPr>
          <w:rFonts w:ascii="Arial" w:hAnsi="Arial" w:cs="Arial"/>
        </w:rPr>
        <w:t xml:space="preserve">Divisions should seek </w:t>
      </w:r>
      <w:r w:rsidRPr="07F217DE" w:rsidR="6DDA788E">
        <w:rPr>
          <w:rFonts w:ascii="Arial" w:hAnsi="Arial" w:cs="Arial"/>
        </w:rPr>
        <w:t>a</w:t>
      </w:r>
      <w:r w:rsidRPr="07F217DE">
        <w:rPr>
          <w:rFonts w:ascii="Arial" w:hAnsi="Arial" w:cs="Arial"/>
        </w:rPr>
        <w:t xml:space="preserve"> CMA Risk Assessment for Courses by submitting an online form</w:t>
      </w:r>
      <w:r w:rsidRPr="07F217DE">
        <w:rPr>
          <w:rStyle w:val="FootnoteReference"/>
          <w:rFonts w:ascii="Arial" w:hAnsi="Arial" w:cs="Arial"/>
        </w:rPr>
        <w:footnoteReference w:id="10"/>
      </w:r>
      <w:r w:rsidRPr="07F217DE">
        <w:rPr>
          <w:rFonts w:ascii="Arial" w:hAnsi="Arial" w:cs="Arial"/>
        </w:rPr>
        <w:t xml:space="preserve">. </w:t>
      </w:r>
    </w:p>
    <w:p w:rsidRPr="00F0440E" w:rsidR="00B3433E" w:rsidP="00F72090" w:rsidRDefault="3EAABCA8" w14:paraId="2DB93632" w14:textId="41B7E094">
      <w:pPr>
        <w:pStyle w:val="NormalWeb"/>
        <w:numPr>
          <w:ilvl w:val="1"/>
          <w:numId w:val="10"/>
        </w:numPr>
        <w:spacing w:before="0" w:beforeAutospacing="0" w:after="120" w:afterAutospacing="0" w:line="276" w:lineRule="auto"/>
        <w:ind w:left="851" w:hanging="567"/>
        <w:rPr>
          <w:rFonts w:ascii="Arial" w:hAnsi="Arial" w:cs="Arial"/>
        </w:rPr>
      </w:pPr>
      <w:r w:rsidRPr="07F217DE">
        <w:rPr>
          <w:rFonts w:ascii="Arial" w:hAnsi="Arial" w:cs="Arial"/>
        </w:rPr>
        <w:t xml:space="preserve">The </w:t>
      </w:r>
      <w:r w:rsidRPr="07F217DE" w:rsidR="00B3433E">
        <w:rPr>
          <w:rFonts w:ascii="Arial" w:hAnsi="Arial" w:cs="Arial"/>
        </w:rPr>
        <w:t>Quality Assurance and Compliance Office (QACO) will normally process the request within five working days.</w:t>
      </w:r>
    </w:p>
    <w:p w:rsidRPr="0047363F" w:rsidR="00CD2421" w:rsidP="0047363F" w:rsidRDefault="00B3433E" w14:paraId="2FD831A2" w14:textId="4DE24B2A">
      <w:pPr>
        <w:pStyle w:val="NormalWeb"/>
        <w:numPr>
          <w:ilvl w:val="1"/>
          <w:numId w:val="10"/>
        </w:numPr>
        <w:spacing w:before="0" w:beforeAutospacing="0" w:after="120" w:afterAutospacing="0" w:line="276" w:lineRule="auto"/>
        <w:ind w:left="851" w:hanging="567"/>
        <w:rPr>
          <w:rFonts w:ascii="Arial" w:hAnsi="Arial" w:cs="Arial"/>
          <w:bCs/>
        </w:rPr>
      </w:pPr>
      <w:r w:rsidRPr="00F0440E">
        <w:rPr>
          <w:rFonts w:ascii="Arial" w:hAnsi="Arial" w:cs="Arial"/>
          <w:lang w:val="en-US"/>
        </w:rPr>
        <w:t>Where the risk level has been identified as high, the CMA Risk Assessment will be referred to the Deputy Vice Chancellor (DVC) Academic Strategy, Planning and Performance</w:t>
      </w:r>
      <w:r w:rsidR="007242E9">
        <w:rPr>
          <w:rFonts w:ascii="Arial" w:hAnsi="Arial" w:cs="Arial"/>
          <w:lang w:val="en-US"/>
        </w:rPr>
        <w:t xml:space="preserve">, </w:t>
      </w:r>
      <w:r w:rsidRPr="00F0440E">
        <w:rPr>
          <w:rFonts w:ascii="Arial" w:hAnsi="Arial" w:cs="Arial"/>
          <w:lang w:val="en-US"/>
        </w:rPr>
        <w:t xml:space="preserve">the Deputy Vice Chancellor (DVC) Education and Student </w:t>
      </w:r>
      <w:r w:rsidRPr="00F0440E">
        <w:rPr>
          <w:rFonts w:ascii="Arial" w:hAnsi="Arial" w:cs="Arial"/>
          <w:lang w:val="en-US"/>
        </w:rPr>
        <w:lastRenderedPageBreak/>
        <w:t xml:space="preserve">Experience </w:t>
      </w:r>
      <w:r w:rsidR="00753789">
        <w:rPr>
          <w:rFonts w:ascii="Arial" w:hAnsi="Arial" w:cs="Arial"/>
          <w:lang w:val="en-US"/>
        </w:rPr>
        <w:t xml:space="preserve">and </w:t>
      </w:r>
      <w:r w:rsidRPr="0047363F" w:rsidR="00753789">
        <w:rPr>
          <w:rFonts w:ascii="Arial" w:hAnsi="Arial" w:cs="Arial"/>
          <w:lang w:val="en-US"/>
        </w:rPr>
        <w:t>the Head of Admissions</w:t>
      </w:r>
      <w:r w:rsidRPr="001B307C" w:rsidR="007242E9">
        <w:rPr>
          <w:rFonts w:ascii="Arial" w:hAnsi="Arial" w:cs="Arial"/>
          <w:lang w:val="en-US"/>
        </w:rPr>
        <w:t>, where appropriate,</w:t>
      </w:r>
      <w:r w:rsidR="007242E9">
        <w:rPr>
          <w:rFonts w:ascii="Arial" w:hAnsi="Arial" w:cs="Arial"/>
          <w:lang w:val="en-US"/>
        </w:rPr>
        <w:t xml:space="preserve"> </w:t>
      </w:r>
      <w:r w:rsidRPr="00F0440E">
        <w:rPr>
          <w:rFonts w:ascii="Arial" w:hAnsi="Arial" w:cs="Arial"/>
          <w:lang w:val="en-US"/>
        </w:rPr>
        <w:t>prior to submission to CASC, as per 9.</w:t>
      </w:r>
      <w:r w:rsidR="00F0440E">
        <w:rPr>
          <w:rFonts w:ascii="Arial" w:hAnsi="Arial" w:cs="Arial"/>
          <w:lang w:val="en-US"/>
        </w:rPr>
        <w:t>6</w:t>
      </w:r>
      <w:r w:rsidRPr="00F0440E">
        <w:rPr>
          <w:rFonts w:ascii="Arial" w:hAnsi="Arial" w:cs="Arial"/>
          <w:lang w:val="en-US"/>
        </w:rPr>
        <w:t xml:space="preserve"> above.</w:t>
      </w:r>
    </w:p>
    <w:p w:rsidR="00CD2421" w:rsidP="00A838B3" w:rsidRDefault="00CD2421" w14:paraId="5ADBCEFF" w14:textId="74C9FE5A">
      <w:pPr>
        <w:pStyle w:val="Heading1"/>
        <w:tabs>
          <w:tab w:val="left" w:pos="567"/>
        </w:tabs>
      </w:pPr>
      <w:bookmarkStart w:name="_Toc139191707" w:id="18"/>
      <w:r>
        <w:t>CMA Risk Assessment for Modules</w:t>
      </w:r>
      <w:bookmarkEnd w:id="18"/>
    </w:p>
    <w:p w:rsidRPr="00F0440E" w:rsidR="00F0440E" w:rsidP="00F72090" w:rsidRDefault="00CD2421" w14:paraId="0D602036" w14:textId="77777777">
      <w:pPr>
        <w:pStyle w:val="ListParagraph"/>
        <w:numPr>
          <w:ilvl w:val="1"/>
          <w:numId w:val="11"/>
        </w:numPr>
        <w:snapToGrid/>
        <w:spacing w:after="120" w:line="276" w:lineRule="auto"/>
        <w:ind w:left="851" w:hanging="567"/>
        <w:contextualSpacing w:val="0"/>
        <w:rPr>
          <w:rFonts w:ascii="Arial" w:hAnsi="Arial" w:cs="Arial"/>
          <w:sz w:val="24"/>
          <w:szCs w:val="24"/>
          <w:lang w:val="en-US"/>
        </w:rPr>
      </w:pPr>
      <w:r w:rsidRPr="00F0440E">
        <w:rPr>
          <w:rFonts w:ascii="Arial" w:hAnsi="Arial" w:cs="Arial"/>
          <w:sz w:val="24"/>
          <w:szCs w:val="24"/>
          <w:lang w:val="en-US"/>
        </w:rPr>
        <w:t>Where the CMA material information is altered, changes must be considered for both optional and compulsory modules.</w:t>
      </w:r>
    </w:p>
    <w:p w:rsidRPr="00F0440E" w:rsidR="00F0440E" w:rsidP="00F72090" w:rsidRDefault="20478EDE" w14:paraId="6862324B" w14:textId="33578BB4">
      <w:pPr>
        <w:pStyle w:val="ListParagraph"/>
        <w:numPr>
          <w:ilvl w:val="1"/>
          <w:numId w:val="11"/>
        </w:numPr>
        <w:snapToGrid/>
        <w:spacing w:after="120" w:line="276" w:lineRule="auto"/>
        <w:ind w:left="851" w:hanging="567"/>
        <w:rPr>
          <w:rFonts w:ascii="Arial" w:hAnsi="Arial" w:cs="Arial"/>
          <w:sz w:val="24"/>
          <w:szCs w:val="24"/>
          <w:lang w:val="en-US"/>
        </w:rPr>
      </w:pPr>
      <w:r w:rsidRPr="00F0440E">
        <w:rPr>
          <w:rFonts w:ascii="Arial" w:hAnsi="Arial" w:cs="Arial"/>
          <w:sz w:val="24"/>
          <w:szCs w:val="24"/>
          <w:lang w:val="en-US"/>
        </w:rPr>
        <w:t>C</w:t>
      </w:r>
      <w:r w:rsidRPr="00F0440E" w:rsidR="00CD2421">
        <w:rPr>
          <w:rFonts w:ascii="Arial" w:hAnsi="Arial" w:cs="Arial"/>
          <w:sz w:val="24"/>
          <w:szCs w:val="24"/>
          <w:lang w:val="en-US"/>
        </w:rPr>
        <w:t>areful consideration</w:t>
      </w:r>
      <w:r w:rsidRPr="00F0440E" w:rsidR="00CD2421">
        <w:rPr>
          <w:rStyle w:val="FootnoteReference"/>
          <w:rFonts w:ascii="Arial" w:hAnsi="Arial" w:cs="Arial"/>
          <w:sz w:val="24"/>
          <w:szCs w:val="24"/>
          <w:lang w:val="en-US"/>
        </w:rPr>
        <w:footnoteReference w:id="11"/>
      </w:r>
      <w:r w:rsidRPr="00F0440E" w:rsidR="00CD2421">
        <w:rPr>
          <w:rFonts w:ascii="Arial" w:hAnsi="Arial" w:cs="Arial"/>
          <w:sz w:val="24"/>
          <w:szCs w:val="24"/>
          <w:lang w:val="en-US"/>
        </w:rPr>
        <w:t xml:space="preserve"> must be given when requesting changes to modules after</w:t>
      </w:r>
      <w:r w:rsidRPr="07F217DE" w:rsidDel="00CD2421" w:rsidR="00CD2421">
        <w:rPr>
          <w:rFonts w:ascii="Arial" w:hAnsi="Arial" w:cs="Arial"/>
          <w:sz w:val="24"/>
          <w:szCs w:val="24"/>
          <w:lang w:val="en-US"/>
        </w:rPr>
        <w:t xml:space="preserve"> </w:t>
      </w:r>
      <w:r w:rsidRPr="00F0440E" w:rsidR="00CD2421">
        <w:rPr>
          <w:rFonts w:ascii="Arial" w:hAnsi="Arial" w:cs="Arial"/>
          <w:sz w:val="24"/>
          <w:szCs w:val="24"/>
          <w:lang w:val="en-US"/>
        </w:rPr>
        <w:t>Online Module Registration (OMR) opens</w:t>
      </w:r>
      <w:r w:rsidRPr="00F0440E" w:rsidR="007C2A85">
        <w:rPr>
          <w:rFonts w:ascii="Arial" w:hAnsi="Arial" w:cs="Arial"/>
          <w:sz w:val="24"/>
          <w:szCs w:val="24"/>
          <w:lang w:val="en-US"/>
        </w:rPr>
        <w:t>.</w:t>
      </w:r>
    </w:p>
    <w:p w:rsidRPr="00F0440E" w:rsidR="00F0440E" w:rsidP="00F72090" w:rsidRDefault="007C2A85" w14:paraId="59ABBCCE" w14:textId="6E2DE1BB">
      <w:pPr>
        <w:pStyle w:val="ListParagraph"/>
        <w:numPr>
          <w:ilvl w:val="1"/>
          <w:numId w:val="11"/>
        </w:numPr>
        <w:snapToGrid/>
        <w:spacing w:after="120" w:line="276" w:lineRule="auto"/>
        <w:ind w:left="851" w:hanging="567"/>
        <w:rPr>
          <w:rFonts w:ascii="Arial" w:hAnsi="Arial" w:cs="Arial"/>
          <w:sz w:val="24"/>
          <w:szCs w:val="24"/>
          <w:lang w:val="en-US"/>
        </w:rPr>
      </w:pPr>
      <w:r w:rsidRPr="07F217DE">
        <w:rPr>
          <w:rFonts w:ascii="Arial" w:hAnsi="Arial" w:cs="Arial"/>
          <w:sz w:val="24"/>
          <w:szCs w:val="24"/>
          <w:lang w:val="en-US"/>
        </w:rPr>
        <w:t>Where Divisions make changes after</w:t>
      </w:r>
      <w:r w:rsidRPr="07F217DE" w:rsidDel="007C2A85">
        <w:rPr>
          <w:rFonts w:ascii="Arial" w:hAnsi="Arial" w:cs="Arial"/>
          <w:sz w:val="24"/>
          <w:szCs w:val="24"/>
          <w:lang w:val="en-US"/>
        </w:rPr>
        <w:t xml:space="preserve"> </w:t>
      </w:r>
      <w:r w:rsidRPr="07F217DE">
        <w:rPr>
          <w:rFonts w:ascii="Arial" w:hAnsi="Arial" w:cs="Arial"/>
          <w:sz w:val="24"/>
          <w:szCs w:val="24"/>
          <w:lang w:val="en-US"/>
        </w:rPr>
        <w:t>OMR opens, t</w:t>
      </w:r>
      <w:r w:rsidRPr="07F217DE" w:rsidR="00CD2421">
        <w:rPr>
          <w:rFonts w:ascii="Arial" w:hAnsi="Arial" w:cs="Arial"/>
          <w:sz w:val="24"/>
          <w:szCs w:val="24"/>
        </w:rPr>
        <w:t>he CMA Risk Assessment will be required before changes can be made by the Central Student Administration Office (CSAO)</w:t>
      </w:r>
      <w:r w:rsidRPr="07F217DE">
        <w:rPr>
          <w:rFonts w:ascii="Arial" w:hAnsi="Arial" w:cs="Arial"/>
          <w:sz w:val="24"/>
          <w:szCs w:val="24"/>
        </w:rPr>
        <w:t xml:space="preserve">. This includes suspending optional and/or elective modules </w:t>
      </w:r>
      <w:r w:rsidRPr="07F217DE">
        <w:rPr>
          <w:rFonts w:ascii="Arial" w:hAnsi="Arial" w:cs="Arial"/>
          <w:sz w:val="24"/>
          <w:szCs w:val="24"/>
          <w:lang w:val="en-US"/>
        </w:rPr>
        <w:t>due to low registration numbers.</w:t>
      </w:r>
    </w:p>
    <w:p w:rsidRPr="00F0440E" w:rsidR="00F0440E" w:rsidP="00F72090" w:rsidRDefault="00CD2421" w14:paraId="1DD61276" w14:textId="670CB566">
      <w:pPr>
        <w:pStyle w:val="ListParagraph"/>
        <w:numPr>
          <w:ilvl w:val="1"/>
          <w:numId w:val="11"/>
        </w:numPr>
        <w:snapToGrid/>
        <w:spacing w:after="120" w:line="276" w:lineRule="auto"/>
        <w:ind w:left="851" w:hanging="567"/>
        <w:rPr>
          <w:rFonts w:ascii="Arial" w:hAnsi="Arial" w:cs="Arial"/>
          <w:sz w:val="24"/>
          <w:szCs w:val="24"/>
          <w:lang w:val="en-US"/>
        </w:rPr>
      </w:pPr>
      <w:r w:rsidRPr="07F217DE">
        <w:rPr>
          <w:rFonts w:ascii="Arial" w:hAnsi="Arial" w:cs="Arial"/>
          <w:sz w:val="24"/>
          <w:szCs w:val="24"/>
          <w:lang w:val="en-US"/>
        </w:rPr>
        <w:t>Student</w:t>
      </w:r>
      <w:r w:rsidRPr="07F217DE" w:rsidR="007C2A85">
        <w:rPr>
          <w:rFonts w:ascii="Arial" w:hAnsi="Arial" w:cs="Arial"/>
          <w:sz w:val="24"/>
          <w:szCs w:val="24"/>
          <w:lang w:val="en-US"/>
        </w:rPr>
        <w:t>s</w:t>
      </w:r>
      <w:r w:rsidRPr="07F217DE">
        <w:rPr>
          <w:rFonts w:ascii="Arial" w:hAnsi="Arial" w:cs="Arial"/>
          <w:sz w:val="24"/>
          <w:szCs w:val="24"/>
          <w:lang w:val="en-US"/>
        </w:rPr>
        <w:t xml:space="preserve"> that are affected by</w:t>
      </w:r>
      <w:r w:rsidRPr="07F217DE" w:rsidDel="00CD2421">
        <w:rPr>
          <w:rFonts w:ascii="Arial" w:hAnsi="Arial" w:cs="Arial"/>
          <w:sz w:val="24"/>
          <w:szCs w:val="24"/>
          <w:lang w:val="en-US"/>
        </w:rPr>
        <w:t xml:space="preserve"> </w:t>
      </w:r>
      <w:r w:rsidRPr="07F217DE">
        <w:rPr>
          <w:rFonts w:ascii="Arial" w:hAnsi="Arial" w:cs="Arial"/>
          <w:sz w:val="24"/>
          <w:szCs w:val="24"/>
          <w:lang w:val="en-US"/>
        </w:rPr>
        <w:t>CMA material changes post OMR must not be contacted prior to the CMA Risk Assessment and approval of such change.</w:t>
      </w:r>
    </w:p>
    <w:p w:rsidRPr="00F0440E" w:rsidR="00F0440E" w:rsidP="00F72090" w:rsidRDefault="0BE2FC1D" w14:paraId="6D08B806" w14:textId="690486DD">
      <w:pPr>
        <w:pStyle w:val="ListParagraph"/>
        <w:numPr>
          <w:ilvl w:val="1"/>
          <w:numId w:val="11"/>
        </w:numPr>
        <w:snapToGrid/>
        <w:spacing w:after="120" w:line="276" w:lineRule="auto"/>
        <w:ind w:left="851" w:hanging="567"/>
        <w:rPr>
          <w:rFonts w:ascii="Arial" w:hAnsi="Arial" w:cs="Arial"/>
          <w:sz w:val="24"/>
          <w:szCs w:val="24"/>
          <w:lang w:val="en-US"/>
        </w:rPr>
      </w:pPr>
      <w:r w:rsidRPr="00F0440E">
        <w:rPr>
          <w:rFonts w:ascii="Arial" w:hAnsi="Arial" w:cs="Arial"/>
          <w:sz w:val="24"/>
          <w:szCs w:val="24"/>
          <w:lang w:val="en-US"/>
        </w:rPr>
        <w:t>A</w:t>
      </w:r>
      <w:r w:rsidRPr="07F217DE" w:rsidDel="00CD2421" w:rsidR="00CD2421">
        <w:rPr>
          <w:rFonts w:ascii="Arial" w:hAnsi="Arial" w:cs="Arial"/>
          <w:sz w:val="24"/>
          <w:szCs w:val="24"/>
          <w:lang w:val="en-US"/>
        </w:rPr>
        <w:t xml:space="preserve"> </w:t>
      </w:r>
      <w:r w:rsidRPr="00F0440E" w:rsidR="00CD2421">
        <w:rPr>
          <w:rFonts w:ascii="Arial" w:hAnsi="Arial" w:cs="Arial"/>
          <w:sz w:val="24"/>
          <w:szCs w:val="24"/>
          <w:lang w:val="en-US"/>
        </w:rPr>
        <w:t>CMA Risk Assessment for Modules</w:t>
      </w:r>
      <w:r w:rsidRPr="00F0440E" w:rsidR="00CD2421">
        <w:rPr>
          <w:rStyle w:val="FootnoteReference"/>
          <w:rFonts w:ascii="Arial" w:hAnsi="Arial" w:cs="Arial"/>
          <w:sz w:val="24"/>
          <w:szCs w:val="24"/>
          <w:lang w:val="en-US"/>
        </w:rPr>
        <w:footnoteReference w:id="12"/>
      </w:r>
      <w:r w:rsidRPr="00F0440E" w:rsidR="00CD2421">
        <w:rPr>
          <w:rFonts w:ascii="Arial" w:hAnsi="Arial" w:cs="Arial"/>
          <w:sz w:val="24"/>
          <w:szCs w:val="24"/>
          <w:lang w:val="en-US"/>
        </w:rPr>
        <w:t xml:space="preserve"> can be requested by emailing </w:t>
      </w:r>
      <w:hyperlink w:history="1" r:id="rId12">
        <w:r w:rsidRPr="00F0440E" w:rsidR="00CD2421">
          <w:rPr>
            <w:rStyle w:val="Hyperlink"/>
            <w:rFonts w:ascii="Arial" w:hAnsi="Arial" w:cs="Arial"/>
            <w:sz w:val="24"/>
            <w:szCs w:val="24"/>
            <w:lang w:val="en-US"/>
          </w:rPr>
          <w:t>kentcma@kent.ac.uk</w:t>
        </w:r>
      </w:hyperlink>
      <w:r w:rsidRPr="00F0440E" w:rsidR="00CD2421">
        <w:rPr>
          <w:rFonts w:ascii="Arial" w:hAnsi="Arial" w:cs="Arial"/>
          <w:sz w:val="24"/>
          <w:szCs w:val="24"/>
          <w:lang w:val="en-US"/>
        </w:rPr>
        <w:t>.</w:t>
      </w:r>
    </w:p>
    <w:p w:rsidRPr="00F0440E" w:rsidR="004765FD" w:rsidP="00F72090" w:rsidRDefault="7A9CF1B5" w14:paraId="0FBB258C" w14:textId="0EAA95FB">
      <w:pPr>
        <w:pStyle w:val="ListParagraph"/>
        <w:numPr>
          <w:ilvl w:val="1"/>
          <w:numId w:val="11"/>
        </w:numPr>
        <w:snapToGrid/>
        <w:spacing w:after="120" w:line="276" w:lineRule="auto"/>
        <w:ind w:left="851" w:hanging="567"/>
        <w:rPr>
          <w:rFonts w:ascii="Arial" w:hAnsi="Arial" w:cs="Arial"/>
          <w:sz w:val="24"/>
          <w:szCs w:val="24"/>
          <w:lang w:val="en-US"/>
        </w:rPr>
      </w:pPr>
      <w:r w:rsidRPr="07F217DE">
        <w:rPr>
          <w:rFonts w:ascii="Arial" w:hAnsi="Arial" w:cs="Arial"/>
          <w:sz w:val="24"/>
          <w:szCs w:val="24"/>
        </w:rPr>
        <w:t xml:space="preserve">The </w:t>
      </w:r>
      <w:r w:rsidRPr="07F217DE" w:rsidR="00CD2421">
        <w:rPr>
          <w:rFonts w:ascii="Arial" w:hAnsi="Arial" w:cs="Arial"/>
          <w:sz w:val="24"/>
          <w:szCs w:val="24"/>
        </w:rPr>
        <w:t>Quality Assurance and Compliance Office (QACO) will normally process the request within five working days.</w:t>
      </w:r>
    </w:p>
    <w:p w:rsidRPr="00147FDF" w:rsidR="004765FD" w:rsidP="00A838B3" w:rsidRDefault="004765FD" w14:paraId="622B8157" w14:textId="77777777">
      <w:pPr>
        <w:pStyle w:val="Heading1"/>
        <w:tabs>
          <w:tab w:val="clear" w:pos="993"/>
          <w:tab w:val="left" w:pos="567"/>
        </w:tabs>
      </w:pPr>
      <w:bookmarkStart w:name="_Toc139191708" w:id="19"/>
      <w:r w:rsidRPr="00147FDF">
        <w:t>Reporting Activities</w:t>
      </w:r>
      <w:bookmarkEnd w:id="19"/>
    </w:p>
    <w:p w:rsidRPr="00F0440E" w:rsidR="004765FD" w:rsidP="00F72090" w:rsidRDefault="004765FD" w14:paraId="3A0DDC05" w14:textId="150B371A">
      <w:pPr>
        <w:pStyle w:val="ListParagraph"/>
        <w:numPr>
          <w:ilvl w:val="1"/>
          <w:numId w:val="12"/>
        </w:numPr>
        <w:snapToGrid/>
        <w:spacing w:after="120" w:line="276" w:lineRule="auto"/>
        <w:ind w:left="851" w:hanging="567"/>
        <w:rPr>
          <w:rFonts w:ascii="Arial" w:hAnsi="Arial" w:cs="Arial"/>
          <w:sz w:val="24"/>
          <w:szCs w:val="24"/>
        </w:rPr>
      </w:pPr>
      <w:r w:rsidRPr="07F217DE">
        <w:rPr>
          <w:rFonts w:ascii="Arial" w:hAnsi="Arial" w:cs="Arial"/>
          <w:sz w:val="24"/>
          <w:szCs w:val="24"/>
        </w:rPr>
        <w:t>QACO will prepare an annual report on</w:t>
      </w:r>
      <w:r w:rsidRPr="07F217DE" w:rsidDel="004765FD">
        <w:rPr>
          <w:rFonts w:ascii="Arial" w:hAnsi="Arial" w:cs="Arial"/>
          <w:sz w:val="24"/>
          <w:szCs w:val="24"/>
        </w:rPr>
        <w:t xml:space="preserve"> </w:t>
      </w:r>
      <w:r w:rsidRPr="07F217DE">
        <w:rPr>
          <w:rFonts w:ascii="Arial" w:hAnsi="Arial" w:cs="Arial"/>
          <w:sz w:val="24"/>
          <w:szCs w:val="24"/>
        </w:rPr>
        <w:t>CMA Risk Assessments received that will be submitted to the Academic Standards and Quality Committee and the Student Recruitment Committee for consideration.</w:t>
      </w:r>
    </w:p>
    <w:p w:rsidRPr="00F0440E" w:rsidR="004765FD" w:rsidP="00F72090" w:rsidRDefault="004765FD" w14:paraId="40BE777F" w14:textId="77777777">
      <w:pPr>
        <w:pStyle w:val="ListParagraph"/>
        <w:numPr>
          <w:ilvl w:val="1"/>
          <w:numId w:val="12"/>
        </w:numPr>
        <w:snapToGrid/>
        <w:spacing w:after="120" w:line="276" w:lineRule="auto"/>
        <w:ind w:left="851" w:hanging="567"/>
        <w:contextualSpacing w:val="0"/>
        <w:rPr>
          <w:rFonts w:ascii="Arial" w:hAnsi="Arial" w:cs="Arial"/>
          <w:bCs/>
          <w:sz w:val="24"/>
          <w:szCs w:val="24"/>
        </w:rPr>
      </w:pPr>
      <w:r w:rsidRPr="00F0440E">
        <w:rPr>
          <w:rFonts w:ascii="Arial" w:hAnsi="Arial" w:cs="Arial"/>
          <w:bCs/>
          <w:sz w:val="24"/>
          <w:szCs w:val="24"/>
        </w:rPr>
        <w:t>The report may also include case studies, recommendations and any other matters related to the University’s compliance with the Consumer Rights Protection Law.</w:t>
      </w:r>
    </w:p>
    <w:p w:rsidR="004765FD" w:rsidP="004765FD" w:rsidRDefault="004765FD" w14:paraId="178D1F58" w14:textId="77777777">
      <w:pPr>
        <w:pStyle w:val="NormalWeb"/>
        <w:spacing w:before="0" w:beforeAutospacing="0" w:after="120" w:afterAutospacing="0"/>
        <w:ind w:left="360" w:right="95"/>
        <w:rPr>
          <w:rFonts w:ascii="Arial" w:hAnsi="Arial" w:cs="Arial"/>
          <w:bCs/>
        </w:rPr>
      </w:pPr>
    </w:p>
    <w:p w:rsidR="00CD2421" w:rsidP="00CD2421" w:rsidRDefault="00CD2421" w14:paraId="051F3C4A" w14:textId="77777777">
      <w:pPr>
        <w:pStyle w:val="NormalWeb"/>
        <w:spacing w:before="0" w:beforeAutospacing="0" w:after="120" w:afterAutospacing="0"/>
        <w:ind w:left="792" w:right="95"/>
        <w:rPr>
          <w:rFonts w:ascii="Arial" w:hAnsi="Arial" w:cs="Arial"/>
          <w:bCs/>
        </w:rPr>
      </w:pPr>
    </w:p>
    <w:p w:rsidR="00F0440E" w:rsidP="007C2A85" w:rsidRDefault="00F0440E" w14:paraId="2A7E236F" w14:textId="77777777">
      <w:pPr>
        <w:pStyle w:val="ListParagraph"/>
        <w:snapToGrid/>
        <w:spacing w:after="160" w:line="259" w:lineRule="auto"/>
        <w:ind w:left="360"/>
        <w:rPr>
          <w:szCs w:val="24"/>
          <w:lang w:val="en-US"/>
        </w:rPr>
      </w:pPr>
    </w:p>
    <w:p w:rsidR="00F0440E" w:rsidP="007C2A85" w:rsidRDefault="00F0440E" w14:paraId="6DAD33F7" w14:textId="77777777">
      <w:pPr>
        <w:pStyle w:val="ListParagraph"/>
        <w:snapToGrid/>
        <w:spacing w:after="160" w:line="259" w:lineRule="auto"/>
        <w:ind w:left="360"/>
        <w:rPr>
          <w:szCs w:val="24"/>
          <w:lang w:val="en-US"/>
        </w:rPr>
      </w:pPr>
    </w:p>
    <w:p w:rsidR="00F0440E" w:rsidP="007C2A85" w:rsidRDefault="00F0440E" w14:paraId="6D78325A" w14:textId="77777777">
      <w:pPr>
        <w:pStyle w:val="ListParagraph"/>
        <w:snapToGrid/>
        <w:spacing w:after="160" w:line="259" w:lineRule="auto"/>
        <w:ind w:left="360"/>
        <w:rPr>
          <w:szCs w:val="24"/>
          <w:lang w:val="en-US"/>
        </w:rPr>
      </w:pPr>
    </w:p>
    <w:p w:rsidRPr="006D2D38" w:rsidR="002750C2" w:rsidP="006D2D38" w:rsidRDefault="009645A9" w14:paraId="2F92BD8A" w14:textId="5B8C853D">
      <w:pPr>
        <w:tabs>
          <w:tab w:val="left" w:pos="993"/>
        </w:tabs>
        <w:snapToGrid/>
        <w:spacing w:line="276" w:lineRule="auto"/>
        <w:ind w:left="0" w:firstLine="0"/>
        <w:rPr>
          <w:bCs/>
          <w:szCs w:val="24"/>
        </w:rPr>
      </w:pPr>
      <w:r w:rsidRPr="006D2D38">
        <w:rPr>
          <w:bCs/>
          <w:szCs w:val="24"/>
        </w:rPr>
        <w:t xml:space="preserve"> </w:t>
      </w:r>
    </w:p>
    <w:sectPr w:rsidRPr="006D2D38" w:rsidR="002750C2" w:rsidSect="00D4049C">
      <w:headerReference w:type="even" r:id="rId13"/>
      <w:headerReference w:type="default" r:id="rId14"/>
      <w:footerReference w:type="default" r:id="rId15"/>
      <w:pgSz w:w="11906" w:h="16838" w:orient="portrait"/>
      <w:pgMar w:top="2702"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5730" w:rsidP="002750C2" w:rsidRDefault="00705730" w14:paraId="70D50B71" w14:textId="77777777">
      <w:pPr>
        <w:spacing w:after="0"/>
      </w:pPr>
      <w:r>
        <w:separator/>
      </w:r>
    </w:p>
  </w:endnote>
  <w:endnote w:type="continuationSeparator" w:id="0">
    <w:p w:rsidR="00705730" w:rsidP="002750C2" w:rsidRDefault="00705730" w14:paraId="7BE64495" w14:textId="77777777">
      <w:pPr>
        <w:spacing w:after="0"/>
      </w:pPr>
      <w:r>
        <w:continuationSeparator/>
      </w:r>
    </w:p>
  </w:endnote>
  <w:endnote w:type="continuationNotice" w:id="1">
    <w:p w:rsidR="00705730" w:rsidRDefault="00705730" w14:paraId="36ABF5FA"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Plantin">
    <w:altName w:val="Times New Roman"/>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260" w:rsidP="002F7E36" w:rsidRDefault="001C7260" w14:paraId="7BAD48C3" w14:textId="77777777">
    <w:pPr>
      <w:pStyle w:val="Header"/>
      <w:rPr>
        <w:rStyle w:val="normaltextrun"/>
        <w:sz w:val="20"/>
        <w:szCs w:val="20"/>
      </w:rPr>
    </w:pPr>
  </w:p>
  <w:p w:rsidRPr="00CE78AB" w:rsidR="002750C2" w:rsidP="002F7E36" w:rsidRDefault="002750C2" w14:paraId="5C2B5CAF" w14:textId="6D83FDD2">
    <w:pPr>
      <w:pStyle w:val="Header"/>
      <w:rPr>
        <w:rStyle w:val="eop"/>
        <w:sz w:val="20"/>
        <w:szCs w:val="20"/>
      </w:rPr>
    </w:pPr>
    <w:r w:rsidRPr="00CE78AB">
      <w:rPr>
        <w:rStyle w:val="normaltextrun"/>
        <w:sz w:val="20"/>
        <w:szCs w:val="20"/>
      </w:rPr>
      <w:t>Author: QACO</w:t>
    </w:r>
    <w:r w:rsidRPr="00CE78AB">
      <w:rPr>
        <w:rStyle w:val="eop"/>
        <w:sz w:val="20"/>
        <w:szCs w:val="20"/>
      </w:rPr>
      <w:t> </w:t>
    </w:r>
  </w:p>
  <w:p w:rsidRPr="00CE78AB" w:rsidR="00CE78AB" w:rsidP="002F7E36" w:rsidRDefault="00CE78AB" w14:paraId="22A29DB6" w14:textId="33D83647">
    <w:pPr>
      <w:pStyle w:val="Header"/>
      <w:rPr>
        <w:rFonts w:ascii="Segoe UI" w:hAnsi="Segoe UI" w:cs="Segoe UI"/>
        <w:sz w:val="20"/>
        <w:szCs w:val="20"/>
      </w:rPr>
    </w:pPr>
    <w:r w:rsidRPr="00CE78AB">
      <w:rPr>
        <w:rStyle w:val="eop"/>
        <w:sz w:val="20"/>
        <w:szCs w:val="20"/>
      </w:rPr>
      <w:t xml:space="preserve">Applies </w:t>
    </w:r>
    <w:proofErr w:type="gramStart"/>
    <w:r w:rsidRPr="00CE78AB">
      <w:rPr>
        <w:rStyle w:val="eop"/>
        <w:sz w:val="20"/>
        <w:szCs w:val="20"/>
      </w:rPr>
      <w:t>to:</w:t>
    </w:r>
    <w:proofErr w:type="gramEnd"/>
    <w:r w:rsidRPr="00CE78AB">
      <w:rPr>
        <w:rStyle w:val="eop"/>
        <w:sz w:val="20"/>
        <w:szCs w:val="20"/>
      </w:rPr>
      <w:t xml:space="preserve"> </w:t>
    </w:r>
    <w:r w:rsidR="00B64A10">
      <w:rPr>
        <w:rStyle w:val="eop"/>
        <w:sz w:val="20"/>
        <w:szCs w:val="20"/>
      </w:rPr>
      <w:t>2023/24</w:t>
    </w:r>
  </w:p>
  <w:p w:rsidRPr="00CE78AB" w:rsidR="002F7E36" w:rsidP="002F7E36" w:rsidRDefault="002750C2" w14:paraId="068F95BF" w14:textId="7F07C943">
    <w:pPr>
      <w:pStyle w:val="paragraph"/>
      <w:spacing w:before="0" w:beforeAutospacing="0" w:after="0" w:afterAutospacing="0"/>
      <w:textAlignment w:val="baseline"/>
      <w:rPr>
        <w:rFonts w:ascii="Arial" w:hAnsi="Arial" w:cs="Arial"/>
        <w:sz w:val="20"/>
        <w:szCs w:val="20"/>
        <w:lang w:val="en-US"/>
      </w:rPr>
    </w:pPr>
    <w:r w:rsidRPr="00CE78AB">
      <w:rPr>
        <w:rStyle w:val="normaltextrun"/>
        <w:rFonts w:ascii="Arial" w:hAnsi="Arial" w:cs="Arial"/>
        <w:sz w:val="20"/>
        <w:szCs w:val="20"/>
      </w:rPr>
      <w:t>Approved by Senate: </w:t>
    </w:r>
    <w:r w:rsidR="00B64A10">
      <w:rPr>
        <w:rStyle w:val="normaltextrun"/>
        <w:rFonts w:ascii="Arial" w:hAnsi="Arial" w:cs="Arial"/>
        <w:sz w:val="20"/>
        <w:szCs w:val="20"/>
      </w:rPr>
      <w:t>June 2023</w:t>
    </w:r>
  </w:p>
  <w:p w:rsidRPr="00CE78AB" w:rsidR="002750C2" w:rsidP="002F7E36" w:rsidRDefault="002750C2" w14:paraId="4D7070A4" w14:textId="4E185D31">
    <w:pPr>
      <w:pStyle w:val="paragraph"/>
      <w:spacing w:before="0" w:beforeAutospacing="0" w:after="0" w:afterAutospacing="0"/>
      <w:textAlignment w:val="baseline"/>
      <w:rPr>
        <w:rFonts w:ascii="Arial" w:hAnsi="Arial" w:cs="Arial"/>
        <w:sz w:val="20"/>
        <w:szCs w:val="20"/>
      </w:rPr>
    </w:pPr>
    <w:r w:rsidRPr="00CE78AB">
      <w:rPr>
        <w:rStyle w:val="normaltextrun"/>
        <w:rFonts w:ascii="Arial" w:hAnsi="Arial" w:cs="Arial"/>
        <w:sz w:val="20"/>
        <w:szCs w:val="20"/>
      </w:rPr>
      <w:t xml:space="preserve">Last Revised: </w:t>
    </w:r>
    <w:hyperlink w:history="1" r:id="rId1">
      <w:r w:rsidRPr="006D2D38" w:rsidR="00B64A10">
        <w:rPr>
          <w:rStyle w:val="Hyperlink"/>
          <w:rFonts w:ascii="Arial" w:hAnsi="Arial" w:cs="Arial"/>
          <w:sz w:val="20"/>
          <w:szCs w:val="20"/>
        </w:rPr>
        <w:t>June 2023</w:t>
      </w:r>
    </w:hyperlink>
  </w:p>
  <w:p w:rsidRPr="00CE78AB" w:rsidR="002750C2" w:rsidP="002F7E36" w:rsidRDefault="002750C2" w14:paraId="6D9E1C84" w14:textId="1E08BFC2">
    <w:pPr>
      <w:pStyle w:val="paragraph"/>
      <w:spacing w:before="0" w:beforeAutospacing="0" w:after="0" w:afterAutospacing="0"/>
      <w:textAlignment w:val="baseline"/>
      <w:rPr>
        <w:rFonts w:ascii="Segoe UI" w:hAnsi="Segoe UI" w:cs="Segoe UI"/>
        <w:sz w:val="20"/>
        <w:szCs w:val="20"/>
        <w:lang w:val="en-US"/>
      </w:rPr>
    </w:pPr>
    <w:r w:rsidRPr="00CE78AB">
      <w:rPr>
        <w:rStyle w:val="normaltextrun"/>
        <w:rFonts w:ascii="Arial" w:hAnsi="Arial" w:cs="Arial"/>
        <w:sz w:val="20"/>
        <w:szCs w:val="20"/>
      </w:rPr>
      <w:t xml:space="preserve">Next review: </w:t>
    </w:r>
    <w:r w:rsidR="00B64A10">
      <w:rPr>
        <w:rStyle w:val="normaltextrun"/>
        <w:rFonts w:ascii="Arial" w:hAnsi="Arial" w:cs="Arial"/>
        <w:sz w:val="20"/>
        <w:szCs w:val="20"/>
      </w:rPr>
      <w:t>September 2023</w:t>
    </w:r>
  </w:p>
  <w:p w:rsidR="002750C2" w:rsidP="002750C2" w:rsidRDefault="002750C2" w14:paraId="65B8E518"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EE7692">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EE7692">
      <w:rPr>
        <w:rStyle w:val="PageNumber"/>
        <w:noProof/>
        <w:sz w:val="20"/>
      </w:rPr>
      <w:t>1</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5730" w:rsidP="002750C2" w:rsidRDefault="00705730" w14:paraId="15367384" w14:textId="77777777">
      <w:pPr>
        <w:spacing w:after="0"/>
      </w:pPr>
      <w:r>
        <w:separator/>
      </w:r>
    </w:p>
  </w:footnote>
  <w:footnote w:type="continuationSeparator" w:id="0">
    <w:p w:rsidR="00705730" w:rsidP="002750C2" w:rsidRDefault="00705730" w14:paraId="0D7A4C59" w14:textId="77777777">
      <w:pPr>
        <w:spacing w:after="0"/>
      </w:pPr>
      <w:r>
        <w:continuationSeparator/>
      </w:r>
    </w:p>
  </w:footnote>
  <w:footnote w:type="continuationNotice" w:id="1">
    <w:p w:rsidR="00705730" w:rsidRDefault="00705730" w14:paraId="675A625D" w14:textId="77777777">
      <w:pPr>
        <w:spacing w:after="0"/>
      </w:pPr>
    </w:p>
  </w:footnote>
  <w:footnote w:id="2">
    <w:p w:rsidRPr="00A31DFF" w:rsidR="00A31DFF" w:rsidRDefault="00A31DFF" w14:paraId="3F5D43A7" w14:textId="13CF4263">
      <w:pPr>
        <w:pStyle w:val="FootnoteText"/>
      </w:pPr>
      <w:r w:rsidRPr="00A31DFF">
        <w:rPr>
          <w:rStyle w:val="FootnoteReference"/>
          <w:rFonts w:ascii="Arial" w:hAnsi="Arial" w:cs="Arial"/>
        </w:rPr>
        <w:footnoteRef/>
      </w:r>
      <w:r>
        <w:t xml:space="preserve"> </w:t>
      </w:r>
      <w:hyperlink w:history="1" r:id="rId1">
        <w:r w:rsidRPr="001C7260">
          <w:rPr>
            <w:rStyle w:val="Hyperlink"/>
            <w:rFonts w:ascii="Arial" w:hAnsi="Arial" w:cs="Arial"/>
          </w:rPr>
          <w:t>Higher education: consumer law advice for providers</w:t>
        </w:r>
      </w:hyperlink>
      <w:r w:rsidRPr="001C7260">
        <w:rPr>
          <w:rFonts w:ascii="Arial" w:hAnsi="Arial" w:cs="Arial"/>
        </w:rPr>
        <w:t xml:space="preserve"> [last accessed </w:t>
      </w:r>
      <w:r>
        <w:rPr>
          <w:rFonts w:ascii="Arial" w:hAnsi="Arial" w:cs="Arial"/>
        </w:rPr>
        <w:t>30</w:t>
      </w:r>
      <w:r w:rsidRPr="001C7260">
        <w:rPr>
          <w:rFonts w:ascii="Arial" w:hAnsi="Arial" w:cs="Arial"/>
        </w:rPr>
        <w:t xml:space="preserve"> </w:t>
      </w:r>
      <w:r>
        <w:rPr>
          <w:rFonts w:ascii="Arial" w:hAnsi="Arial" w:cs="Arial"/>
        </w:rPr>
        <w:t>June</w:t>
      </w:r>
      <w:r w:rsidRPr="001C7260">
        <w:rPr>
          <w:rFonts w:ascii="Arial" w:hAnsi="Arial" w:cs="Arial"/>
        </w:rPr>
        <w:t xml:space="preserve"> 2023]</w:t>
      </w:r>
    </w:p>
  </w:footnote>
  <w:footnote w:id="3">
    <w:p w:rsidRPr="00C1582A" w:rsidR="00C1582A" w:rsidRDefault="00C1582A" w14:paraId="359F40ED" w14:textId="48652D83">
      <w:pPr>
        <w:pStyle w:val="FootnoteText"/>
        <w:rPr>
          <w:color w:val="FF0000"/>
        </w:rPr>
      </w:pPr>
      <w:r w:rsidRPr="00310487">
        <w:rPr>
          <w:rStyle w:val="FootnoteReference"/>
          <w:rFonts w:ascii="Arial" w:hAnsi="Arial" w:cs="Arial"/>
        </w:rPr>
        <w:footnoteRef/>
      </w:r>
      <w:r w:rsidRPr="00310487">
        <w:rPr>
          <w:rFonts w:ascii="Arial" w:hAnsi="Arial" w:cs="Arial"/>
        </w:rPr>
        <w:t xml:space="preserve"> </w:t>
      </w:r>
      <w:r w:rsidRPr="00646C02">
        <w:rPr>
          <w:rFonts w:ascii="Arial" w:hAnsi="Arial" w:cs="Arial"/>
          <w:color w:val="FF0000"/>
        </w:rPr>
        <w:t>Training is planned to be made available to staff by September 2023</w:t>
      </w:r>
    </w:p>
  </w:footnote>
  <w:footnote w:id="4">
    <w:p w:rsidRPr="009C76D0" w:rsidR="00177830" w:rsidP="00177830" w:rsidRDefault="00177830" w14:paraId="79C923EA" w14:textId="77777777">
      <w:pPr>
        <w:pStyle w:val="FootnoteText"/>
        <w:rPr>
          <w:rFonts w:ascii="Arial" w:hAnsi="Arial" w:cs="Arial"/>
        </w:rPr>
      </w:pPr>
      <w:r w:rsidRPr="009C76D0">
        <w:rPr>
          <w:rStyle w:val="FootnoteReference"/>
          <w:rFonts w:ascii="Arial" w:hAnsi="Arial" w:cs="Arial"/>
        </w:rPr>
        <w:footnoteRef/>
      </w:r>
      <w:r w:rsidRPr="009C76D0">
        <w:rPr>
          <w:rFonts w:ascii="Arial" w:hAnsi="Arial" w:cs="Arial"/>
        </w:rPr>
        <w:t xml:space="preserve"> </w:t>
      </w:r>
      <w:hyperlink w:history="1" r:id="rId2">
        <w:r w:rsidRPr="009C76D0">
          <w:rPr>
            <w:rStyle w:val="Hyperlink"/>
            <w:rFonts w:ascii="Arial" w:hAnsi="Arial" w:cs="Arial"/>
            <w:bCs/>
          </w:rPr>
          <w:t>Kent’s Competition and Markets Authority Guidance website</w:t>
        </w:r>
      </w:hyperlink>
    </w:p>
  </w:footnote>
  <w:footnote w:id="5">
    <w:p w:rsidRPr="00C537D5" w:rsidR="002F746F" w:rsidP="002F746F" w:rsidRDefault="002F746F" w14:paraId="734418D9" w14:textId="77777777">
      <w:pPr>
        <w:pStyle w:val="FootnoteText"/>
        <w:rPr>
          <w:rFonts w:ascii="Arial" w:hAnsi="Arial" w:cs="Arial"/>
        </w:rPr>
      </w:pPr>
      <w:r w:rsidRPr="00C537D5">
        <w:rPr>
          <w:rStyle w:val="FootnoteReference"/>
          <w:rFonts w:ascii="Arial" w:hAnsi="Arial" w:cs="Arial"/>
        </w:rPr>
        <w:footnoteRef/>
      </w:r>
      <w:r w:rsidRPr="00C537D5">
        <w:rPr>
          <w:rFonts w:ascii="Arial" w:hAnsi="Arial" w:cs="Arial"/>
        </w:rPr>
        <w:t xml:space="preserve"> </w:t>
      </w:r>
      <w:hyperlink w:history="1" r:id="rId3">
        <w:r w:rsidRPr="00C537D5">
          <w:rPr>
            <w:rStyle w:val="Hyperlink"/>
            <w:rFonts w:ascii="Arial" w:hAnsi="Arial" w:cs="Arial"/>
          </w:rPr>
          <w:t>Course Marketing and Recruitment Deadlines</w:t>
        </w:r>
      </w:hyperlink>
      <w:r w:rsidRPr="00C537D5">
        <w:rPr>
          <w:rFonts w:ascii="Arial" w:hAnsi="Arial" w:cs="Arial"/>
        </w:rPr>
        <w:t xml:space="preserve"> (available to Kent Staff only)</w:t>
      </w:r>
    </w:p>
  </w:footnote>
  <w:footnote w:id="6">
    <w:p w:rsidRPr="00B470CC" w:rsidR="00B470CC" w:rsidRDefault="00B470CC" w14:paraId="5A76500B" w14:textId="08AC4863">
      <w:pPr>
        <w:pStyle w:val="FootnoteText"/>
        <w:rPr>
          <w:rFonts w:ascii="Arial" w:hAnsi="Arial" w:cs="Arial"/>
        </w:rPr>
      </w:pPr>
      <w:r w:rsidRPr="00B470CC">
        <w:rPr>
          <w:rStyle w:val="FootnoteReference"/>
          <w:rFonts w:ascii="Arial" w:hAnsi="Arial" w:cs="Arial"/>
        </w:rPr>
        <w:footnoteRef/>
      </w:r>
      <w:r w:rsidRPr="00B470CC">
        <w:rPr>
          <w:rFonts w:ascii="Arial" w:hAnsi="Arial" w:cs="Arial"/>
        </w:rPr>
        <w:t xml:space="preserve"> See </w:t>
      </w:r>
      <w:hyperlink w:history="1" r:id="rId4">
        <w:r w:rsidRPr="00B470CC">
          <w:rPr>
            <w:rStyle w:val="Hyperlink"/>
            <w:rFonts w:ascii="Arial" w:hAnsi="Arial" w:cs="Arial"/>
          </w:rPr>
          <w:t>CMA Material Information</w:t>
        </w:r>
      </w:hyperlink>
      <w:r w:rsidRPr="00B470CC">
        <w:rPr>
          <w:rFonts w:ascii="Arial" w:hAnsi="Arial" w:cs="Arial"/>
        </w:rPr>
        <w:t xml:space="preserve"> on Kent webpages or </w:t>
      </w:r>
      <w:hyperlink w:history="1" r:id="rId5">
        <w:r w:rsidRPr="00B470CC">
          <w:rPr>
            <w:rStyle w:val="Hyperlink"/>
            <w:rFonts w:ascii="Arial" w:hAnsi="Arial" w:cs="Arial"/>
          </w:rPr>
          <w:t>an extended version of CMA Material Information</w:t>
        </w:r>
      </w:hyperlink>
      <w:r w:rsidRPr="00B470CC">
        <w:rPr>
          <w:rFonts w:ascii="Arial" w:hAnsi="Arial" w:cs="Arial"/>
        </w:rPr>
        <w:t xml:space="preserve"> on </w:t>
      </w:r>
      <w:proofErr w:type="spellStart"/>
      <w:r w:rsidRPr="00B470CC">
        <w:rPr>
          <w:rFonts w:ascii="Arial" w:hAnsi="Arial" w:cs="Arial"/>
        </w:rPr>
        <w:t>KentNet</w:t>
      </w:r>
      <w:proofErr w:type="spellEnd"/>
      <w:r w:rsidRPr="00B470CC">
        <w:rPr>
          <w:rFonts w:ascii="Arial" w:hAnsi="Arial" w:cs="Arial"/>
        </w:rPr>
        <w:t xml:space="preserve"> (available to Kent Staff only)</w:t>
      </w:r>
    </w:p>
  </w:footnote>
  <w:footnote w:id="7">
    <w:p w:rsidRPr="00B470CC" w:rsidR="00B470CC" w:rsidRDefault="00B470CC" w14:paraId="5692F8F5" w14:textId="131FEEB6">
      <w:pPr>
        <w:pStyle w:val="FootnoteText"/>
        <w:rPr>
          <w:lang w:val="en-US"/>
        </w:rPr>
      </w:pPr>
      <w:r w:rsidRPr="00B470CC">
        <w:rPr>
          <w:rStyle w:val="FootnoteReference"/>
          <w:rFonts w:ascii="Arial" w:hAnsi="Arial" w:cs="Arial"/>
        </w:rPr>
        <w:footnoteRef/>
      </w:r>
      <w:r>
        <w:t xml:space="preserve"> </w:t>
      </w:r>
      <w:r w:rsidRPr="00C537D5">
        <w:rPr>
          <w:rFonts w:ascii="Arial" w:hAnsi="Arial" w:cs="Arial"/>
        </w:rPr>
        <w:t xml:space="preserve">See </w:t>
      </w:r>
      <w:hyperlink w:history="1" r:id="rId6">
        <w:r w:rsidRPr="00C537D5">
          <w:rPr>
            <w:rStyle w:val="Hyperlink"/>
            <w:rFonts w:ascii="Arial" w:hAnsi="Arial" w:cs="Arial"/>
          </w:rPr>
          <w:t>CMA Risk Assessment Requests for Courses</w:t>
        </w:r>
      </w:hyperlink>
      <w:r w:rsidRPr="00C537D5">
        <w:rPr>
          <w:rFonts w:ascii="Arial" w:hAnsi="Arial" w:cs="Arial"/>
        </w:rPr>
        <w:t xml:space="preserve"> and </w:t>
      </w:r>
      <w:hyperlink w:history="1" r:id="rId7">
        <w:r w:rsidRPr="00C537D5">
          <w:rPr>
            <w:rStyle w:val="Hyperlink"/>
            <w:rFonts w:ascii="Arial" w:hAnsi="Arial" w:cs="Arial"/>
          </w:rPr>
          <w:t xml:space="preserve">CMA Risk Assessment Request for Modules </w:t>
        </w:r>
      </w:hyperlink>
      <w:r w:rsidRPr="00C537D5">
        <w:rPr>
          <w:rFonts w:ascii="Arial" w:hAnsi="Arial" w:cs="Arial"/>
        </w:rPr>
        <w:t>(</w:t>
      </w:r>
      <w:r w:rsidR="00C1582A">
        <w:rPr>
          <w:rFonts w:ascii="Arial" w:hAnsi="Arial" w:cs="Arial"/>
        </w:rPr>
        <w:t xml:space="preserve">both </w:t>
      </w:r>
      <w:r w:rsidRPr="00C537D5">
        <w:rPr>
          <w:rFonts w:ascii="Arial" w:hAnsi="Arial" w:cs="Arial"/>
        </w:rPr>
        <w:t>available to Kent Staff only)</w:t>
      </w:r>
    </w:p>
  </w:footnote>
  <w:footnote w:id="8">
    <w:p w:rsidRPr="00B3433E" w:rsidR="00B3433E" w:rsidRDefault="00B3433E" w14:paraId="3AF496B6" w14:textId="2F2EA9BE">
      <w:pPr>
        <w:pStyle w:val="FootnoteText"/>
        <w:rPr>
          <w:rFonts w:ascii="Arial" w:hAnsi="Arial" w:cs="Arial"/>
        </w:rPr>
      </w:pPr>
      <w:r w:rsidRPr="00B3433E">
        <w:rPr>
          <w:rStyle w:val="FootnoteReference"/>
          <w:rFonts w:ascii="Arial" w:hAnsi="Arial" w:cs="Arial"/>
        </w:rPr>
        <w:footnoteRef/>
      </w:r>
      <w:r w:rsidRPr="00B3433E">
        <w:rPr>
          <w:rFonts w:ascii="Arial" w:hAnsi="Arial" w:cs="Arial"/>
        </w:rPr>
        <w:t xml:space="preserve"> See </w:t>
      </w:r>
      <w:hyperlink w:history="1" w:anchor="deadlines-for-requesting-the-cma-risk-assessment-for-courses" r:id="rId8">
        <w:r w:rsidRPr="00B3433E">
          <w:rPr>
            <w:rStyle w:val="Hyperlink"/>
            <w:rFonts w:ascii="Arial" w:hAnsi="Arial" w:cs="Arial"/>
          </w:rPr>
          <w:t>Deadlines for Requesting a CMA Risk Assessment for Courses</w:t>
        </w:r>
      </w:hyperlink>
      <w:r w:rsidRPr="00B3433E">
        <w:rPr>
          <w:rFonts w:ascii="Arial" w:hAnsi="Arial" w:cs="Arial"/>
        </w:rPr>
        <w:t xml:space="preserve"> on </w:t>
      </w:r>
      <w:proofErr w:type="spellStart"/>
      <w:r w:rsidRPr="00B3433E">
        <w:rPr>
          <w:rFonts w:ascii="Arial" w:hAnsi="Arial" w:cs="Arial"/>
        </w:rPr>
        <w:t>KentNet</w:t>
      </w:r>
      <w:proofErr w:type="spellEnd"/>
      <w:r w:rsidRPr="00B3433E">
        <w:rPr>
          <w:rFonts w:ascii="Arial" w:hAnsi="Arial" w:cs="Arial"/>
        </w:rPr>
        <w:t xml:space="preserve"> (available to Kent Staff only)</w:t>
      </w:r>
    </w:p>
  </w:footnote>
  <w:footnote w:id="9">
    <w:p w:rsidRPr="00017E1C" w:rsidR="00017E1C" w:rsidRDefault="00017E1C" w14:paraId="3BA2AEFF" w14:textId="3370A8CA">
      <w:pPr>
        <w:pStyle w:val="FootnoteText"/>
        <w:rPr>
          <w:rFonts w:ascii="Arial" w:hAnsi="Arial" w:cs="Arial"/>
          <w:lang w:val="en-US"/>
        </w:rPr>
      </w:pPr>
      <w:r w:rsidRPr="00017E1C">
        <w:rPr>
          <w:rStyle w:val="FootnoteReference"/>
          <w:rFonts w:ascii="Arial" w:hAnsi="Arial" w:cs="Arial"/>
        </w:rPr>
        <w:footnoteRef/>
      </w:r>
      <w:r w:rsidRPr="00017E1C">
        <w:rPr>
          <w:rFonts w:ascii="Arial" w:hAnsi="Arial" w:cs="Arial"/>
        </w:rPr>
        <w:t xml:space="preserve"> </w:t>
      </w:r>
      <w:hyperlink w:history="1" r:id="rId9">
        <w:r w:rsidRPr="00017E1C">
          <w:rPr>
            <w:rStyle w:val="Hyperlink"/>
            <w:rFonts w:ascii="Arial" w:hAnsi="Arial" w:cs="Arial"/>
            <w:lang w:val="en-US"/>
          </w:rPr>
          <w:t>Student Protection Plan</w:t>
        </w:r>
      </w:hyperlink>
    </w:p>
  </w:footnote>
  <w:footnote w:id="10">
    <w:p w:rsidRPr="00B3433E" w:rsidR="00B3433E" w:rsidRDefault="00B3433E" w14:paraId="0D613491" w14:textId="170CDFC1">
      <w:pPr>
        <w:pStyle w:val="FootnoteText"/>
        <w:rPr>
          <w:rFonts w:ascii="Arial" w:hAnsi="Arial" w:cs="Arial"/>
        </w:rPr>
      </w:pPr>
      <w:r w:rsidRPr="00B3433E">
        <w:rPr>
          <w:rStyle w:val="FootnoteReference"/>
          <w:rFonts w:ascii="Arial" w:hAnsi="Arial" w:cs="Arial"/>
        </w:rPr>
        <w:footnoteRef/>
      </w:r>
      <w:r w:rsidRPr="00B3433E">
        <w:rPr>
          <w:rFonts w:ascii="Arial" w:hAnsi="Arial" w:cs="Arial"/>
        </w:rPr>
        <w:t xml:space="preserve"> </w:t>
      </w:r>
      <w:hyperlink w:history="1" w:anchor="how-to-request-a-cma-risk-assessment-for-courses" r:id="rId10">
        <w:r w:rsidRPr="00B3433E">
          <w:rPr>
            <w:rStyle w:val="Hyperlink"/>
            <w:rFonts w:ascii="Arial" w:hAnsi="Arial" w:cs="Arial"/>
          </w:rPr>
          <w:t>The Online Form for CMA Risk Assessment Request for Courses</w:t>
        </w:r>
      </w:hyperlink>
    </w:p>
  </w:footnote>
  <w:footnote w:id="11">
    <w:p w:rsidRPr="00CD2421" w:rsidR="00CD2421" w:rsidRDefault="00CD2421" w14:paraId="1E31076B" w14:textId="37C9FBA2">
      <w:pPr>
        <w:pStyle w:val="FootnoteText"/>
        <w:rPr>
          <w:rFonts w:ascii="Arial" w:hAnsi="Arial" w:cs="Arial"/>
        </w:rPr>
      </w:pPr>
      <w:r w:rsidRPr="00CD2421">
        <w:rPr>
          <w:rStyle w:val="FootnoteReference"/>
          <w:rFonts w:ascii="Arial" w:hAnsi="Arial" w:cs="Arial"/>
        </w:rPr>
        <w:footnoteRef/>
      </w:r>
      <w:r w:rsidRPr="00CD2421">
        <w:rPr>
          <w:rFonts w:ascii="Arial" w:hAnsi="Arial" w:cs="Arial"/>
        </w:rPr>
        <w:t xml:space="preserve"> Divisions are strongly advised to seek advice and guidance from QACO via </w:t>
      </w:r>
      <w:hyperlink w:history="1" r:id="rId11">
        <w:r w:rsidRPr="00CD2421">
          <w:rPr>
            <w:rStyle w:val="Hyperlink"/>
            <w:rFonts w:ascii="Arial" w:hAnsi="Arial" w:cs="Arial"/>
          </w:rPr>
          <w:t>kentcma@kent.ac.uk</w:t>
        </w:r>
      </w:hyperlink>
      <w:r w:rsidRPr="00CD2421">
        <w:rPr>
          <w:rFonts w:ascii="Arial" w:hAnsi="Arial" w:cs="Arial"/>
        </w:rPr>
        <w:t xml:space="preserve"> </w:t>
      </w:r>
    </w:p>
  </w:footnote>
  <w:footnote w:id="12">
    <w:p w:rsidRPr="00CD2421" w:rsidR="00CD2421" w:rsidRDefault="00CD2421" w14:paraId="2C7770C7" w14:textId="53CB27D8">
      <w:pPr>
        <w:pStyle w:val="FootnoteText"/>
        <w:rPr>
          <w:rFonts w:ascii="Arial" w:hAnsi="Arial" w:cs="Arial"/>
        </w:rPr>
      </w:pPr>
      <w:r w:rsidRPr="00CD2421">
        <w:rPr>
          <w:rStyle w:val="FootnoteReference"/>
          <w:rFonts w:ascii="Arial" w:hAnsi="Arial" w:cs="Arial"/>
        </w:rPr>
        <w:footnoteRef/>
      </w:r>
      <w:r w:rsidRPr="00CD2421">
        <w:rPr>
          <w:rFonts w:ascii="Arial" w:hAnsi="Arial" w:cs="Arial"/>
        </w:rPr>
        <w:t xml:space="preserve"> See </w:t>
      </w:r>
      <w:hyperlink w:history="1" r:id="rId12">
        <w:r w:rsidRPr="00CD2421">
          <w:rPr>
            <w:rStyle w:val="Hyperlink"/>
            <w:rFonts w:ascii="Arial" w:hAnsi="Arial" w:cs="Arial"/>
          </w:rPr>
          <w:t>required information</w:t>
        </w:r>
      </w:hyperlink>
      <w:r w:rsidRPr="00CD2421">
        <w:rPr>
          <w:rFonts w:ascii="Arial" w:hAnsi="Arial" w:cs="Arial"/>
        </w:rPr>
        <w:t xml:space="preserve"> when seeking the CMA Risk Assessment for Modules (available to Kent Staff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867" w:rsidRDefault="00705730" w14:paraId="111300D2" w14:textId="71B8161B">
    <w:pPr>
      <w:pStyle w:val="Header"/>
    </w:pPr>
    <w:r>
      <w:rPr>
        <w:noProof/>
      </w:rPr>
      <w:pict w14:anchorId="23261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style="position:absolute;left:0;text-align:left;margin-left:0;margin-top:0;width:493.4pt;height:164.45pt;rotation:315;z-index:-251658240;mso-wrap-edited:f;mso-width-percent:0;mso-height-percent:0;mso-position-horizontal:center;mso-position-horizontal-relative:margin;mso-position-vertical:center;mso-position-vertical-relative:margin;mso-width-percent:0;mso-height-percent:0" alt="" o:allowincell="f" fillcolor="silver" stroked="f" type="#_x0000_t136">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32027C" w14:paraId="69DD7280" w14:textId="0C80CD1B">
    <w:pPr>
      <w:pStyle w:val="Header"/>
      <w:jc w:val="right"/>
    </w:pPr>
    <w:r>
      <w:rPr>
        <w:noProof/>
      </w:rPr>
      <w:drawing>
        <wp:anchor distT="0" distB="0" distL="114300" distR="114300" simplePos="0" relativeHeight="251657216" behindDoc="0" locked="0" layoutInCell="1" allowOverlap="1" wp14:anchorId="7AA31A9A" wp14:editId="5EB61F85">
          <wp:simplePos x="0" y="0"/>
          <wp:positionH relativeFrom="column">
            <wp:posOffset>-720090</wp:posOffset>
          </wp:positionH>
          <wp:positionV relativeFrom="paragraph">
            <wp:posOffset>-448945</wp:posOffset>
          </wp:positionV>
          <wp:extent cx="7560000" cy="1116212"/>
          <wp:effectExtent l="0" t="0" r="0" b="190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6212"/>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CC7CC1" w14:paraId="6F7E88AA" w14:textId="20290BB9">
    <w:pPr>
      <w:pStyle w:val="Header"/>
      <w:ind w:right="284"/>
      <w:jc w:val="center"/>
      <w:rPr>
        <w:b/>
      </w:rPr>
    </w:pPr>
    <w:r>
      <w:rPr>
        <w:b/>
      </w:rPr>
      <w:t>Compliance with Consumer Protection Laws</w:t>
    </w:r>
    <w:r w:rsidR="00516BB0">
      <w:rPr>
        <w:b/>
      </w:rPr>
      <w:t xml:space="preserve">                </w:t>
    </w:r>
  </w:p>
  <w:p w:rsidR="002750C2" w:rsidRDefault="002750C2" w14:paraId="644DDE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DF9"/>
    <w:multiLevelType w:val="multilevel"/>
    <w:tmpl w:val="3E022CBE"/>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1CD6EED"/>
    <w:multiLevelType w:val="multilevel"/>
    <w:tmpl w:val="9FC49F2A"/>
    <w:lvl w:ilvl="0">
      <w:start w:val="5"/>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4DD755A"/>
    <w:multiLevelType w:val="multilevel"/>
    <w:tmpl w:val="97F2C52C"/>
    <w:lvl w:ilvl="0">
      <w:start w:val="9"/>
      <w:numFmt w:val="decimal"/>
      <w:lvlText w:val="%1."/>
      <w:lvlJc w:val="left"/>
      <w:pPr>
        <w:ind w:left="400" w:hanging="4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784" w:hanging="2160"/>
      </w:pPr>
      <w:rPr>
        <w:rFonts w:hint="default"/>
      </w:rPr>
    </w:lvl>
  </w:abstractNum>
  <w:abstractNum w:abstractNumId="3" w15:restartNumberingAfterBreak="0">
    <w:nsid w:val="29C47560"/>
    <w:multiLevelType w:val="multilevel"/>
    <w:tmpl w:val="446C7674"/>
    <w:lvl w:ilvl="0">
      <w:start w:val="1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15E18BA"/>
    <w:multiLevelType w:val="hybridMultilevel"/>
    <w:tmpl w:val="9E387AF2"/>
    <w:lvl w:ilvl="0" w:tplc="08090001">
      <w:start w:val="1"/>
      <w:numFmt w:val="bullet"/>
      <w:lvlText w:val=""/>
      <w:lvlJc w:val="left"/>
      <w:pPr>
        <w:ind w:left="1512" w:hanging="360"/>
      </w:pPr>
      <w:rPr>
        <w:rFonts w:hint="default" w:ascii="Symbol" w:hAnsi="Symbol"/>
      </w:rPr>
    </w:lvl>
    <w:lvl w:ilvl="1" w:tplc="08090003" w:tentative="1">
      <w:start w:val="1"/>
      <w:numFmt w:val="bullet"/>
      <w:lvlText w:val="o"/>
      <w:lvlJc w:val="left"/>
      <w:pPr>
        <w:ind w:left="2232" w:hanging="360"/>
      </w:pPr>
      <w:rPr>
        <w:rFonts w:hint="default" w:ascii="Courier New" w:hAnsi="Courier New" w:cs="Courier New"/>
      </w:rPr>
    </w:lvl>
    <w:lvl w:ilvl="2" w:tplc="08090005" w:tentative="1">
      <w:start w:val="1"/>
      <w:numFmt w:val="bullet"/>
      <w:lvlText w:val=""/>
      <w:lvlJc w:val="left"/>
      <w:pPr>
        <w:ind w:left="2952" w:hanging="360"/>
      </w:pPr>
      <w:rPr>
        <w:rFonts w:hint="default" w:ascii="Wingdings" w:hAnsi="Wingdings"/>
      </w:rPr>
    </w:lvl>
    <w:lvl w:ilvl="3" w:tplc="08090001" w:tentative="1">
      <w:start w:val="1"/>
      <w:numFmt w:val="bullet"/>
      <w:lvlText w:val=""/>
      <w:lvlJc w:val="left"/>
      <w:pPr>
        <w:ind w:left="3672" w:hanging="360"/>
      </w:pPr>
      <w:rPr>
        <w:rFonts w:hint="default" w:ascii="Symbol" w:hAnsi="Symbol"/>
      </w:rPr>
    </w:lvl>
    <w:lvl w:ilvl="4" w:tplc="08090003" w:tentative="1">
      <w:start w:val="1"/>
      <w:numFmt w:val="bullet"/>
      <w:lvlText w:val="o"/>
      <w:lvlJc w:val="left"/>
      <w:pPr>
        <w:ind w:left="4392" w:hanging="360"/>
      </w:pPr>
      <w:rPr>
        <w:rFonts w:hint="default" w:ascii="Courier New" w:hAnsi="Courier New" w:cs="Courier New"/>
      </w:rPr>
    </w:lvl>
    <w:lvl w:ilvl="5" w:tplc="08090005" w:tentative="1">
      <w:start w:val="1"/>
      <w:numFmt w:val="bullet"/>
      <w:lvlText w:val=""/>
      <w:lvlJc w:val="left"/>
      <w:pPr>
        <w:ind w:left="5112" w:hanging="360"/>
      </w:pPr>
      <w:rPr>
        <w:rFonts w:hint="default" w:ascii="Wingdings" w:hAnsi="Wingdings"/>
      </w:rPr>
    </w:lvl>
    <w:lvl w:ilvl="6" w:tplc="08090001" w:tentative="1">
      <w:start w:val="1"/>
      <w:numFmt w:val="bullet"/>
      <w:lvlText w:val=""/>
      <w:lvlJc w:val="left"/>
      <w:pPr>
        <w:ind w:left="5832" w:hanging="360"/>
      </w:pPr>
      <w:rPr>
        <w:rFonts w:hint="default" w:ascii="Symbol" w:hAnsi="Symbol"/>
      </w:rPr>
    </w:lvl>
    <w:lvl w:ilvl="7" w:tplc="08090003" w:tentative="1">
      <w:start w:val="1"/>
      <w:numFmt w:val="bullet"/>
      <w:lvlText w:val="o"/>
      <w:lvlJc w:val="left"/>
      <w:pPr>
        <w:ind w:left="6552" w:hanging="360"/>
      </w:pPr>
      <w:rPr>
        <w:rFonts w:hint="default" w:ascii="Courier New" w:hAnsi="Courier New" w:cs="Courier New"/>
      </w:rPr>
    </w:lvl>
    <w:lvl w:ilvl="8" w:tplc="08090005" w:tentative="1">
      <w:start w:val="1"/>
      <w:numFmt w:val="bullet"/>
      <w:lvlText w:val=""/>
      <w:lvlJc w:val="left"/>
      <w:pPr>
        <w:ind w:left="7272" w:hanging="360"/>
      </w:pPr>
      <w:rPr>
        <w:rFonts w:hint="default" w:ascii="Wingdings" w:hAnsi="Wingdings"/>
      </w:rPr>
    </w:lvl>
  </w:abstractNum>
  <w:abstractNum w:abstractNumId="5" w15:restartNumberingAfterBreak="0">
    <w:nsid w:val="333522BC"/>
    <w:multiLevelType w:val="multilevel"/>
    <w:tmpl w:val="8E54B760"/>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6883470"/>
    <w:multiLevelType w:val="hybridMultilevel"/>
    <w:tmpl w:val="CC4C178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408E46B8"/>
    <w:multiLevelType w:val="multilevel"/>
    <w:tmpl w:val="AA46BA16"/>
    <w:lvl w:ilvl="0">
      <w:start w:val="7"/>
      <w:numFmt w:val="decimal"/>
      <w:lvlText w:val="%1."/>
      <w:lvlJc w:val="left"/>
      <w:pPr>
        <w:ind w:left="400" w:hanging="400"/>
      </w:pPr>
      <w:rPr>
        <w:rFonts w:hint="default"/>
        <w:b w:val="0"/>
      </w:rPr>
    </w:lvl>
    <w:lvl w:ilvl="1">
      <w:start w:val="1"/>
      <w:numFmt w:val="decimal"/>
      <w:lvlText w:val="%1.%2."/>
      <w:lvlJc w:val="left"/>
      <w:pPr>
        <w:ind w:left="-142" w:hanging="7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2368" w:hanging="1080"/>
      </w:pPr>
      <w:rPr>
        <w:rFonts w:hint="default"/>
        <w:b w:val="0"/>
      </w:rPr>
    </w:lvl>
    <w:lvl w:ilvl="5">
      <w:start w:val="1"/>
      <w:numFmt w:val="decimal"/>
      <w:lvlText w:val="%1.%2.%3.%4.%5.%6."/>
      <w:lvlJc w:val="left"/>
      <w:pPr>
        <w:ind w:left="-2870" w:hanging="1440"/>
      </w:pPr>
      <w:rPr>
        <w:rFonts w:hint="default"/>
        <w:b w:val="0"/>
      </w:rPr>
    </w:lvl>
    <w:lvl w:ilvl="6">
      <w:start w:val="1"/>
      <w:numFmt w:val="decimal"/>
      <w:lvlText w:val="%1.%2.%3.%4.%5.%6.%7."/>
      <w:lvlJc w:val="left"/>
      <w:pPr>
        <w:ind w:left="-3732" w:hanging="1440"/>
      </w:pPr>
      <w:rPr>
        <w:rFonts w:hint="default"/>
        <w:b w:val="0"/>
      </w:rPr>
    </w:lvl>
    <w:lvl w:ilvl="7">
      <w:start w:val="1"/>
      <w:numFmt w:val="decimal"/>
      <w:lvlText w:val="%1.%2.%3.%4.%5.%6.%7.%8."/>
      <w:lvlJc w:val="left"/>
      <w:pPr>
        <w:ind w:left="-4234" w:hanging="1800"/>
      </w:pPr>
      <w:rPr>
        <w:rFonts w:hint="default"/>
        <w:b w:val="0"/>
      </w:rPr>
    </w:lvl>
    <w:lvl w:ilvl="8">
      <w:start w:val="1"/>
      <w:numFmt w:val="decimal"/>
      <w:lvlText w:val="%1.%2.%3.%4.%5.%6.%7.%8.%9."/>
      <w:lvlJc w:val="left"/>
      <w:pPr>
        <w:ind w:left="-4736" w:hanging="2160"/>
      </w:pPr>
      <w:rPr>
        <w:rFonts w:hint="default"/>
        <w:b w:val="0"/>
      </w:rPr>
    </w:lvl>
  </w:abstractNum>
  <w:abstractNum w:abstractNumId="8" w15:restartNumberingAfterBreak="0">
    <w:nsid w:val="49576423"/>
    <w:multiLevelType w:val="hybridMultilevel"/>
    <w:tmpl w:val="BC82373A"/>
    <w:lvl w:ilvl="0" w:tplc="079E7B7A">
      <w:start w:val="1"/>
      <w:numFmt w:val="decimal"/>
      <w:pStyle w:val="Heading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AD63D06"/>
    <w:multiLevelType w:val="multilevel"/>
    <w:tmpl w:val="BDC491E0"/>
    <w:lvl w:ilvl="0">
      <w:start w:val="1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E085647"/>
    <w:multiLevelType w:val="multilevel"/>
    <w:tmpl w:val="44422758"/>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E402018"/>
    <w:multiLevelType w:val="multilevel"/>
    <w:tmpl w:val="F10C22E2"/>
    <w:lvl w:ilvl="0">
      <w:start w:val="8"/>
      <w:numFmt w:val="decimal"/>
      <w:lvlText w:val="%1."/>
      <w:lvlJc w:val="left"/>
      <w:pPr>
        <w:ind w:left="400" w:hanging="400"/>
      </w:pPr>
      <w:rPr>
        <w:rFonts w:hint="default"/>
        <w:b w:val="0"/>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654" w:hanging="108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730" w:hanging="144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806" w:hanging="1800"/>
      </w:pPr>
      <w:rPr>
        <w:rFonts w:hint="default"/>
        <w:b w:val="0"/>
      </w:rPr>
    </w:lvl>
    <w:lvl w:ilvl="8">
      <w:start w:val="1"/>
      <w:numFmt w:val="decimal"/>
      <w:lvlText w:val="%1.%2.%3.%4.%5.%6.%7.%8.%9."/>
      <w:lvlJc w:val="left"/>
      <w:pPr>
        <w:ind w:left="1024" w:hanging="2160"/>
      </w:pPr>
      <w:rPr>
        <w:rFonts w:hint="default"/>
        <w:b w:val="0"/>
      </w:rPr>
    </w:lvl>
  </w:abstractNum>
  <w:abstractNum w:abstractNumId="12" w15:restartNumberingAfterBreak="0">
    <w:nsid w:val="50F46ABC"/>
    <w:multiLevelType w:val="hybridMultilevel"/>
    <w:tmpl w:val="E1EEF738"/>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num w:numId="1" w16cid:durableId="265188387">
    <w:abstractNumId w:val="12"/>
  </w:num>
  <w:num w:numId="2" w16cid:durableId="1225869234">
    <w:abstractNumId w:val="6"/>
  </w:num>
  <w:num w:numId="3" w16cid:durableId="1326321805">
    <w:abstractNumId w:val="4"/>
  </w:num>
  <w:num w:numId="4" w16cid:durableId="1033455709">
    <w:abstractNumId w:val="5"/>
  </w:num>
  <w:num w:numId="5" w16cid:durableId="1508789609">
    <w:abstractNumId w:val="1"/>
  </w:num>
  <w:num w:numId="6" w16cid:durableId="1820682500">
    <w:abstractNumId w:val="0"/>
  </w:num>
  <w:num w:numId="7" w16cid:durableId="1027801396">
    <w:abstractNumId w:val="7"/>
  </w:num>
  <w:num w:numId="8" w16cid:durableId="1588267392">
    <w:abstractNumId w:val="11"/>
  </w:num>
  <w:num w:numId="9" w16cid:durableId="1609923883">
    <w:abstractNumId w:val="2"/>
  </w:num>
  <w:num w:numId="10" w16cid:durableId="1927616710">
    <w:abstractNumId w:val="10"/>
  </w:num>
  <w:num w:numId="11" w16cid:durableId="1406298598">
    <w:abstractNumId w:val="9"/>
  </w:num>
  <w:num w:numId="12" w16cid:durableId="1460341448">
    <w:abstractNumId w:val="3"/>
  </w:num>
  <w:num w:numId="13" w16cid:durableId="1691906841">
    <w:abstractNumId w:val="8"/>
  </w:num>
  <w:num w:numId="14" w16cid:durableId="420878867">
    <w:abstractNumId w:val="8"/>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dirty"/>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07F7B"/>
    <w:rsid w:val="00017E1C"/>
    <w:rsid w:val="00023337"/>
    <w:rsid w:val="000335BD"/>
    <w:rsid w:val="00034837"/>
    <w:rsid w:val="00035055"/>
    <w:rsid w:val="00037A83"/>
    <w:rsid w:val="00045A99"/>
    <w:rsid w:val="00045ECE"/>
    <w:rsid w:val="00061991"/>
    <w:rsid w:val="0006481F"/>
    <w:rsid w:val="0009254F"/>
    <w:rsid w:val="00096037"/>
    <w:rsid w:val="000969AE"/>
    <w:rsid w:val="000A16EF"/>
    <w:rsid w:val="000A6768"/>
    <w:rsid w:val="000B3973"/>
    <w:rsid w:val="000D4EE5"/>
    <w:rsid w:val="000F5DD4"/>
    <w:rsid w:val="00112519"/>
    <w:rsid w:val="001229E5"/>
    <w:rsid w:val="0012324A"/>
    <w:rsid w:val="0013066F"/>
    <w:rsid w:val="00137E2F"/>
    <w:rsid w:val="00146B68"/>
    <w:rsid w:val="00147382"/>
    <w:rsid w:val="00166104"/>
    <w:rsid w:val="001663EE"/>
    <w:rsid w:val="00177830"/>
    <w:rsid w:val="001968E3"/>
    <w:rsid w:val="001A5652"/>
    <w:rsid w:val="001A795D"/>
    <w:rsid w:val="001B307C"/>
    <w:rsid w:val="001B48B9"/>
    <w:rsid w:val="001C7260"/>
    <w:rsid w:val="001F5572"/>
    <w:rsid w:val="001F5F4B"/>
    <w:rsid w:val="0021040E"/>
    <w:rsid w:val="00221EAC"/>
    <w:rsid w:val="00241868"/>
    <w:rsid w:val="002736B7"/>
    <w:rsid w:val="002750C2"/>
    <w:rsid w:val="00290184"/>
    <w:rsid w:val="002E2660"/>
    <w:rsid w:val="002E768D"/>
    <w:rsid w:val="002F4DD8"/>
    <w:rsid w:val="002F746F"/>
    <w:rsid w:val="002F7E36"/>
    <w:rsid w:val="002F7ED7"/>
    <w:rsid w:val="0030166C"/>
    <w:rsid w:val="00310487"/>
    <w:rsid w:val="0032027C"/>
    <w:rsid w:val="0032579D"/>
    <w:rsid w:val="003407D7"/>
    <w:rsid w:val="0034322B"/>
    <w:rsid w:val="003448F7"/>
    <w:rsid w:val="00371061"/>
    <w:rsid w:val="00381B4F"/>
    <w:rsid w:val="003A2587"/>
    <w:rsid w:val="003A3996"/>
    <w:rsid w:val="003A4F18"/>
    <w:rsid w:val="003B6864"/>
    <w:rsid w:val="003C6933"/>
    <w:rsid w:val="003D29A4"/>
    <w:rsid w:val="003D4C12"/>
    <w:rsid w:val="003D5F14"/>
    <w:rsid w:val="003E5C65"/>
    <w:rsid w:val="003F0507"/>
    <w:rsid w:val="003F0EE2"/>
    <w:rsid w:val="004003D0"/>
    <w:rsid w:val="00400BAB"/>
    <w:rsid w:val="00410BF7"/>
    <w:rsid w:val="00423A8F"/>
    <w:rsid w:val="004444BC"/>
    <w:rsid w:val="00450D88"/>
    <w:rsid w:val="0047363F"/>
    <w:rsid w:val="004765FD"/>
    <w:rsid w:val="004873E7"/>
    <w:rsid w:val="00496BF1"/>
    <w:rsid w:val="004A7C0E"/>
    <w:rsid w:val="004B09F0"/>
    <w:rsid w:val="004C02AE"/>
    <w:rsid w:val="004C413C"/>
    <w:rsid w:val="004E5E74"/>
    <w:rsid w:val="004E67FB"/>
    <w:rsid w:val="00516BB0"/>
    <w:rsid w:val="00520E50"/>
    <w:rsid w:val="00522E16"/>
    <w:rsid w:val="00544989"/>
    <w:rsid w:val="005B79B5"/>
    <w:rsid w:val="005C0D90"/>
    <w:rsid w:val="00616716"/>
    <w:rsid w:val="00617C13"/>
    <w:rsid w:val="00632FE7"/>
    <w:rsid w:val="0063361B"/>
    <w:rsid w:val="006412CE"/>
    <w:rsid w:val="00641E59"/>
    <w:rsid w:val="00642867"/>
    <w:rsid w:val="00646C02"/>
    <w:rsid w:val="00654B8F"/>
    <w:rsid w:val="00664811"/>
    <w:rsid w:val="006810DD"/>
    <w:rsid w:val="00681663"/>
    <w:rsid w:val="006903E0"/>
    <w:rsid w:val="00691173"/>
    <w:rsid w:val="006942C1"/>
    <w:rsid w:val="006944E6"/>
    <w:rsid w:val="00694D65"/>
    <w:rsid w:val="006A24A9"/>
    <w:rsid w:val="006A6405"/>
    <w:rsid w:val="006B13AE"/>
    <w:rsid w:val="006B2909"/>
    <w:rsid w:val="006C3772"/>
    <w:rsid w:val="006D29B4"/>
    <w:rsid w:val="006D2D38"/>
    <w:rsid w:val="006E0DCB"/>
    <w:rsid w:val="006E36C6"/>
    <w:rsid w:val="006F2495"/>
    <w:rsid w:val="006F60A4"/>
    <w:rsid w:val="00705730"/>
    <w:rsid w:val="0071161F"/>
    <w:rsid w:val="007242E9"/>
    <w:rsid w:val="007262F1"/>
    <w:rsid w:val="00751CE6"/>
    <w:rsid w:val="00753567"/>
    <w:rsid w:val="00753789"/>
    <w:rsid w:val="0078074E"/>
    <w:rsid w:val="00792ACA"/>
    <w:rsid w:val="00794414"/>
    <w:rsid w:val="00797E01"/>
    <w:rsid w:val="007A7A35"/>
    <w:rsid w:val="007B3956"/>
    <w:rsid w:val="007C2A85"/>
    <w:rsid w:val="007D782F"/>
    <w:rsid w:val="00832763"/>
    <w:rsid w:val="00836C92"/>
    <w:rsid w:val="008429A6"/>
    <w:rsid w:val="00855302"/>
    <w:rsid w:val="008604CF"/>
    <w:rsid w:val="00862B2F"/>
    <w:rsid w:val="00871952"/>
    <w:rsid w:val="00875EF9"/>
    <w:rsid w:val="008965AB"/>
    <w:rsid w:val="008A1536"/>
    <w:rsid w:val="008B3948"/>
    <w:rsid w:val="008C7C1E"/>
    <w:rsid w:val="008D3FED"/>
    <w:rsid w:val="008D69D8"/>
    <w:rsid w:val="008E381F"/>
    <w:rsid w:val="00904320"/>
    <w:rsid w:val="00905F83"/>
    <w:rsid w:val="00917B3C"/>
    <w:rsid w:val="00937C88"/>
    <w:rsid w:val="00955E63"/>
    <w:rsid w:val="009645A9"/>
    <w:rsid w:val="00980DC0"/>
    <w:rsid w:val="009C76D0"/>
    <w:rsid w:val="009D0EA4"/>
    <w:rsid w:val="009E598D"/>
    <w:rsid w:val="00A27BA2"/>
    <w:rsid w:val="00A31DFF"/>
    <w:rsid w:val="00A3545B"/>
    <w:rsid w:val="00A409AD"/>
    <w:rsid w:val="00A426BF"/>
    <w:rsid w:val="00A51FAA"/>
    <w:rsid w:val="00A546B5"/>
    <w:rsid w:val="00A72EA1"/>
    <w:rsid w:val="00A838B3"/>
    <w:rsid w:val="00A867A1"/>
    <w:rsid w:val="00AB0645"/>
    <w:rsid w:val="00AB7106"/>
    <w:rsid w:val="00AC3165"/>
    <w:rsid w:val="00AE3D52"/>
    <w:rsid w:val="00AE4185"/>
    <w:rsid w:val="00AF23E5"/>
    <w:rsid w:val="00B27501"/>
    <w:rsid w:val="00B3433E"/>
    <w:rsid w:val="00B40CB8"/>
    <w:rsid w:val="00B424E5"/>
    <w:rsid w:val="00B441A1"/>
    <w:rsid w:val="00B470CC"/>
    <w:rsid w:val="00B600DD"/>
    <w:rsid w:val="00B64A10"/>
    <w:rsid w:val="00B669A7"/>
    <w:rsid w:val="00B832A9"/>
    <w:rsid w:val="00B94CD5"/>
    <w:rsid w:val="00BA5A3D"/>
    <w:rsid w:val="00BB1368"/>
    <w:rsid w:val="00BB7858"/>
    <w:rsid w:val="00BE06E2"/>
    <w:rsid w:val="00BE30EC"/>
    <w:rsid w:val="00BE4071"/>
    <w:rsid w:val="00BF66AE"/>
    <w:rsid w:val="00C0202D"/>
    <w:rsid w:val="00C02589"/>
    <w:rsid w:val="00C02F19"/>
    <w:rsid w:val="00C03D50"/>
    <w:rsid w:val="00C1582A"/>
    <w:rsid w:val="00C204C6"/>
    <w:rsid w:val="00C21944"/>
    <w:rsid w:val="00C237F7"/>
    <w:rsid w:val="00C25BC0"/>
    <w:rsid w:val="00C537D5"/>
    <w:rsid w:val="00C609AF"/>
    <w:rsid w:val="00C6282A"/>
    <w:rsid w:val="00C67665"/>
    <w:rsid w:val="00C84382"/>
    <w:rsid w:val="00C86A2F"/>
    <w:rsid w:val="00C92783"/>
    <w:rsid w:val="00CC1FF1"/>
    <w:rsid w:val="00CC7CC1"/>
    <w:rsid w:val="00CD2421"/>
    <w:rsid w:val="00CD67A8"/>
    <w:rsid w:val="00CE3517"/>
    <w:rsid w:val="00CE6FA6"/>
    <w:rsid w:val="00CE78AB"/>
    <w:rsid w:val="00D005C6"/>
    <w:rsid w:val="00D1160F"/>
    <w:rsid w:val="00D16C27"/>
    <w:rsid w:val="00D1719E"/>
    <w:rsid w:val="00D22124"/>
    <w:rsid w:val="00D24EA0"/>
    <w:rsid w:val="00D27BEC"/>
    <w:rsid w:val="00D30962"/>
    <w:rsid w:val="00D4049C"/>
    <w:rsid w:val="00D4348B"/>
    <w:rsid w:val="00D54D82"/>
    <w:rsid w:val="00D67673"/>
    <w:rsid w:val="00D71E0A"/>
    <w:rsid w:val="00D741E9"/>
    <w:rsid w:val="00D838BB"/>
    <w:rsid w:val="00D85AF4"/>
    <w:rsid w:val="00D9066E"/>
    <w:rsid w:val="00D939A5"/>
    <w:rsid w:val="00DA0D60"/>
    <w:rsid w:val="00DA6B7F"/>
    <w:rsid w:val="00DB7413"/>
    <w:rsid w:val="00DC7430"/>
    <w:rsid w:val="00DF5E46"/>
    <w:rsid w:val="00DF6B6E"/>
    <w:rsid w:val="00E04007"/>
    <w:rsid w:val="00E110E9"/>
    <w:rsid w:val="00E11646"/>
    <w:rsid w:val="00E40A5D"/>
    <w:rsid w:val="00E43E4C"/>
    <w:rsid w:val="00E45DCF"/>
    <w:rsid w:val="00E60056"/>
    <w:rsid w:val="00E63919"/>
    <w:rsid w:val="00E71C5B"/>
    <w:rsid w:val="00ED12A3"/>
    <w:rsid w:val="00EE7692"/>
    <w:rsid w:val="00F0440E"/>
    <w:rsid w:val="00F15DCE"/>
    <w:rsid w:val="00F15E3A"/>
    <w:rsid w:val="00F1769A"/>
    <w:rsid w:val="00F17F47"/>
    <w:rsid w:val="00F40D1D"/>
    <w:rsid w:val="00F50703"/>
    <w:rsid w:val="00F641D8"/>
    <w:rsid w:val="00F70D72"/>
    <w:rsid w:val="00F72090"/>
    <w:rsid w:val="00F8274D"/>
    <w:rsid w:val="00F8415E"/>
    <w:rsid w:val="00F84AD5"/>
    <w:rsid w:val="00FA41D7"/>
    <w:rsid w:val="00FB1933"/>
    <w:rsid w:val="00FC772E"/>
    <w:rsid w:val="00FC79F1"/>
    <w:rsid w:val="00FD6AA9"/>
    <w:rsid w:val="00FF63F7"/>
    <w:rsid w:val="0598E683"/>
    <w:rsid w:val="07F217DE"/>
    <w:rsid w:val="0922675D"/>
    <w:rsid w:val="0B12DCB0"/>
    <w:rsid w:val="0BE2FC1D"/>
    <w:rsid w:val="0DA5806C"/>
    <w:rsid w:val="0DDED6C2"/>
    <w:rsid w:val="0DEC871F"/>
    <w:rsid w:val="12098DCF"/>
    <w:rsid w:val="14E9E165"/>
    <w:rsid w:val="1A20F05C"/>
    <w:rsid w:val="1AD1009C"/>
    <w:rsid w:val="1B0F366D"/>
    <w:rsid w:val="1C06E137"/>
    <w:rsid w:val="1D1E5C05"/>
    <w:rsid w:val="1E35EAD4"/>
    <w:rsid w:val="20478EDE"/>
    <w:rsid w:val="266D9245"/>
    <w:rsid w:val="26EBE2D9"/>
    <w:rsid w:val="2BF90C46"/>
    <w:rsid w:val="2C8C7261"/>
    <w:rsid w:val="2E35277B"/>
    <w:rsid w:val="2F9109E1"/>
    <w:rsid w:val="33C75FED"/>
    <w:rsid w:val="3595EAB8"/>
    <w:rsid w:val="367B9A02"/>
    <w:rsid w:val="36B5ACA1"/>
    <w:rsid w:val="37A8A76D"/>
    <w:rsid w:val="3B0A12D5"/>
    <w:rsid w:val="3EAABCA8"/>
    <w:rsid w:val="4363DAF1"/>
    <w:rsid w:val="45FB832C"/>
    <w:rsid w:val="47FCD7AD"/>
    <w:rsid w:val="48429FA9"/>
    <w:rsid w:val="49EB85C0"/>
    <w:rsid w:val="4FD86C08"/>
    <w:rsid w:val="552334AA"/>
    <w:rsid w:val="57FF9A81"/>
    <w:rsid w:val="58E89837"/>
    <w:rsid w:val="6088504D"/>
    <w:rsid w:val="64832666"/>
    <w:rsid w:val="66046DA4"/>
    <w:rsid w:val="67EDF4D2"/>
    <w:rsid w:val="67EF1AB8"/>
    <w:rsid w:val="698AEB19"/>
    <w:rsid w:val="6BCDC192"/>
    <w:rsid w:val="6DDA788E"/>
    <w:rsid w:val="700C5467"/>
    <w:rsid w:val="730046EE"/>
    <w:rsid w:val="767ED6DD"/>
    <w:rsid w:val="782DC909"/>
    <w:rsid w:val="7A9CF1B5"/>
    <w:rsid w:val="7B1E22EA"/>
    <w:rsid w:val="7C952125"/>
    <w:rsid w:val="7DB6A9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5852D"/>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4320"/>
    <w:pPr>
      <w:snapToGrid w:val="0"/>
      <w:spacing w:after="120" w:line="240" w:lineRule="auto"/>
      <w:ind w:left="862" w:hanging="862"/>
    </w:pPr>
    <w:rPr>
      <w:rFonts w:ascii="Arial" w:hAnsi="Arial" w:eastAsia="Arial" w:cs="Arial"/>
      <w:sz w:val="24"/>
      <w:lang w:eastAsia="en-GB"/>
    </w:rPr>
  </w:style>
  <w:style w:type="paragraph" w:styleId="Heading1">
    <w:name w:val="heading 1"/>
    <w:basedOn w:val="Normal"/>
    <w:next w:val="Normal"/>
    <w:link w:val="Heading1Char"/>
    <w:autoRedefine/>
    <w:uiPriority w:val="9"/>
    <w:qFormat/>
    <w:rsid w:val="00C609AF"/>
    <w:pPr>
      <w:keepNext/>
      <w:keepLines/>
      <w:numPr>
        <w:numId w:val="13"/>
      </w:numPr>
      <w:tabs>
        <w:tab w:val="left" w:pos="993"/>
      </w:tabs>
      <w:spacing w:before="240"/>
      <w:ind w:left="284" w:hanging="284"/>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07F7B"/>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204C6"/>
    <w:pPr>
      <w:keepNext/>
      <w:keepLines/>
      <w:ind w:left="0" w:firstLine="0"/>
      <w:outlineLvl w:val="2"/>
    </w:pPr>
    <w:rPr>
      <w:rFonts w:eastAsiaTheme="majorEastAsia" w:cstheme="majorBidi"/>
      <w:b/>
      <w:szCs w:val="24"/>
      <w:lang w:eastAsia="en-US"/>
    </w:rPr>
  </w:style>
  <w:style w:type="paragraph" w:styleId="Heading4">
    <w:name w:val="heading 4"/>
    <w:basedOn w:val="Normal"/>
    <w:next w:val="Normal"/>
    <w:link w:val="Heading4Char"/>
    <w:qFormat/>
    <w:rsid w:val="00E110E9"/>
    <w:pPr>
      <w:keepNext/>
      <w:spacing w:before="240" w:after="60"/>
      <w:ind w:left="0" w:firstLine="0"/>
      <w:outlineLvl w:val="3"/>
    </w:pPr>
    <w:rPr>
      <w:rFonts w:ascii="Times New Roman" w:hAnsi="Times New Roman" w:eastAsia="Times New Roman" w:cs="Times New Roman"/>
      <w:b/>
      <w:bCs/>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609AF"/>
    <w:rPr>
      <w:rFonts w:ascii="Arial" w:hAnsi="Arial" w:eastAsiaTheme="majorEastAsia" w:cstheme="majorBidi"/>
      <w:b/>
      <w:bCs/>
      <w:sz w:val="24"/>
      <w:szCs w:val="28"/>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nhideWhenUsed/>
    <w:rsid w:val="002750C2"/>
    <w:pPr>
      <w:tabs>
        <w:tab w:val="center" w:pos="4513"/>
        <w:tab w:val="right" w:pos="9026"/>
      </w:tabs>
      <w:spacing w:after="0"/>
    </w:pPr>
  </w:style>
  <w:style w:type="character" w:styleId="FooterChar" w:customStyle="1">
    <w:name w:val="Footer Char"/>
    <w:basedOn w:val="DefaultParagraphFont"/>
    <w:link w:val="Footer"/>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character" w:styleId="Heading3Char" w:customStyle="1">
    <w:name w:val="Heading 3 Char"/>
    <w:basedOn w:val="DefaultParagraphFont"/>
    <w:link w:val="Heading3"/>
    <w:uiPriority w:val="9"/>
    <w:rsid w:val="00C204C6"/>
    <w:rPr>
      <w:rFonts w:ascii="Arial" w:hAnsi="Arial" w:eastAsiaTheme="majorEastAsia" w:cstheme="majorBidi"/>
      <w:b/>
      <w:sz w:val="24"/>
      <w:szCs w:val="24"/>
    </w:rPr>
  </w:style>
  <w:style w:type="character" w:styleId="Heading4Char" w:customStyle="1">
    <w:name w:val="Heading 4 Char"/>
    <w:basedOn w:val="DefaultParagraphFont"/>
    <w:link w:val="Heading4"/>
    <w:rsid w:val="00E110E9"/>
    <w:rPr>
      <w:rFonts w:ascii="Times New Roman" w:hAnsi="Times New Roman" w:eastAsia="Times New Roman" w:cs="Times New Roman"/>
      <w:b/>
      <w:bCs/>
      <w:sz w:val="28"/>
      <w:szCs w:val="28"/>
    </w:rPr>
  </w:style>
  <w:style w:type="paragraph" w:styleId="BodyText">
    <w:name w:val="Body Text"/>
    <w:basedOn w:val="Normal"/>
    <w:link w:val="BodyTextChar"/>
    <w:rsid w:val="00E110E9"/>
    <w:pPr>
      <w:spacing w:after="0"/>
      <w:ind w:left="0" w:firstLine="0"/>
      <w:jc w:val="center"/>
    </w:pPr>
    <w:rPr>
      <w:rFonts w:ascii="Plantin" w:hAnsi="Plantin" w:eastAsia="Times New Roman" w:cs="Times New Roman"/>
      <w:szCs w:val="20"/>
      <w:lang w:eastAsia="en-US"/>
    </w:rPr>
  </w:style>
  <w:style w:type="character" w:styleId="BodyTextChar" w:customStyle="1">
    <w:name w:val="Body Text Char"/>
    <w:basedOn w:val="DefaultParagraphFont"/>
    <w:link w:val="BodyText"/>
    <w:rsid w:val="00E110E9"/>
    <w:rPr>
      <w:rFonts w:ascii="Plantin" w:hAnsi="Plantin" w:eastAsia="Times New Roman" w:cs="Times New Roman"/>
      <w:sz w:val="24"/>
      <w:szCs w:val="20"/>
    </w:rPr>
  </w:style>
  <w:style w:type="paragraph" w:styleId="FootnoteText">
    <w:name w:val="footnote text"/>
    <w:basedOn w:val="Normal"/>
    <w:link w:val="FootnoteTextChar"/>
    <w:semiHidden/>
    <w:rsid w:val="00E110E9"/>
    <w:pPr>
      <w:spacing w:after="0"/>
      <w:ind w:left="0" w:firstLine="0"/>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E110E9"/>
    <w:rPr>
      <w:rFonts w:ascii="Times New Roman" w:hAnsi="Times New Roman" w:eastAsia="Times New Roman" w:cs="Times New Roman"/>
      <w:sz w:val="20"/>
      <w:szCs w:val="20"/>
    </w:rPr>
  </w:style>
  <w:style w:type="character" w:styleId="FootnoteReference">
    <w:name w:val="footnote reference"/>
    <w:basedOn w:val="DefaultParagraphFont"/>
    <w:semiHidden/>
    <w:rsid w:val="00E110E9"/>
    <w:rPr>
      <w:vertAlign w:val="superscript"/>
    </w:rPr>
  </w:style>
  <w:style w:type="paragraph" w:styleId="NormalWeb">
    <w:name w:val="Normal (Web)"/>
    <w:basedOn w:val="Normal"/>
    <w:uiPriority w:val="99"/>
    <w:rsid w:val="00E110E9"/>
    <w:pPr>
      <w:spacing w:before="100" w:beforeAutospacing="1" w:after="100" w:afterAutospacing="1"/>
      <w:ind w:left="0" w:firstLine="0"/>
    </w:pPr>
    <w:rPr>
      <w:rFonts w:ascii="Times New Roman" w:hAnsi="Times New Roman" w:eastAsia="SimSun" w:cs="Times New Roman"/>
      <w:szCs w:val="24"/>
      <w:lang w:eastAsia="zh-CN"/>
    </w:rPr>
  </w:style>
  <w:style w:type="character" w:styleId="Strong">
    <w:name w:val="Strong"/>
    <w:basedOn w:val="DefaultParagraphFont"/>
    <w:uiPriority w:val="22"/>
    <w:qFormat/>
    <w:rsid w:val="00E110E9"/>
    <w:rPr>
      <w:b/>
      <w:bCs/>
    </w:rPr>
  </w:style>
  <w:style w:type="character" w:styleId="Emphasis">
    <w:name w:val="Emphasis"/>
    <w:basedOn w:val="DefaultParagraphFont"/>
    <w:uiPriority w:val="20"/>
    <w:qFormat/>
    <w:rsid w:val="00E110E9"/>
    <w:rPr>
      <w:i/>
      <w:iCs/>
    </w:rPr>
  </w:style>
  <w:style w:type="paragraph" w:styleId="ListParagraph">
    <w:name w:val="List Paragraph"/>
    <w:basedOn w:val="Normal"/>
    <w:uiPriority w:val="34"/>
    <w:qFormat/>
    <w:rsid w:val="00E110E9"/>
    <w:pPr>
      <w:spacing w:after="0"/>
      <w:ind w:left="720" w:firstLine="0"/>
      <w:contextualSpacing/>
    </w:pPr>
    <w:rPr>
      <w:rFonts w:ascii="Times New Roman" w:hAnsi="Times New Roman" w:eastAsia="Times New Roman" w:cs="Times New Roman"/>
      <w:sz w:val="20"/>
      <w:szCs w:val="20"/>
      <w:lang w:eastAsia="en-US"/>
    </w:rPr>
  </w:style>
  <w:style w:type="paragraph" w:styleId="BalloonText">
    <w:name w:val="Balloon Text"/>
    <w:basedOn w:val="Normal"/>
    <w:link w:val="BalloonTextChar"/>
    <w:uiPriority w:val="99"/>
    <w:semiHidden/>
    <w:unhideWhenUsed/>
    <w:rsid w:val="00E110E9"/>
    <w:pPr>
      <w:spacing w:after="0"/>
      <w:ind w:left="0" w:firstLine="0"/>
    </w:pPr>
    <w:rPr>
      <w:rFonts w:ascii="Tahoma" w:hAnsi="Tahoma" w:eastAsia="Times New Roman" w:cs="Tahoma"/>
      <w:sz w:val="16"/>
      <w:szCs w:val="16"/>
      <w:lang w:eastAsia="en-US"/>
    </w:rPr>
  </w:style>
  <w:style w:type="character" w:styleId="BalloonTextChar" w:customStyle="1">
    <w:name w:val="Balloon Text Char"/>
    <w:basedOn w:val="DefaultParagraphFont"/>
    <w:link w:val="BalloonText"/>
    <w:uiPriority w:val="99"/>
    <w:semiHidden/>
    <w:rsid w:val="00E110E9"/>
    <w:rPr>
      <w:rFonts w:ascii="Tahoma" w:hAnsi="Tahoma" w:eastAsia="Times New Roman" w:cs="Tahoma"/>
      <w:sz w:val="16"/>
      <w:szCs w:val="16"/>
    </w:rPr>
  </w:style>
  <w:style w:type="character" w:styleId="FollowedHyperlink">
    <w:name w:val="FollowedHyperlink"/>
    <w:basedOn w:val="DefaultParagraphFont"/>
    <w:uiPriority w:val="99"/>
    <w:semiHidden/>
    <w:unhideWhenUsed/>
    <w:rsid w:val="00E110E9"/>
    <w:rPr>
      <w:color w:val="954F72" w:themeColor="followedHyperlink"/>
      <w:u w:val="single"/>
    </w:rPr>
  </w:style>
  <w:style w:type="paragraph" w:styleId="CommentText">
    <w:name w:val="annotation text"/>
    <w:basedOn w:val="Normal"/>
    <w:link w:val="CommentTextChar"/>
    <w:uiPriority w:val="99"/>
    <w:unhideWhenUsed/>
    <w:rsid w:val="00E110E9"/>
    <w:pPr>
      <w:spacing w:after="0"/>
      <w:ind w:left="0" w:firstLine="0"/>
    </w:pPr>
    <w:rPr>
      <w:rFonts w:ascii="Times New Roman" w:hAnsi="Times New Roman" w:eastAsia="Times New Roman" w:cs="Times New Roman"/>
      <w:sz w:val="20"/>
      <w:szCs w:val="20"/>
      <w:lang w:eastAsia="en-US"/>
    </w:rPr>
  </w:style>
  <w:style w:type="character" w:styleId="CommentTextChar" w:customStyle="1">
    <w:name w:val="Comment Text Char"/>
    <w:basedOn w:val="DefaultParagraphFont"/>
    <w:link w:val="CommentText"/>
    <w:uiPriority w:val="99"/>
    <w:rsid w:val="00E110E9"/>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sid w:val="00E110E9"/>
    <w:rPr>
      <w:sz w:val="16"/>
      <w:szCs w:val="16"/>
    </w:rPr>
  </w:style>
  <w:style w:type="paragraph" w:styleId="CommentSubject">
    <w:name w:val="annotation subject"/>
    <w:basedOn w:val="CommentText"/>
    <w:next w:val="CommentText"/>
    <w:link w:val="CommentSubjectChar"/>
    <w:uiPriority w:val="99"/>
    <w:semiHidden/>
    <w:unhideWhenUsed/>
    <w:rsid w:val="00E110E9"/>
    <w:rPr>
      <w:b/>
      <w:bCs/>
    </w:rPr>
  </w:style>
  <w:style w:type="character" w:styleId="CommentSubjectChar" w:customStyle="1">
    <w:name w:val="Comment Subject Char"/>
    <w:basedOn w:val="CommentTextChar"/>
    <w:link w:val="CommentSubject"/>
    <w:uiPriority w:val="99"/>
    <w:semiHidden/>
    <w:rsid w:val="00E110E9"/>
    <w:rPr>
      <w:rFonts w:ascii="Times New Roman" w:hAnsi="Times New Roman" w:eastAsia="Times New Roman" w:cs="Times New Roman"/>
      <w:b/>
      <w:bCs/>
      <w:sz w:val="20"/>
      <w:szCs w:val="20"/>
    </w:rPr>
  </w:style>
  <w:style w:type="paragraph" w:styleId="Default" w:customStyle="1">
    <w:name w:val="Default"/>
    <w:rsid w:val="00E110E9"/>
    <w:pPr>
      <w:autoSpaceDE w:val="0"/>
      <w:autoSpaceDN w:val="0"/>
      <w:adjustRightInd w:val="0"/>
      <w:spacing w:after="0" w:line="240" w:lineRule="auto"/>
    </w:pPr>
    <w:rPr>
      <w:rFonts w:ascii="Calibri" w:hAnsi="Calibri" w:cs="Calibri"/>
      <w:color w:val="000000"/>
      <w:sz w:val="24"/>
      <w:szCs w:val="24"/>
    </w:rPr>
  </w:style>
  <w:style w:type="paragraph" w:styleId="H4" w:customStyle="1">
    <w:name w:val="H4"/>
    <w:basedOn w:val="Normal"/>
    <w:next w:val="Normal"/>
    <w:rsid w:val="00E110E9"/>
    <w:pPr>
      <w:keepNext/>
      <w:spacing w:before="100" w:after="100"/>
      <w:ind w:left="0" w:firstLine="0"/>
      <w:outlineLvl w:val="4"/>
    </w:pPr>
    <w:rPr>
      <w:rFonts w:ascii="Times New Roman" w:hAnsi="Times New Roman" w:eastAsia="Times New Roman" w:cs="Times New Roman"/>
      <w:b/>
      <w:szCs w:val="20"/>
      <w:lang w:eastAsia="en-US"/>
    </w:rPr>
  </w:style>
  <w:style w:type="paragraph" w:styleId="xmsonormal" w:customStyle="1">
    <w:name w:val="x_msonormal"/>
    <w:basedOn w:val="Normal"/>
    <w:rsid w:val="00E110E9"/>
    <w:pPr>
      <w:spacing w:before="100" w:beforeAutospacing="1" w:after="100" w:afterAutospacing="1"/>
      <w:ind w:left="0" w:firstLine="0"/>
    </w:pPr>
    <w:rPr>
      <w:rFonts w:ascii="Times New Roman" w:hAnsi="Times New Roman" w:eastAsia="Times New Roman" w:cs="Times New Roman"/>
      <w:szCs w:val="24"/>
    </w:rPr>
  </w:style>
  <w:style w:type="paragraph" w:styleId="Title">
    <w:name w:val="Title"/>
    <w:basedOn w:val="Normal"/>
    <w:next w:val="Normal"/>
    <w:link w:val="TitleChar"/>
    <w:uiPriority w:val="10"/>
    <w:qFormat/>
    <w:rsid w:val="003D29A4"/>
    <w:pPr>
      <w:spacing w:after="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D29A4"/>
    <w:rPr>
      <w:rFonts w:asciiTheme="majorHAnsi" w:hAnsiTheme="majorHAnsi" w:eastAsiaTheme="majorEastAsia" w:cstheme="majorBidi"/>
      <w:spacing w:val="-10"/>
      <w:kern w:val="28"/>
      <w:sz w:val="56"/>
      <w:szCs w:val="56"/>
      <w:lang w:eastAsia="en-GB"/>
    </w:rPr>
  </w:style>
  <w:style w:type="paragraph" w:styleId="Subtitle">
    <w:name w:val="Subtitle"/>
    <w:basedOn w:val="Normal"/>
    <w:next w:val="Normal"/>
    <w:link w:val="SubtitleChar"/>
    <w:uiPriority w:val="11"/>
    <w:qFormat/>
    <w:rsid w:val="003D29A4"/>
    <w:pPr>
      <w:numPr>
        <w:ilvl w:val="1"/>
      </w:numPr>
      <w:spacing w:after="160"/>
      <w:ind w:left="862" w:hanging="862"/>
    </w:pPr>
    <w:rPr>
      <w:rFonts w:asciiTheme="minorHAnsi" w:hAnsiTheme="minorHAnsi" w:eastAsiaTheme="minorEastAsia" w:cstheme="minorBidi"/>
      <w:color w:val="5A5A5A" w:themeColor="text1" w:themeTint="A5"/>
      <w:spacing w:val="15"/>
    </w:rPr>
  </w:style>
  <w:style w:type="character" w:styleId="SubtitleChar" w:customStyle="1">
    <w:name w:val="Subtitle Char"/>
    <w:basedOn w:val="DefaultParagraphFont"/>
    <w:link w:val="Subtitle"/>
    <w:uiPriority w:val="11"/>
    <w:rsid w:val="003D29A4"/>
    <w:rPr>
      <w:rFonts w:eastAsiaTheme="minorEastAsia"/>
      <w:color w:val="5A5A5A" w:themeColor="text1" w:themeTint="A5"/>
      <w:spacing w:val="15"/>
      <w:lang w:eastAsia="en-GB"/>
    </w:rPr>
  </w:style>
  <w:style w:type="character" w:styleId="UnresolvedMention">
    <w:name w:val="Unresolved Mention"/>
    <w:basedOn w:val="DefaultParagraphFont"/>
    <w:uiPriority w:val="99"/>
    <w:semiHidden/>
    <w:unhideWhenUsed/>
    <w:rsid w:val="00F17F47"/>
    <w:rPr>
      <w:color w:val="605E5C"/>
      <w:shd w:val="clear" w:color="auto" w:fill="E1DFDD"/>
    </w:rPr>
  </w:style>
  <w:style w:type="character" w:styleId="Heading2Char" w:customStyle="1">
    <w:name w:val="Heading 2 Char"/>
    <w:basedOn w:val="DefaultParagraphFont"/>
    <w:link w:val="Heading2"/>
    <w:uiPriority w:val="9"/>
    <w:rsid w:val="00007F7B"/>
    <w:rPr>
      <w:rFonts w:ascii="Arial" w:hAnsi="Arial" w:eastAsiaTheme="majorEastAsia" w:cstheme="majorBidi"/>
      <w:b/>
      <w:sz w:val="24"/>
      <w:szCs w:val="26"/>
      <w:lang w:eastAsia="en-GB"/>
    </w:rPr>
  </w:style>
  <w:style w:type="paragraph" w:styleId="TOCHeading">
    <w:name w:val="TOC Heading"/>
    <w:basedOn w:val="Heading1"/>
    <w:next w:val="Normal"/>
    <w:uiPriority w:val="39"/>
    <w:unhideWhenUsed/>
    <w:qFormat/>
    <w:rsid w:val="00797E01"/>
    <w:pPr>
      <w:numPr>
        <w:numId w:val="0"/>
      </w:numPr>
      <w:tabs>
        <w:tab w:val="clear" w:pos="993"/>
      </w:tabs>
      <w:spacing w:after="0" w:line="259" w:lineRule="auto"/>
      <w:outlineLvl w:val="9"/>
    </w:pPr>
    <w:rPr>
      <w:rFonts w:asciiTheme="majorHAnsi" w:hAnsiTheme="majorHAnsi"/>
      <w:bCs w:val="0"/>
      <w:color w:val="2E74B5" w:themeColor="accent1" w:themeShade="BF"/>
      <w:sz w:val="32"/>
      <w:szCs w:val="32"/>
      <w:lang w:val="en-US" w:eastAsia="en-US"/>
    </w:rPr>
  </w:style>
  <w:style w:type="paragraph" w:styleId="TOC1">
    <w:name w:val="toc 1"/>
    <w:basedOn w:val="Normal"/>
    <w:next w:val="Normal"/>
    <w:autoRedefine/>
    <w:uiPriority w:val="39"/>
    <w:unhideWhenUsed/>
    <w:rsid w:val="00D4049C"/>
    <w:pPr>
      <w:tabs>
        <w:tab w:val="right" w:leader="dot" w:pos="9016"/>
      </w:tabs>
      <w:spacing w:after="100"/>
      <w:ind w:left="567" w:hanging="567"/>
    </w:pPr>
  </w:style>
  <w:style w:type="paragraph" w:styleId="TOC2">
    <w:name w:val="toc 2"/>
    <w:basedOn w:val="Normal"/>
    <w:next w:val="Normal"/>
    <w:autoRedefine/>
    <w:uiPriority w:val="39"/>
    <w:unhideWhenUsed/>
    <w:rsid w:val="00D1160F"/>
    <w:pPr>
      <w:tabs>
        <w:tab w:val="right" w:leader="dot" w:pos="9016"/>
      </w:tabs>
      <w:spacing w:after="100"/>
      <w:ind w:left="709" w:hanging="709"/>
    </w:pPr>
  </w:style>
  <w:style w:type="paragraph" w:styleId="TOC3">
    <w:name w:val="toc 3"/>
    <w:basedOn w:val="Normal"/>
    <w:next w:val="Normal"/>
    <w:autoRedefine/>
    <w:uiPriority w:val="39"/>
    <w:unhideWhenUsed/>
    <w:rsid w:val="00D4049C"/>
    <w:pPr>
      <w:tabs>
        <w:tab w:val="right" w:leader="dot" w:pos="9016"/>
      </w:tabs>
      <w:spacing w:after="100"/>
      <w:ind w:left="440" w:hanging="724"/>
    </w:pPr>
  </w:style>
  <w:style w:type="paragraph" w:styleId="TOC4">
    <w:name w:val="toc 4"/>
    <w:basedOn w:val="Normal"/>
    <w:next w:val="Normal"/>
    <w:autoRedefine/>
    <w:uiPriority w:val="39"/>
    <w:unhideWhenUsed/>
    <w:rsid w:val="00797E01"/>
    <w:pPr>
      <w:spacing w:after="100" w:line="259" w:lineRule="auto"/>
      <w:ind w:left="660" w:firstLine="0"/>
    </w:pPr>
    <w:rPr>
      <w:rFonts w:asciiTheme="minorHAnsi" w:hAnsiTheme="minorHAnsi" w:eastAsiaTheme="minorEastAsia" w:cstheme="minorBidi"/>
    </w:rPr>
  </w:style>
  <w:style w:type="paragraph" w:styleId="TOC5">
    <w:name w:val="toc 5"/>
    <w:basedOn w:val="Normal"/>
    <w:next w:val="Normal"/>
    <w:autoRedefine/>
    <w:uiPriority w:val="39"/>
    <w:unhideWhenUsed/>
    <w:rsid w:val="00797E01"/>
    <w:pPr>
      <w:spacing w:after="100" w:line="259" w:lineRule="auto"/>
      <w:ind w:left="880" w:firstLine="0"/>
    </w:pPr>
    <w:rPr>
      <w:rFonts w:asciiTheme="minorHAnsi" w:hAnsiTheme="minorHAnsi" w:eastAsiaTheme="minorEastAsia" w:cstheme="minorBidi"/>
    </w:rPr>
  </w:style>
  <w:style w:type="paragraph" w:styleId="TOC6">
    <w:name w:val="toc 6"/>
    <w:basedOn w:val="Normal"/>
    <w:next w:val="Normal"/>
    <w:autoRedefine/>
    <w:uiPriority w:val="39"/>
    <w:unhideWhenUsed/>
    <w:rsid w:val="00797E01"/>
    <w:pPr>
      <w:spacing w:after="100" w:line="259" w:lineRule="auto"/>
      <w:ind w:left="1100" w:firstLine="0"/>
    </w:pPr>
    <w:rPr>
      <w:rFonts w:asciiTheme="minorHAnsi" w:hAnsiTheme="minorHAnsi" w:eastAsiaTheme="minorEastAsia" w:cstheme="minorBidi"/>
    </w:rPr>
  </w:style>
  <w:style w:type="paragraph" w:styleId="TOC7">
    <w:name w:val="toc 7"/>
    <w:basedOn w:val="Normal"/>
    <w:next w:val="Normal"/>
    <w:autoRedefine/>
    <w:uiPriority w:val="39"/>
    <w:unhideWhenUsed/>
    <w:rsid w:val="00797E01"/>
    <w:pPr>
      <w:spacing w:after="100" w:line="259" w:lineRule="auto"/>
      <w:ind w:left="1320" w:firstLine="0"/>
    </w:pPr>
    <w:rPr>
      <w:rFonts w:asciiTheme="minorHAnsi" w:hAnsiTheme="minorHAnsi" w:eastAsiaTheme="minorEastAsia" w:cstheme="minorBidi"/>
    </w:rPr>
  </w:style>
  <w:style w:type="paragraph" w:styleId="TOC8">
    <w:name w:val="toc 8"/>
    <w:basedOn w:val="Normal"/>
    <w:next w:val="Normal"/>
    <w:autoRedefine/>
    <w:uiPriority w:val="39"/>
    <w:unhideWhenUsed/>
    <w:rsid w:val="00797E01"/>
    <w:pPr>
      <w:spacing w:after="100" w:line="259" w:lineRule="auto"/>
      <w:ind w:left="1540" w:firstLine="0"/>
    </w:pPr>
    <w:rPr>
      <w:rFonts w:asciiTheme="minorHAnsi" w:hAnsiTheme="minorHAnsi" w:eastAsiaTheme="minorEastAsia" w:cstheme="minorBidi"/>
    </w:rPr>
  </w:style>
  <w:style w:type="paragraph" w:styleId="TOC9">
    <w:name w:val="toc 9"/>
    <w:basedOn w:val="Normal"/>
    <w:next w:val="Normal"/>
    <w:autoRedefine/>
    <w:uiPriority w:val="39"/>
    <w:unhideWhenUsed/>
    <w:rsid w:val="00797E01"/>
    <w:pPr>
      <w:spacing w:after="100" w:line="259" w:lineRule="auto"/>
      <w:ind w:left="1760" w:firstLine="0"/>
    </w:pPr>
    <w:rPr>
      <w:rFonts w:asciiTheme="minorHAnsi" w:hAnsiTheme="minorHAnsi" w:eastAsiaTheme="minorEastAsia" w:cstheme="minorBidi"/>
    </w:rPr>
  </w:style>
  <w:style w:type="paragraph" w:styleId="Revision">
    <w:name w:val="Revision"/>
    <w:hidden/>
    <w:uiPriority w:val="99"/>
    <w:semiHidden/>
    <w:rsid w:val="00371061"/>
    <w:pPr>
      <w:spacing w:after="0" w:line="240" w:lineRule="auto"/>
    </w:pPr>
    <w:rPr>
      <w:rFonts w:ascii="Arial" w:hAnsi="Arial" w:eastAsia="Arial" w:cs="Arial"/>
      <w:sz w:val="24"/>
      <w:lang w:eastAsia="en-GB"/>
    </w:rPr>
  </w:style>
  <w:style w:type="paragraph" w:styleId="heading30" w:customStyle="1">
    <w:name w:val="heading3"/>
    <w:basedOn w:val="Heading3"/>
    <w:qFormat/>
    <w:rsid w:val="009645A9"/>
    <w:pPr>
      <w:snapToGrid/>
      <w:spacing w:before="360" w:line="259" w:lineRule="auto"/>
      <w:ind w:left="1429" w:hanging="72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9033">
      <w:bodyDiv w:val="1"/>
      <w:marLeft w:val="0"/>
      <w:marRight w:val="0"/>
      <w:marTop w:val="0"/>
      <w:marBottom w:val="0"/>
      <w:divBdr>
        <w:top w:val="none" w:sz="0" w:space="0" w:color="auto"/>
        <w:left w:val="none" w:sz="0" w:space="0" w:color="auto"/>
        <w:bottom w:val="none" w:sz="0" w:space="0" w:color="auto"/>
        <w:right w:val="none" w:sz="0" w:space="0" w:color="auto"/>
      </w:divBdr>
    </w:div>
    <w:div w:id="871768343">
      <w:bodyDiv w:val="1"/>
      <w:marLeft w:val="0"/>
      <w:marRight w:val="0"/>
      <w:marTop w:val="0"/>
      <w:marBottom w:val="0"/>
      <w:divBdr>
        <w:top w:val="none" w:sz="0" w:space="0" w:color="auto"/>
        <w:left w:val="none" w:sz="0" w:space="0" w:color="auto"/>
        <w:bottom w:val="none" w:sz="0" w:space="0" w:color="auto"/>
        <w:right w:val="none" w:sz="0" w:space="0" w:color="auto"/>
      </w:divBdr>
    </w:div>
    <w:div w:id="1702974111">
      <w:bodyDiv w:val="1"/>
      <w:marLeft w:val="0"/>
      <w:marRight w:val="0"/>
      <w:marTop w:val="0"/>
      <w:marBottom w:val="0"/>
      <w:divBdr>
        <w:top w:val="none" w:sz="0" w:space="0" w:color="auto"/>
        <w:left w:val="none" w:sz="0" w:space="0" w:color="auto"/>
        <w:bottom w:val="none" w:sz="0" w:space="0" w:color="auto"/>
        <w:right w:val="none" w:sz="0" w:space="0" w:color="auto"/>
      </w:divBdr>
    </w:div>
    <w:div w:id="18043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kentcma@kent.ac.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kentcma@kent.ac.uk"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1" Type="http://schemas.openxmlformats.org/officeDocument/2006/relationships/hyperlink" Target="https://blogs.kent.ac.uk/qaco/category/regulatory-framework-updat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vekentac.sharepoint.com/sites/education-qaco/SitePages/cma-risk-assessment-for-courses.aspx" TargetMode="External"/><Relationship Id="rId3" Type="http://schemas.openxmlformats.org/officeDocument/2006/relationships/hyperlink" Target="https://livekentac.sharepoint.com/sites/education-qaco/SitePages/course-marketing-recruitment-deadlines.aspx" TargetMode="External"/><Relationship Id="rId7" Type="http://schemas.openxmlformats.org/officeDocument/2006/relationships/hyperlink" Target="https://livekentac.sharepoint.com/sites/education-qaco/SitePages/cma-risk-assessment-for-modules.aspx" TargetMode="External"/><Relationship Id="rId12" Type="http://schemas.openxmlformats.org/officeDocument/2006/relationships/hyperlink" Target="https://livekentac.sharepoint.com/sites/education-qaco/SitePages/cma-risk-assessment-for-modules.aspx" TargetMode="External"/><Relationship Id="rId2" Type="http://schemas.openxmlformats.org/officeDocument/2006/relationships/hyperlink" Target="https://www.kent.ac.uk/education/cma/cma-material-information" TargetMode="External"/><Relationship Id="rId1" Type="http://schemas.openxmlformats.org/officeDocument/2006/relationships/hyperlink" Target="https://assets.publishing.service.gov.uk/government/uploads/system/uploads/attachment_data/file/1159885/Consumer_law_advice_for_higher_education_providers_.pdf" TargetMode="External"/><Relationship Id="rId6" Type="http://schemas.openxmlformats.org/officeDocument/2006/relationships/hyperlink" Target="https://livekentac.sharepoint.com/sites/education-qaco/SitePages/cma-risk-assessment-for-courses.aspx" TargetMode="External"/><Relationship Id="rId11" Type="http://schemas.openxmlformats.org/officeDocument/2006/relationships/hyperlink" Target="mailto:kentcma@kent.ac.uk" TargetMode="External"/><Relationship Id="rId5" Type="http://schemas.openxmlformats.org/officeDocument/2006/relationships/hyperlink" Target="https://livekentac.sharepoint.com/sites/education-qaco/SitePages/cma-material-information.aspx" TargetMode="External"/><Relationship Id="rId10" Type="http://schemas.openxmlformats.org/officeDocument/2006/relationships/hyperlink" Target="https://livekentac.sharepoint.com/sites/education-qaco/SitePages/cma-risk-assessment-for-courses.aspx" TargetMode="External"/><Relationship Id="rId4" Type="http://schemas.openxmlformats.org/officeDocument/2006/relationships/hyperlink" Target="https://www.kent.ac.uk/education/cma/cma-material-information" TargetMode="External"/><Relationship Id="rId9" Type="http://schemas.openxmlformats.org/officeDocument/2006/relationships/hyperlink" Target="https://www.kent.ac.uk/applicants/policies/student-protection-pl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SharedWithUsers xmlns="1fdcc210-6ef1-468c-b14e-f77be65fdea8">
      <UserInfo>
        <DisplayName>Ami Solomon</DisplayName>
        <AccountId>34</AccountId>
        <AccountType/>
      </UserInfo>
    </SharedWithUsers>
    <Document_x0020_Status xmlns="4844a565-d903-479b-8f5d-e7c9db0d7e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329A7-0488-4E37-800E-96827676BDF6}">
  <ds:schemaRefs>
    <ds:schemaRef ds:uri="http://schemas.openxmlformats.org/officeDocument/2006/bibliography"/>
  </ds:schemaRefs>
</ds:datastoreItem>
</file>

<file path=customXml/itemProps2.xml><?xml version="1.0" encoding="utf-8"?>
<ds:datastoreItem xmlns:ds="http://schemas.openxmlformats.org/officeDocument/2006/customXml" ds:itemID="{53D51418-BC7F-4EA8-BD3C-69A1A99FB88A}">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7C6DDF1A-CA21-4D56-A6A5-F21A2AC5F36A}"/>
</file>

<file path=customXml/itemProps4.xml><?xml version="1.0" encoding="utf-8"?>
<ds:datastoreItem xmlns:ds="http://schemas.openxmlformats.org/officeDocument/2006/customXml" ds:itemID="{2353C4B3-CBC4-443B-91D2-3C5D17779296}">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4</cp:revision>
  <dcterms:created xsi:type="dcterms:W3CDTF">2023-07-02T10:58:00Z</dcterms:created>
  <dcterms:modified xsi:type="dcterms:W3CDTF">2023-11-09T15:31:58Z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