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59E4" w:rsidR="00240DBE" w:rsidP="00240DBE" w:rsidRDefault="00240DBE" w14:paraId="1E6C79E2" w14:textId="63B7303F">
      <w:pPr>
        <w:pStyle w:val="Title"/>
        <w:ind w:right="95"/>
        <w:rPr>
          <w:rFonts w:cs="Arial"/>
          <w:lang w:val="en-US"/>
        </w:rPr>
      </w:pPr>
      <w:r w:rsidRPr="007C59E4">
        <w:rPr>
          <w:rFonts w:cs="Arial"/>
          <w:lang w:val="en-US"/>
        </w:rPr>
        <w:t>Annex 8: Deterring Academic Misconduct</w:t>
      </w:r>
    </w:p>
    <w:p w:rsidRPr="007C59E4" w:rsidR="00240DBE" w:rsidP="00240DBE" w:rsidRDefault="00240DBE" w14:paraId="428C9B8F" w14:textId="77777777">
      <w:pPr>
        <w:ind w:right="95"/>
      </w:pPr>
    </w:p>
    <w:p w:rsidRPr="007C59E4" w:rsidR="00240DBE" w:rsidP="00240DBE" w:rsidRDefault="00240DBE" w14:paraId="2738893A" w14:textId="77777777">
      <w:pPr>
        <w:pStyle w:val="Heading1"/>
        <w:ind w:right="95"/>
        <w:rPr>
          <w:rFonts w:eastAsia="Calibri" w:cs="Arial"/>
          <w:lang w:val="en-US"/>
        </w:rPr>
      </w:pPr>
      <w:r w:rsidRPr="007C59E4">
        <w:rPr>
          <w:rFonts w:eastAsia="Calibri" w:cs="Arial"/>
          <w:lang w:val="en-US"/>
        </w:rPr>
        <w:t>Introduction</w:t>
      </w:r>
    </w:p>
    <w:p w:rsidR="00AF5DB7" w:rsidP="00240DBE" w:rsidRDefault="00AF5DB7" w14:paraId="5E9BD755" w14:textId="31EC5627">
      <w:pPr>
        <w:pStyle w:val="ListParagraph"/>
        <w:numPr>
          <w:ilvl w:val="0"/>
          <w:numId w:val="2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 University adheres to the six fundamental values of academic </w:t>
      </w:r>
      <w:proofErr w:type="gramStart"/>
      <w:r>
        <w:rPr>
          <w:rFonts w:ascii="Arial" w:hAnsi="Arial" w:cs="Arial"/>
          <w:szCs w:val="24"/>
          <w:lang w:val="en-US"/>
        </w:rPr>
        <w:t>integrity;</w:t>
      </w:r>
      <w:proofErr w:type="gramEnd"/>
      <w:r>
        <w:rPr>
          <w:rFonts w:ascii="Arial" w:hAnsi="Arial" w:cs="Arial"/>
          <w:szCs w:val="24"/>
          <w:lang w:val="en-US"/>
        </w:rPr>
        <w:t xml:space="preserve"> honesty, trust,</w:t>
      </w:r>
      <w:r w:rsidR="00C32515">
        <w:rPr>
          <w:rFonts w:ascii="Arial" w:hAnsi="Arial" w:cs="Arial"/>
          <w:szCs w:val="24"/>
          <w:lang w:val="en-US"/>
        </w:rPr>
        <w:t xml:space="preserve"> fairness,</w:t>
      </w:r>
      <w:r>
        <w:rPr>
          <w:rFonts w:ascii="Arial" w:hAnsi="Arial" w:cs="Arial"/>
          <w:szCs w:val="24"/>
          <w:lang w:val="en-US"/>
        </w:rPr>
        <w:t xml:space="preserve"> respect, responsibility, and courage</w:t>
      </w:r>
      <w:r>
        <w:rPr>
          <w:rStyle w:val="FootnoteReference"/>
          <w:rFonts w:ascii="Arial" w:hAnsi="Arial" w:cs="Arial"/>
          <w:szCs w:val="24"/>
          <w:lang w:val="en-US"/>
        </w:rPr>
        <w:footnoteReference w:id="1"/>
      </w:r>
      <w:r>
        <w:rPr>
          <w:rFonts w:ascii="Arial" w:hAnsi="Arial" w:cs="Arial"/>
          <w:szCs w:val="24"/>
          <w:lang w:val="en-US"/>
        </w:rPr>
        <w:t xml:space="preserve">. </w:t>
      </w:r>
    </w:p>
    <w:p w:rsidRPr="00AF5DB7" w:rsidR="00AF5DB7" w:rsidP="00AF5DB7" w:rsidRDefault="00AF5DB7" w14:paraId="1C02EA69" w14:textId="512BFC99">
      <w:pPr>
        <w:pStyle w:val="ListParagraph"/>
        <w:numPr>
          <w:ilvl w:val="0"/>
          <w:numId w:val="2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  <w:szCs w:val="24"/>
          <w:lang w:val="en-US"/>
        </w:rPr>
      </w:pPr>
      <w:r w:rsidRPr="007C59E4">
        <w:rPr>
          <w:rFonts w:ascii="Arial" w:hAnsi="Arial" w:cs="Arial"/>
          <w:szCs w:val="24"/>
          <w:lang w:val="en-US"/>
        </w:rPr>
        <w:t>Staff can help to inform and educate students on how to avoid breaches of academic integrity</w:t>
      </w:r>
      <w:r>
        <w:rPr>
          <w:rFonts w:ascii="Arial" w:hAnsi="Arial" w:cs="Arial"/>
          <w:szCs w:val="24"/>
          <w:lang w:val="en-US"/>
        </w:rPr>
        <w:t xml:space="preserve"> by setting clear expectations, supporting students’ understanding of academic integrity, and signposting relevant information and resources. </w:t>
      </w:r>
    </w:p>
    <w:p w:rsidR="003A460D" w:rsidP="003A460D" w:rsidRDefault="003A460D" w14:paraId="53FAC664" w14:textId="69B227EA">
      <w:pPr>
        <w:pStyle w:val="ListParagraph"/>
        <w:numPr>
          <w:ilvl w:val="0"/>
          <w:numId w:val="2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There is no single method of assessment design that will prevent academic misconduct. Employing a variety of methods will reduce the likelihood of students failing to adhere to the standards of academic integrity expected by the University of Kent. </w:t>
      </w:r>
    </w:p>
    <w:p w:rsidRPr="007C59E4" w:rsidR="00722A1B" w:rsidP="003A460D" w:rsidRDefault="00722A1B" w14:paraId="667BAFEC" w14:textId="77777777">
      <w:pPr>
        <w:ind w:left="0" w:right="95" w:firstLine="0"/>
        <w:rPr>
          <w:szCs w:val="24"/>
          <w:lang w:val="en-US"/>
        </w:rPr>
      </w:pPr>
    </w:p>
    <w:p w:rsidRPr="007C59E4" w:rsidR="00240DBE" w:rsidP="00240DBE" w:rsidRDefault="00240DBE" w14:paraId="37682F7A" w14:textId="4CCA540E">
      <w:pPr>
        <w:pStyle w:val="Heading1"/>
        <w:ind w:right="95"/>
        <w:rPr>
          <w:rFonts w:cs="Arial"/>
          <w:lang w:val="en-US"/>
        </w:rPr>
      </w:pPr>
      <w:r w:rsidRPr="007C59E4">
        <w:rPr>
          <w:rFonts w:cs="Arial"/>
          <w:lang w:val="en-US"/>
        </w:rPr>
        <w:t xml:space="preserve">Principles of Good Practice </w:t>
      </w:r>
    </w:p>
    <w:p w:rsidRPr="007C59E4" w:rsidR="00A75C11" w:rsidP="00240DBE" w:rsidRDefault="00A75C11" w14:paraId="0337FB24" w14:textId="3395C6F6">
      <w:pPr>
        <w:pStyle w:val="ListParagraph"/>
        <w:numPr>
          <w:ilvl w:val="0"/>
          <w:numId w:val="3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</w:rPr>
      </w:pPr>
      <w:r w:rsidRPr="007C59E4">
        <w:rPr>
          <w:rFonts w:ascii="Arial" w:hAnsi="Arial" w:cs="Arial"/>
          <w:lang w:val="en-US"/>
        </w:rPr>
        <w:t xml:space="preserve">Staff should ensure that students have a clear understanding of what constitutes academic misconduct. </w:t>
      </w:r>
    </w:p>
    <w:p w:rsidRPr="007C59E4" w:rsidR="007C59E4" w:rsidP="007C59E4" w:rsidRDefault="007C59E4" w14:paraId="5B6DD41C" w14:textId="2B3039A5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7C59E4">
        <w:rPr>
          <w:rFonts w:ascii="Arial" w:hAnsi="Arial" w:cs="Arial"/>
          <w:lang w:val="en-US"/>
        </w:rPr>
        <w:t xml:space="preserve">Explain what </w:t>
      </w:r>
      <w:r w:rsidR="006E066B">
        <w:rPr>
          <w:rFonts w:ascii="Arial" w:hAnsi="Arial" w:cs="Arial"/>
          <w:lang w:val="en-US"/>
        </w:rPr>
        <w:t xml:space="preserve">academic misconduct is, and how to avoid </w:t>
      </w:r>
      <w:r w:rsidRPr="007C59E4">
        <w:rPr>
          <w:rFonts w:ascii="Arial" w:hAnsi="Arial" w:cs="Arial"/>
          <w:lang w:val="en-US"/>
        </w:rPr>
        <w:t>it</w:t>
      </w:r>
      <w:r w:rsidR="006E066B">
        <w:rPr>
          <w:rFonts w:ascii="Arial" w:hAnsi="Arial" w:cs="Arial"/>
          <w:lang w:val="en-US"/>
        </w:rPr>
        <w:t xml:space="preserve">. </w:t>
      </w:r>
    </w:p>
    <w:p w:rsidRPr="007C59E4" w:rsidR="007C59E4" w:rsidP="007C59E4" w:rsidRDefault="006E066B" w14:paraId="64BCED92" w14:textId="492EFA3C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Ensure that students are aware of the Universities polic</w:t>
      </w:r>
      <w:r w:rsidR="00AF5DB7">
        <w:rPr>
          <w:rFonts w:ascii="Arial" w:hAnsi="Arial" w:cs="Arial"/>
          <w:lang w:val="en-US"/>
        </w:rPr>
        <w:t>y on Academic Misconduct (</w:t>
      </w:r>
      <w:hyperlink w:history="1" r:id="rId11">
        <w:r w:rsidRPr="00DD1D3F" w:rsidR="00AF5DB7">
          <w:rPr>
            <w:rStyle w:val="Hyperlink"/>
            <w:rFonts w:ascii="Arial" w:hAnsi="Arial" w:cs="Arial"/>
            <w:b/>
            <w:bCs/>
            <w:lang w:val="en-US"/>
          </w:rPr>
          <w:t>Annex 10</w:t>
        </w:r>
      </w:hyperlink>
      <w:r w:rsidR="00AF5DB7">
        <w:rPr>
          <w:rFonts w:ascii="Arial" w:hAnsi="Arial" w:cs="Arial"/>
          <w:lang w:val="en-US"/>
        </w:rPr>
        <w:t xml:space="preserve"> of the </w:t>
      </w:r>
      <w:r w:rsidRPr="00637952" w:rsidR="00AF5DB7">
        <w:rPr>
          <w:rFonts w:ascii="Arial" w:hAnsi="Arial" w:cs="Arial"/>
          <w:b/>
          <w:bCs/>
          <w:lang w:val="en-US"/>
        </w:rPr>
        <w:t>Credit Framework for Taught Courses</w:t>
      </w:r>
      <w:r w:rsidR="00AF5DB7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and </w:t>
      </w:r>
      <w:r w:rsidR="00AF5DB7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procedures </w:t>
      </w:r>
      <w:r w:rsidR="00AF5DB7">
        <w:rPr>
          <w:rFonts w:ascii="Arial" w:hAnsi="Arial" w:cs="Arial"/>
          <w:lang w:val="en-US"/>
        </w:rPr>
        <w:t xml:space="preserve">that are followed to investigate and </w:t>
      </w:r>
      <w:r w:rsidRPr="00637952" w:rsidR="00AF5DB7">
        <w:rPr>
          <w:rFonts w:ascii="Arial" w:hAnsi="Arial" w:cs="Arial"/>
        </w:rPr>
        <w:t>penali</w:t>
      </w:r>
      <w:r w:rsidRPr="00637952" w:rsidR="00C34E2A">
        <w:rPr>
          <w:rFonts w:ascii="Arial" w:hAnsi="Arial" w:cs="Arial"/>
        </w:rPr>
        <w:t>s</w:t>
      </w:r>
      <w:r w:rsidRPr="00637952" w:rsidR="00AF5DB7">
        <w:rPr>
          <w:rFonts w:ascii="Arial" w:hAnsi="Arial" w:cs="Arial"/>
        </w:rPr>
        <w:t>e</w:t>
      </w:r>
      <w:r w:rsidR="00AF5DB7">
        <w:rPr>
          <w:rFonts w:ascii="Arial" w:hAnsi="Arial" w:cs="Arial"/>
          <w:lang w:val="en-US"/>
        </w:rPr>
        <w:t xml:space="preserve"> a case when a piece of work is referred for breaching academic integrity standards. </w:t>
      </w:r>
      <w:r>
        <w:rPr>
          <w:rFonts w:ascii="Arial" w:hAnsi="Arial" w:cs="Arial"/>
          <w:lang w:val="en-US"/>
        </w:rPr>
        <w:t xml:space="preserve"> </w:t>
      </w:r>
    </w:p>
    <w:p w:rsidRPr="00AF5DB7" w:rsidR="007C59E4" w:rsidP="007C59E4" w:rsidRDefault="007C59E4" w14:paraId="23005532" w14:textId="672A63AA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7C59E4">
        <w:rPr>
          <w:rFonts w:ascii="Arial" w:hAnsi="Arial" w:cs="Arial"/>
          <w:lang w:val="en-US"/>
        </w:rPr>
        <w:t xml:space="preserve">Embed </w:t>
      </w:r>
      <w:r w:rsidR="00AF5DB7">
        <w:rPr>
          <w:rFonts w:ascii="Arial" w:hAnsi="Arial" w:cs="Arial"/>
          <w:lang w:val="en-US"/>
        </w:rPr>
        <w:t xml:space="preserve">the </w:t>
      </w:r>
      <w:r w:rsidRPr="007C59E4">
        <w:rPr>
          <w:rFonts w:ascii="Arial" w:hAnsi="Arial" w:cs="Arial"/>
          <w:lang w:val="en-US"/>
        </w:rPr>
        <w:t xml:space="preserve">Moodle module </w:t>
      </w:r>
      <w:r w:rsidRPr="006E066B" w:rsidR="006E066B">
        <w:rPr>
          <w:rFonts w:ascii="Arial" w:hAnsi="Arial" w:cs="Arial"/>
          <w:b/>
          <w:bCs/>
          <w:lang w:val="en-US"/>
        </w:rPr>
        <w:t>Understanding and Avoiding Academic Misconduct</w:t>
      </w:r>
      <w:r w:rsidR="006E066B">
        <w:rPr>
          <w:rFonts w:ascii="Arial" w:hAnsi="Arial" w:cs="Arial"/>
          <w:lang w:val="en-US"/>
        </w:rPr>
        <w:t xml:space="preserve"> </w:t>
      </w:r>
      <w:r w:rsidRPr="007C59E4">
        <w:rPr>
          <w:rFonts w:ascii="Arial" w:hAnsi="Arial" w:cs="Arial"/>
          <w:lang w:val="en-US"/>
        </w:rPr>
        <w:t xml:space="preserve">into course </w:t>
      </w:r>
      <w:proofErr w:type="gramStart"/>
      <w:r w:rsidRPr="007C59E4">
        <w:rPr>
          <w:rFonts w:ascii="Arial" w:hAnsi="Arial" w:cs="Arial"/>
          <w:lang w:val="en-US"/>
        </w:rPr>
        <w:t>delivery</w:t>
      </w:r>
      <w:r w:rsidR="00C34E2A">
        <w:rPr>
          <w:rFonts w:ascii="Arial" w:hAnsi="Arial" w:cs="Arial"/>
          <w:lang w:val="en-US"/>
        </w:rPr>
        <w:t>,</w:t>
      </w:r>
      <w:r w:rsidRPr="007C59E4">
        <w:rPr>
          <w:rFonts w:ascii="Arial" w:hAnsi="Arial" w:cs="Arial"/>
          <w:lang w:val="en-US"/>
        </w:rPr>
        <w:t xml:space="preserve"> and</w:t>
      </w:r>
      <w:proofErr w:type="gramEnd"/>
      <w:r w:rsidRPr="007C59E4">
        <w:rPr>
          <w:rFonts w:ascii="Arial" w:hAnsi="Arial" w:cs="Arial"/>
          <w:lang w:val="en-US"/>
        </w:rPr>
        <w:t xml:space="preserve"> ensure that students complete this annually. </w:t>
      </w:r>
    </w:p>
    <w:p w:rsidRPr="007C59E4" w:rsidR="00AF5DB7" w:rsidP="00AF5DB7" w:rsidRDefault="00AF5DB7" w14:paraId="36244312" w14:textId="7870512A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7C59E4">
        <w:rPr>
          <w:rFonts w:ascii="Arial" w:hAnsi="Arial" w:cs="Arial"/>
          <w:lang w:val="en-US"/>
        </w:rPr>
        <w:t xml:space="preserve">Clearly outline </w:t>
      </w:r>
      <w:r w:rsidR="00C34E2A">
        <w:rPr>
          <w:rFonts w:ascii="Arial" w:hAnsi="Arial" w:cs="Arial"/>
          <w:lang w:val="en-US"/>
        </w:rPr>
        <w:t xml:space="preserve">course and </w:t>
      </w:r>
      <w:r w:rsidRPr="007C59E4">
        <w:rPr>
          <w:rFonts w:ascii="Arial" w:hAnsi="Arial" w:cs="Arial"/>
          <w:lang w:val="en-US"/>
        </w:rPr>
        <w:t xml:space="preserve">module expectations regarding </w:t>
      </w:r>
      <w:r w:rsidRPr="007C59E4" w:rsidR="00C34E2A">
        <w:rPr>
          <w:rFonts w:ascii="Arial" w:hAnsi="Arial" w:cs="Arial"/>
          <w:lang w:val="en-US"/>
        </w:rPr>
        <w:t>authori</w:t>
      </w:r>
      <w:r w:rsidR="00C34E2A">
        <w:rPr>
          <w:rFonts w:ascii="Arial" w:hAnsi="Arial" w:cs="Arial"/>
          <w:lang w:val="en-US"/>
        </w:rPr>
        <w:t>z</w:t>
      </w:r>
      <w:r w:rsidRPr="007C59E4" w:rsidR="00C34E2A">
        <w:rPr>
          <w:rFonts w:ascii="Arial" w:hAnsi="Arial" w:cs="Arial"/>
          <w:lang w:val="en-US"/>
        </w:rPr>
        <w:t>ed</w:t>
      </w:r>
      <w:r w:rsidRPr="007C59E4">
        <w:rPr>
          <w:rFonts w:ascii="Arial" w:hAnsi="Arial" w:cs="Arial"/>
          <w:lang w:val="en-US"/>
        </w:rPr>
        <w:t xml:space="preserve"> and </w:t>
      </w:r>
      <w:r w:rsidRPr="007C59E4" w:rsidR="00C34E2A">
        <w:rPr>
          <w:rFonts w:ascii="Arial" w:hAnsi="Arial" w:cs="Arial"/>
          <w:lang w:val="en-US"/>
        </w:rPr>
        <w:t>unauthori</w:t>
      </w:r>
      <w:r w:rsidR="00C34E2A">
        <w:rPr>
          <w:rFonts w:ascii="Arial" w:hAnsi="Arial" w:cs="Arial"/>
          <w:lang w:val="en-US"/>
        </w:rPr>
        <w:t>z</w:t>
      </w:r>
      <w:r w:rsidRPr="007C59E4" w:rsidR="00C34E2A">
        <w:rPr>
          <w:rFonts w:ascii="Arial" w:hAnsi="Arial" w:cs="Arial"/>
          <w:lang w:val="en-US"/>
        </w:rPr>
        <w:t>ed</w:t>
      </w:r>
      <w:r w:rsidRPr="007C59E4">
        <w:rPr>
          <w:rFonts w:ascii="Arial" w:hAnsi="Arial" w:cs="Arial"/>
          <w:lang w:val="en-US"/>
        </w:rPr>
        <w:t xml:space="preserve"> use of materials. </w:t>
      </w:r>
    </w:p>
    <w:p w:rsidRPr="007C59E4" w:rsidR="00AF5DB7" w:rsidP="00AF5DB7" w:rsidRDefault="00AF5DB7" w14:paraId="2C28FA6A" w14:textId="77777777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7C59E4">
        <w:rPr>
          <w:rFonts w:ascii="Arial" w:hAnsi="Arial" w:cs="Arial"/>
          <w:lang w:val="en-US"/>
        </w:rPr>
        <w:t xml:space="preserve">Provide opportunities </w:t>
      </w:r>
      <w:r>
        <w:rPr>
          <w:rFonts w:ascii="Arial" w:hAnsi="Arial" w:cs="Arial"/>
          <w:lang w:val="en-US"/>
        </w:rPr>
        <w:t xml:space="preserve">at a </w:t>
      </w:r>
      <w:r w:rsidRPr="007C59E4">
        <w:rPr>
          <w:rFonts w:ascii="Arial" w:hAnsi="Arial" w:cs="Arial"/>
          <w:lang w:val="en-US"/>
        </w:rPr>
        <w:t>modular level for students to ask</w:t>
      </w:r>
      <w:r>
        <w:rPr>
          <w:rFonts w:ascii="Arial" w:hAnsi="Arial" w:cs="Arial"/>
          <w:lang w:val="en-US"/>
        </w:rPr>
        <w:t xml:space="preserve"> questions</w:t>
      </w:r>
      <w:r w:rsidRPr="007C59E4">
        <w:rPr>
          <w:rFonts w:ascii="Arial" w:hAnsi="Arial" w:cs="Arial"/>
          <w:lang w:val="en-US"/>
        </w:rPr>
        <w:t xml:space="preserve"> about </w:t>
      </w:r>
      <w:proofErr w:type="gramStart"/>
      <w:r w:rsidRPr="007C59E4">
        <w:rPr>
          <w:rFonts w:ascii="Arial" w:hAnsi="Arial" w:cs="Arial"/>
          <w:lang w:val="en-US"/>
        </w:rPr>
        <w:t>University</w:t>
      </w:r>
      <w:proofErr w:type="gramEnd"/>
      <w:r w:rsidRPr="007C59E4">
        <w:rPr>
          <w:rFonts w:ascii="Arial" w:hAnsi="Arial" w:cs="Arial"/>
          <w:lang w:val="en-US"/>
        </w:rPr>
        <w:t xml:space="preserve"> expectations </w:t>
      </w:r>
      <w:r>
        <w:rPr>
          <w:rFonts w:ascii="Arial" w:hAnsi="Arial" w:cs="Arial"/>
          <w:lang w:val="en-US"/>
        </w:rPr>
        <w:t>and</w:t>
      </w:r>
      <w:r w:rsidRPr="007C59E4">
        <w:rPr>
          <w:rFonts w:ascii="Arial" w:hAnsi="Arial" w:cs="Arial"/>
          <w:lang w:val="en-US"/>
        </w:rPr>
        <w:t xml:space="preserve"> policy on Academic Integrity. </w:t>
      </w:r>
    </w:p>
    <w:p w:rsidRPr="00AF5DB7" w:rsidR="00AF5DB7" w:rsidP="00AF5DB7" w:rsidRDefault="00C34E2A" w14:paraId="4DF11E4D" w14:textId="264AB35E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Provide</w:t>
      </w:r>
      <w:r w:rsidR="000644B2">
        <w:rPr>
          <w:rFonts w:ascii="Arial" w:hAnsi="Arial" w:cs="Arial"/>
          <w:lang w:val="en-US"/>
        </w:rPr>
        <w:t xml:space="preserve"> opportunities for students to </w:t>
      </w:r>
      <w:r>
        <w:rPr>
          <w:rFonts w:ascii="Arial" w:hAnsi="Arial" w:cs="Arial"/>
          <w:lang w:val="en-US"/>
        </w:rPr>
        <w:t>offer</w:t>
      </w:r>
      <w:r w:rsidR="000644B2">
        <w:rPr>
          <w:rFonts w:ascii="Arial" w:hAnsi="Arial" w:cs="Arial"/>
          <w:lang w:val="en-US"/>
        </w:rPr>
        <w:t xml:space="preserve"> feedback or suggestions for future assessment design. This can be facilitated through committees </w:t>
      </w:r>
      <w:r>
        <w:rPr>
          <w:rFonts w:ascii="Arial" w:hAnsi="Arial" w:cs="Arial"/>
          <w:lang w:val="en-US"/>
        </w:rPr>
        <w:t xml:space="preserve">at a Divisional/Course level, </w:t>
      </w:r>
      <w:r w:rsidR="000644B2">
        <w:rPr>
          <w:rFonts w:ascii="Arial" w:hAnsi="Arial" w:cs="Arial"/>
          <w:lang w:val="en-US"/>
        </w:rPr>
        <w:t xml:space="preserve">such as Student Voice Forums. </w:t>
      </w:r>
    </w:p>
    <w:p w:rsidRPr="007C59E4" w:rsidR="007C59E4" w:rsidP="007C59E4" w:rsidRDefault="007C59E4" w14:paraId="42117122" w14:textId="18867C35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7C59E4">
        <w:rPr>
          <w:rFonts w:ascii="Arial" w:hAnsi="Arial" w:cs="Arial"/>
          <w:lang w:val="en-US"/>
        </w:rPr>
        <w:t xml:space="preserve">Direct students to </w:t>
      </w:r>
      <w:r w:rsidR="00AF5DB7">
        <w:rPr>
          <w:rFonts w:ascii="Arial" w:hAnsi="Arial" w:cs="Arial"/>
          <w:lang w:val="en-US"/>
        </w:rPr>
        <w:t>the Student Learning and Advisory Service</w:t>
      </w:r>
      <w:r w:rsidR="00C34E2A">
        <w:rPr>
          <w:rFonts w:ascii="Arial" w:hAnsi="Arial" w:cs="Arial"/>
          <w:lang w:val="en-US"/>
        </w:rPr>
        <w:t xml:space="preserve"> website</w:t>
      </w:r>
      <w:r w:rsidRPr="007C59E4">
        <w:rPr>
          <w:rFonts w:ascii="Arial" w:hAnsi="Arial" w:cs="Arial"/>
          <w:lang w:val="en-US"/>
        </w:rPr>
        <w:t xml:space="preserve"> for </w:t>
      </w:r>
      <w:r w:rsidR="00467D49">
        <w:rPr>
          <w:rFonts w:ascii="Arial" w:hAnsi="Arial" w:cs="Arial"/>
          <w:lang w:val="en-US"/>
        </w:rPr>
        <w:t xml:space="preserve">additional study support and guidance. </w:t>
      </w:r>
    </w:p>
    <w:p w:rsidRPr="009F55B1" w:rsidR="008F6CE2" w:rsidP="00240DBE" w:rsidRDefault="008F6CE2" w14:paraId="1109D53F" w14:textId="0A33E4ED">
      <w:pPr>
        <w:pStyle w:val="ListParagraph"/>
        <w:numPr>
          <w:ilvl w:val="0"/>
          <w:numId w:val="3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</w:rPr>
      </w:pPr>
      <w:r w:rsidRPr="009F55B1">
        <w:rPr>
          <w:rFonts w:ascii="Arial" w:hAnsi="Arial" w:cs="Arial"/>
          <w:lang w:val="en-US"/>
        </w:rPr>
        <w:t>Learner Agreements</w:t>
      </w:r>
      <w:r w:rsidRPr="009F55B1" w:rsidR="0016480C">
        <w:rPr>
          <w:rFonts w:ascii="Arial" w:hAnsi="Arial" w:cs="Arial"/>
          <w:lang w:val="en-US"/>
        </w:rPr>
        <w:t xml:space="preserve"> </w:t>
      </w:r>
    </w:p>
    <w:p w:rsidRPr="00DA7546" w:rsidR="009F55B1" w:rsidP="009F55B1" w:rsidRDefault="009F55B1" w14:paraId="130781FA" w14:textId="48EED39C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9F55B1">
        <w:rPr>
          <w:rFonts w:ascii="Arial" w:hAnsi="Arial" w:cs="Arial"/>
        </w:rPr>
        <w:t xml:space="preserve">Student learner agreements, also known as honour codes, </w:t>
      </w:r>
      <w:r w:rsidRPr="00637952">
        <w:rPr>
          <w:rFonts w:ascii="Arial" w:hAnsi="Arial" w:cs="Arial"/>
        </w:rPr>
        <w:t xml:space="preserve">should clearly outline the expectations of academic integrity, </w:t>
      </w:r>
      <w:r w:rsidRPr="009F55B1">
        <w:rPr>
          <w:rFonts w:ascii="Arial" w:hAnsi="Arial" w:cs="Arial"/>
        </w:rPr>
        <w:t xml:space="preserve">the consequences for academic misconduct, and </w:t>
      </w:r>
      <w:r w:rsidRPr="00DA7546">
        <w:rPr>
          <w:rFonts w:ascii="Arial" w:hAnsi="Arial" w:cs="Arial"/>
        </w:rPr>
        <w:t xml:space="preserve">the steps that will be taken to embed the principles and values of academic integrity into the course content and assessment. </w:t>
      </w:r>
    </w:p>
    <w:p w:rsidRPr="00DA7546" w:rsidR="00196F62" w:rsidP="007C59E4" w:rsidRDefault="007C59E4" w14:paraId="781414F6" w14:textId="77777777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196F62">
        <w:rPr>
          <w:rFonts w:ascii="Arial" w:hAnsi="Arial" w:cs="Arial"/>
        </w:rPr>
        <w:t>Include in</w:t>
      </w:r>
      <w:r w:rsidRPr="00DA7546" w:rsidR="00196F62">
        <w:rPr>
          <w:rFonts w:ascii="Arial" w:hAnsi="Arial" w:cs="Arial"/>
        </w:rPr>
        <w:t xml:space="preserve"> in-person</w:t>
      </w:r>
      <w:r w:rsidRPr="00196F62">
        <w:rPr>
          <w:rFonts w:ascii="Arial" w:hAnsi="Arial" w:cs="Arial"/>
        </w:rPr>
        <w:t xml:space="preserve"> exam booklets or online exams a statement that clearly outlines what the student can and can’t do</w:t>
      </w:r>
      <w:r w:rsidRPr="00DA7546" w:rsidR="00196F62">
        <w:rPr>
          <w:rFonts w:ascii="Arial" w:hAnsi="Arial" w:cs="Arial"/>
        </w:rPr>
        <w:t>, and the behaviours that will be considered as academic misconduct</w:t>
      </w:r>
      <w:r w:rsidRPr="00196F62">
        <w:rPr>
          <w:rFonts w:ascii="Arial" w:hAnsi="Arial" w:cs="Arial"/>
        </w:rPr>
        <w:t>.</w:t>
      </w:r>
    </w:p>
    <w:p w:rsidRPr="00DA7546" w:rsidR="00196F62" w:rsidP="007C59E4" w:rsidRDefault="00196F62" w14:paraId="035C0FF0" w14:textId="0FD43C0F">
      <w:pPr>
        <w:pStyle w:val="ListParagraph"/>
        <w:numPr>
          <w:ilvl w:val="1"/>
          <w:numId w:val="3"/>
        </w:numPr>
        <w:spacing w:after="120" w:line="240" w:lineRule="auto"/>
        <w:ind w:right="95"/>
        <w:contextualSpacing w:val="0"/>
        <w:rPr>
          <w:rFonts w:ascii="Arial" w:hAnsi="Arial" w:cs="Arial"/>
        </w:rPr>
      </w:pPr>
      <w:r w:rsidRPr="00DA754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assessment involving group work, provide students with guidance </w:t>
      </w:r>
      <w:r w:rsidRPr="00DA7546">
        <w:rPr>
          <w:rFonts w:ascii="Arial" w:hAnsi="Arial" w:cs="Arial"/>
        </w:rPr>
        <w:t>that clearly outlines the activities and behaviours of academic integrity that are expected by the University.</w:t>
      </w:r>
      <w:r>
        <w:rPr>
          <w:rFonts w:ascii="Arial" w:hAnsi="Arial" w:cs="Arial"/>
        </w:rPr>
        <w:t xml:space="preserve"> This should explicitly deter the sharing, duplication or copying of answers in online spaces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Microsoft Teams, WhatsApp, etc), explaining clearly that this is considered a form of collusion. </w:t>
      </w:r>
    </w:p>
    <w:p w:rsidRPr="006E066B" w:rsidR="006E066B" w:rsidP="006E066B" w:rsidRDefault="006E066B" w14:paraId="5066F532" w14:textId="610B3379">
      <w:pPr>
        <w:pStyle w:val="ListParagraph"/>
        <w:numPr>
          <w:ilvl w:val="0"/>
          <w:numId w:val="3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All teaching materials, whether used online or in face-to-face teaching, </w:t>
      </w:r>
      <w:r w:rsidRPr="007C59E4">
        <w:rPr>
          <w:rFonts w:ascii="Arial" w:hAnsi="Arial" w:cs="Arial"/>
          <w:lang w:val="en-US"/>
        </w:rPr>
        <w:t xml:space="preserve">should include consistent references in the correct referencing style(s) for the subject area.  </w:t>
      </w:r>
    </w:p>
    <w:p w:rsidRPr="005E344D" w:rsidR="00722A1B" w:rsidP="005E344D" w:rsidRDefault="004E5726" w14:paraId="54DB353C" w14:textId="72A8CA54">
      <w:pPr>
        <w:pStyle w:val="ListParagraph"/>
        <w:numPr>
          <w:ilvl w:val="0"/>
          <w:numId w:val="3"/>
        </w:numPr>
        <w:spacing w:after="120" w:line="240" w:lineRule="auto"/>
        <w:ind w:left="567" w:right="95" w:hanging="567"/>
        <w:contextualSpacing w:val="0"/>
        <w:rPr>
          <w:rFonts w:ascii="Arial" w:hAnsi="Arial" w:cs="Arial"/>
        </w:rPr>
      </w:pPr>
      <w:r w:rsidRPr="007C59E4">
        <w:rPr>
          <w:rFonts w:ascii="Arial" w:hAnsi="Arial" w:cs="Arial"/>
          <w:lang w:val="en-US"/>
        </w:rPr>
        <w:t xml:space="preserve">Use tools such as Turnitin to identify instances of academic misconduct. </w:t>
      </w:r>
    </w:p>
    <w:p w:rsidR="005E344D" w:rsidP="006E066B" w:rsidRDefault="005E344D" w14:paraId="65E855E3" w14:textId="77777777">
      <w:pPr>
        <w:ind w:left="0" w:right="95" w:firstLine="0"/>
      </w:pPr>
    </w:p>
    <w:p w:rsidRPr="007C59E4" w:rsidR="006E066B" w:rsidP="006E066B" w:rsidRDefault="006E066B" w14:paraId="319898A1" w14:textId="62ED0115">
      <w:pPr>
        <w:pStyle w:val="Heading1"/>
        <w:ind w:right="95"/>
        <w:rPr>
          <w:rFonts w:cs="Arial"/>
          <w:lang w:val="en-US"/>
        </w:rPr>
      </w:pPr>
      <w:r>
        <w:rPr>
          <w:rFonts w:cs="Arial"/>
          <w:lang w:val="en-US"/>
        </w:rPr>
        <w:t xml:space="preserve">Assessment Design </w:t>
      </w:r>
    </w:p>
    <w:p w:rsidR="006E066B" w:rsidP="006E066B" w:rsidRDefault="006E066B" w14:paraId="1B57D105" w14:textId="237320C9">
      <w:pPr>
        <w:ind w:left="566" w:right="95" w:hanging="566"/>
        <w:rPr>
          <w:szCs w:val="24"/>
          <w:lang w:val="en-US"/>
        </w:rPr>
      </w:pPr>
      <w:r w:rsidRPr="00DA7546">
        <w:rPr>
          <w:rFonts w:eastAsiaTheme="majorEastAsia"/>
          <w:bCs/>
          <w:szCs w:val="32"/>
          <w:lang w:val="en-US"/>
        </w:rPr>
        <w:t xml:space="preserve">3.1. </w:t>
      </w:r>
      <w:r w:rsidRPr="00DA7546">
        <w:rPr>
          <w:rFonts w:eastAsiaTheme="majorEastAsia"/>
          <w:bCs/>
          <w:szCs w:val="32"/>
          <w:lang w:val="en-US"/>
        </w:rPr>
        <w:tab/>
      </w:r>
      <w:r w:rsidRPr="00DA7546">
        <w:rPr>
          <w:szCs w:val="24"/>
          <w:lang w:val="en-US"/>
        </w:rPr>
        <w:t>Staff should ensure that modules include different types of assessment, avoid</w:t>
      </w:r>
      <w:r w:rsidRPr="00DA7546" w:rsidR="00467D49">
        <w:rPr>
          <w:szCs w:val="24"/>
          <w:lang w:val="en-US"/>
        </w:rPr>
        <w:t>ing</w:t>
      </w:r>
      <w:r w:rsidRPr="00DA7546">
        <w:rPr>
          <w:szCs w:val="24"/>
          <w:lang w:val="en-US"/>
        </w:rPr>
        <w:t xml:space="preserve"> single </w:t>
      </w:r>
      <w:r w:rsidRPr="00DA7546" w:rsidR="00467D49">
        <w:rPr>
          <w:szCs w:val="24"/>
          <w:lang w:val="en-US"/>
        </w:rPr>
        <w:t>instrument assessment where possible.</w:t>
      </w:r>
      <w:r w:rsidRPr="00DA7546" w:rsidR="00DA461F">
        <w:rPr>
          <w:szCs w:val="24"/>
          <w:lang w:val="en-US"/>
        </w:rPr>
        <w:t xml:space="preserve"> See Annex </w:t>
      </w:r>
      <w:r w:rsidRPr="00DA7546" w:rsidR="00637952">
        <w:rPr>
          <w:szCs w:val="24"/>
          <w:lang w:val="en-US"/>
        </w:rPr>
        <w:t xml:space="preserve">1 of this regulatory framework and Annex </w:t>
      </w:r>
      <w:proofErr w:type="spellStart"/>
      <w:proofErr w:type="gramStart"/>
      <w:r w:rsidR="00A041DB">
        <w:rPr>
          <w:szCs w:val="24"/>
          <w:lang w:val="en-US"/>
        </w:rPr>
        <w:t>A</w:t>
      </w:r>
      <w:proofErr w:type="spellEnd"/>
      <w:proofErr w:type="gramEnd"/>
      <w:r w:rsidRPr="00DA7546" w:rsidR="00DA461F">
        <w:rPr>
          <w:szCs w:val="24"/>
          <w:lang w:val="en-US"/>
        </w:rPr>
        <w:t xml:space="preserve"> Appendix A of the Code of Practice for Taught Courses of Study for further information and guidance on the requirements for modules. </w:t>
      </w:r>
      <w:r w:rsidR="00D2617C">
        <w:rPr>
          <w:szCs w:val="24"/>
          <w:lang w:val="en-US"/>
        </w:rPr>
        <w:t xml:space="preserve"> </w:t>
      </w:r>
    </w:p>
    <w:p w:rsidR="006E066B" w:rsidP="006E066B" w:rsidRDefault="006E066B" w14:paraId="51120BC2" w14:textId="4F73EA31">
      <w:pPr>
        <w:pStyle w:val="ListParagraph"/>
        <w:numPr>
          <w:ilvl w:val="1"/>
          <w:numId w:val="5"/>
        </w:numPr>
        <w:ind w:right="95"/>
        <w:rPr>
          <w:rFonts w:ascii="Arial" w:hAnsi="Arial" w:cs="Arial"/>
          <w:szCs w:val="24"/>
          <w:lang w:val="en-US"/>
        </w:rPr>
      </w:pPr>
      <w:r w:rsidRPr="006E066B">
        <w:rPr>
          <w:rFonts w:ascii="Arial" w:hAnsi="Arial" w:cs="Arial"/>
          <w:szCs w:val="24"/>
          <w:lang w:val="en-US"/>
        </w:rPr>
        <w:t>Consider breaking big exam components into smaller assessments or mini tests.</w:t>
      </w:r>
    </w:p>
    <w:p w:rsidR="006E066B" w:rsidP="006E066B" w:rsidRDefault="006E066B" w14:paraId="0CA87687" w14:textId="6B462066">
      <w:pPr>
        <w:pStyle w:val="ListParagraph"/>
        <w:numPr>
          <w:ilvl w:val="1"/>
          <w:numId w:val="5"/>
        </w:numPr>
        <w:ind w:right="95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Use multiple choice questions</w:t>
      </w:r>
      <w:r w:rsidR="0016480C">
        <w:rPr>
          <w:rFonts w:ascii="Arial" w:hAnsi="Arial" w:cs="Arial"/>
          <w:szCs w:val="24"/>
          <w:lang w:val="en-US"/>
        </w:rPr>
        <w:t xml:space="preserve"> in tests</w:t>
      </w:r>
      <w:r w:rsidR="00467D49">
        <w:rPr>
          <w:rFonts w:ascii="Arial" w:hAnsi="Arial" w:cs="Arial"/>
          <w:szCs w:val="24"/>
          <w:lang w:val="en-US"/>
        </w:rPr>
        <w:t xml:space="preserve"> and Moodle quizzes. </w:t>
      </w:r>
    </w:p>
    <w:p w:rsidRPr="00637952" w:rsidR="00DA461F" w:rsidP="00196F62" w:rsidRDefault="006E066B" w14:paraId="012135F6" w14:textId="7FCD950D">
      <w:pPr>
        <w:pStyle w:val="ListParagraph"/>
        <w:numPr>
          <w:ilvl w:val="1"/>
          <w:numId w:val="5"/>
        </w:numPr>
        <w:ind w:right="95"/>
        <w:rPr>
          <w:lang w:val="en-US"/>
        </w:rPr>
      </w:pPr>
      <w:r>
        <w:rPr>
          <w:rFonts w:ascii="Arial" w:hAnsi="Arial" w:cs="Arial"/>
          <w:szCs w:val="24"/>
          <w:lang w:val="en-US"/>
        </w:rPr>
        <w:t>Consider the</w:t>
      </w:r>
      <w:r w:rsidR="00D2617C">
        <w:rPr>
          <w:rFonts w:ascii="Arial" w:hAnsi="Arial" w:cs="Arial"/>
          <w:szCs w:val="24"/>
          <w:lang w:val="en-US"/>
        </w:rPr>
        <w:t xml:space="preserve"> benefits of </w:t>
      </w:r>
      <w:r w:rsidR="00556464">
        <w:rPr>
          <w:rFonts w:ascii="Arial" w:hAnsi="Arial" w:cs="Arial"/>
          <w:szCs w:val="24"/>
          <w:lang w:val="en-US"/>
        </w:rPr>
        <w:t>comparative</w:t>
      </w:r>
      <w:r>
        <w:rPr>
          <w:rFonts w:ascii="Arial" w:hAnsi="Arial" w:cs="Arial"/>
          <w:szCs w:val="24"/>
          <w:lang w:val="en-US"/>
        </w:rPr>
        <w:t xml:space="preserve"> timeframe</w:t>
      </w:r>
      <w:r w:rsidR="00D2617C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 xml:space="preserve"> for completing online exams</w:t>
      </w:r>
      <w:r w:rsidR="00DA461F">
        <w:rPr>
          <w:rFonts w:ascii="Arial" w:hAnsi="Arial" w:cs="Arial"/>
          <w:szCs w:val="24"/>
          <w:lang w:val="en-US"/>
        </w:rPr>
        <w:t xml:space="preserve">. </w:t>
      </w:r>
      <w:r w:rsidR="00196F62">
        <w:rPr>
          <w:rFonts w:ascii="Arial" w:hAnsi="Arial" w:cs="Arial"/>
          <w:szCs w:val="24"/>
          <w:lang w:val="en-US"/>
        </w:rPr>
        <w:t>A shorter timeframe can reduce opportunities for academic misconduct. In addition to in-person exams, t</w:t>
      </w:r>
      <w:r w:rsidR="00DA461F">
        <w:rPr>
          <w:rFonts w:ascii="Arial" w:hAnsi="Arial" w:cs="Arial"/>
          <w:szCs w:val="24"/>
          <w:lang w:val="en-US"/>
        </w:rPr>
        <w:t>he University currently adheres to</w:t>
      </w:r>
      <w:r w:rsidR="00196F62">
        <w:rPr>
          <w:rFonts w:ascii="Arial" w:hAnsi="Arial" w:cs="Arial"/>
          <w:szCs w:val="24"/>
          <w:lang w:val="en-US"/>
        </w:rPr>
        <w:t xml:space="preserve"> two forms of online examination, either</w:t>
      </w:r>
      <w:r w:rsidR="00DA461F">
        <w:rPr>
          <w:rFonts w:ascii="Arial" w:hAnsi="Arial" w:cs="Arial"/>
          <w:szCs w:val="24"/>
          <w:lang w:val="en-US"/>
        </w:rPr>
        <w:t xml:space="preserve"> twenty-four hour or </w:t>
      </w:r>
      <w:r w:rsidR="00196F62">
        <w:rPr>
          <w:rFonts w:ascii="Arial" w:hAnsi="Arial" w:cs="Arial"/>
          <w:szCs w:val="24"/>
          <w:lang w:val="en-US"/>
        </w:rPr>
        <w:t xml:space="preserve">examination within a restricted timeframe. Online exams utilize </w:t>
      </w:r>
      <w:r w:rsidRPr="00196F62" w:rsidR="00196F62">
        <w:rPr>
          <w:rFonts w:ascii="Arial" w:hAnsi="Arial" w:cs="Arial"/>
          <w:szCs w:val="24"/>
          <w:lang w:val="en-US"/>
        </w:rPr>
        <w:t>Moodle and Turnitin as a mechanism for delivery and submission</w:t>
      </w:r>
      <w:r w:rsidRPr="00196F62" w:rsidR="00DA461F">
        <w:rPr>
          <w:szCs w:val="24"/>
          <w:lang w:val="en-US"/>
        </w:rPr>
        <w:t>.</w:t>
      </w:r>
      <w:r w:rsidR="00DA461F">
        <w:rPr>
          <w:rStyle w:val="FootnoteReference"/>
          <w:rFonts w:ascii="Arial" w:hAnsi="Arial" w:cs="Arial"/>
          <w:szCs w:val="24"/>
          <w:lang w:val="en-US"/>
        </w:rPr>
        <w:footnoteReference w:id="2"/>
      </w:r>
      <w:r w:rsidRPr="00196F62" w:rsidR="00DA461F">
        <w:rPr>
          <w:szCs w:val="24"/>
          <w:lang w:val="en-US"/>
        </w:rPr>
        <w:t xml:space="preserve"> </w:t>
      </w:r>
    </w:p>
    <w:p w:rsidR="00722A1B" w:rsidP="00722A1B" w:rsidRDefault="00722A1B" w14:paraId="2A817630" w14:textId="4D65DD0D">
      <w:pPr>
        <w:ind w:left="566" w:right="95" w:hanging="566"/>
        <w:rPr>
          <w:szCs w:val="24"/>
          <w:lang w:val="en-US"/>
        </w:rPr>
      </w:pPr>
      <w:r w:rsidRPr="007C59E4">
        <w:rPr>
          <w:szCs w:val="24"/>
          <w:lang w:val="en-US"/>
        </w:rPr>
        <w:t>3.2</w:t>
      </w:r>
      <w:r w:rsidRPr="007C59E4">
        <w:rPr>
          <w:szCs w:val="24"/>
          <w:lang w:val="en-US"/>
        </w:rPr>
        <w:tab/>
      </w:r>
      <w:r w:rsidR="00593449">
        <w:rPr>
          <w:szCs w:val="24"/>
          <w:lang w:val="en-US"/>
        </w:rPr>
        <w:t>To reduce collusion, s</w:t>
      </w:r>
      <w:r w:rsidRPr="007C59E4" w:rsidR="00E5157C">
        <w:rPr>
          <w:szCs w:val="24"/>
          <w:lang w:val="en-US"/>
        </w:rPr>
        <w:t>taff should consider</w:t>
      </w:r>
      <w:r w:rsidR="00593449">
        <w:rPr>
          <w:szCs w:val="24"/>
          <w:lang w:val="en-US"/>
        </w:rPr>
        <w:t xml:space="preserve"> </w:t>
      </w:r>
      <w:r w:rsidRPr="007C59E4" w:rsidR="00E5157C">
        <w:rPr>
          <w:szCs w:val="24"/>
          <w:lang w:val="en-US"/>
        </w:rPr>
        <w:t xml:space="preserve">including open questions or group briefs where multiple solutions can be reached with justification. </w:t>
      </w:r>
    </w:p>
    <w:p w:rsidR="00593449" w:rsidP="00087418" w:rsidRDefault="007C59E4" w14:paraId="41B7ACBD" w14:textId="15ED1AD4">
      <w:pPr>
        <w:ind w:left="566" w:right="95" w:hanging="566"/>
        <w:rPr>
          <w:szCs w:val="24"/>
          <w:lang w:val="en-US"/>
        </w:rPr>
      </w:pPr>
      <w:r>
        <w:rPr>
          <w:szCs w:val="24"/>
          <w:lang w:val="en-US"/>
        </w:rPr>
        <w:t>3.3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>Avoid recycling the same assessment or assignment questions</w:t>
      </w:r>
      <w:r w:rsidR="00593449">
        <w:rPr>
          <w:szCs w:val="24"/>
          <w:lang w:val="en-US"/>
        </w:rPr>
        <w:t xml:space="preserve"> within a </w:t>
      </w:r>
      <w:proofErr w:type="gramStart"/>
      <w:r w:rsidR="00593449">
        <w:rPr>
          <w:szCs w:val="24"/>
          <w:lang w:val="en-US"/>
        </w:rPr>
        <w:t>three year</w:t>
      </w:r>
      <w:proofErr w:type="gramEnd"/>
      <w:r w:rsidR="00593449">
        <w:rPr>
          <w:szCs w:val="24"/>
          <w:lang w:val="en-US"/>
        </w:rPr>
        <w:t xml:space="preserve"> period</w:t>
      </w:r>
      <w:r>
        <w:rPr>
          <w:szCs w:val="24"/>
          <w:lang w:val="en-US"/>
        </w:rPr>
        <w:t>, as students may have</w:t>
      </w:r>
      <w:r w:rsidR="00593449">
        <w:rPr>
          <w:szCs w:val="24"/>
          <w:lang w:val="en-US"/>
        </w:rPr>
        <w:t xml:space="preserve"> </w:t>
      </w:r>
      <w:r w:rsidR="00C34E2A">
        <w:rPr>
          <w:szCs w:val="24"/>
          <w:lang w:val="en-US"/>
        </w:rPr>
        <w:t>unauthorized</w:t>
      </w:r>
      <w:r>
        <w:rPr>
          <w:szCs w:val="24"/>
          <w:lang w:val="en-US"/>
        </w:rPr>
        <w:t xml:space="preserve"> access</w:t>
      </w:r>
      <w:r w:rsidR="00593449">
        <w:rPr>
          <w:szCs w:val="24"/>
          <w:lang w:val="en-US"/>
        </w:rPr>
        <w:t xml:space="preserve"> to</w:t>
      </w:r>
      <w:r>
        <w:rPr>
          <w:szCs w:val="24"/>
          <w:lang w:val="en-US"/>
        </w:rPr>
        <w:t xml:space="preserve"> past essays or exam papers submitted within that timeframe. </w:t>
      </w:r>
      <w:r w:rsidR="00556464">
        <w:rPr>
          <w:szCs w:val="24"/>
          <w:lang w:val="en-US"/>
        </w:rPr>
        <w:t xml:space="preserve">This can also reduce opportunities for </w:t>
      </w:r>
      <w:r w:rsidR="00C34E2A">
        <w:rPr>
          <w:szCs w:val="24"/>
          <w:lang w:val="en-US"/>
        </w:rPr>
        <w:t>c</w:t>
      </w:r>
      <w:r w:rsidR="00556464">
        <w:rPr>
          <w:szCs w:val="24"/>
          <w:lang w:val="en-US"/>
        </w:rPr>
        <w:t xml:space="preserve">ontract </w:t>
      </w:r>
      <w:r w:rsidR="00C34E2A">
        <w:rPr>
          <w:szCs w:val="24"/>
          <w:lang w:val="en-US"/>
        </w:rPr>
        <w:t>c</w:t>
      </w:r>
      <w:r w:rsidR="00556464">
        <w:rPr>
          <w:szCs w:val="24"/>
          <w:lang w:val="en-US"/>
        </w:rPr>
        <w:t xml:space="preserve">heating, or for past papers to be downloaded from Essay Mill websites. </w:t>
      </w:r>
      <w:r w:rsidR="00593449">
        <w:rPr>
          <w:szCs w:val="24"/>
          <w:lang w:val="en-US"/>
        </w:rPr>
        <w:t xml:space="preserve"> </w:t>
      </w:r>
    </w:p>
    <w:p w:rsidR="00593449" w:rsidP="00593449" w:rsidRDefault="00593449" w14:paraId="75EEABD2" w14:textId="70335003">
      <w:pPr>
        <w:ind w:left="566" w:right="95" w:hanging="566"/>
        <w:rPr>
          <w:szCs w:val="24"/>
          <w:lang w:val="en-US"/>
        </w:rPr>
      </w:pPr>
      <w:r>
        <w:rPr>
          <w:szCs w:val="24"/>
          <w:lang w:val="en-US"/>
        </w:rPr>
        <w:t xml:space="preserve">3.4. </w:t>
      </w:r>
      <w:r>
        <w:rPr>
          <w:szCs w:val="24"/>
          <w:lang w:val="en-US"/>
        </w:rPr>
        <w:tab/>
      </w:r>
      <w:r w:rsidR="005D6221">
        <w:rPr>
          <w:szCs w:val="24"/>
          <w:lang w:val="en-US"/>
        </w:rPr>
        <w:t>Where the digital capability is available (</w:t>
      </w:r>
      <w:proofErr w:type="gramStart"/>
      <w:r w:rsidR="005D6221">
        <w:rPr>
          <w:szCs w:val="24"/>
          <w:lang w:val="en-US"/>
        </w:rPr>
        <w:t>i.e.</w:t>
      </w:r>
      <w:proofErr w:type="gramEnd"/>
      <w:r w:rsidR="005D6221">
        <w:rPr>
          <w:szCs w:val="24"/>
          <w:lang w:val="en-US"/>
        </w:rPr>
        <w:t xml:space="preserve"> on Moodle) staff should consider</w:t>
      </w:r>
      <w:r>
        <w:rPr>
          <w:szCs w:val="24"/>
          <w:lang w:val="en-US"/>
        </w:rPr>
        <w:t xml:space="preserve"> design</w:t>
      </w:r>
      <w:r w:rsidR="005D6221">
        <w:rPr>
          <w:szCs w:val="24"/>
          <w:lang w:val="en-US"/>
        </w:rPr>
        <w:t>ing</w:t>
      </w:r>
      <w:r>
        <w:rPr>
          <w:szCs w:val="24"/>
          <w:lang w:val="en-US"/>
        </w:rPr>
        <w:t xml:space="preserve"> assessment</w:t>
      </w:r>
      <w:r w:rsidR="005D6221">
        <w:rPr>
          <w:szCs w:val="24"/>
          <w:lang w:val="en-US"/>
        </w:rPr>
        <w:t>s</w:t>
      </w:r>
      <w:r>
        <w:rPr>
          <w:szCs w:val="24"/>
          <w:lang w:val="en-US"/>
        </w:rPr>
        <w:t xml:space="preserve"> </w:t>
      </w:r>
      <w:r w:rsidR="005D6221">
        <w:rPr>
          <w:szCs w:val="24"/>
          <w:lang w:val="en-US"/>
        </w:rPr>
        <w:t>with varied question sequences, or where</w:t>
      </w:r>
      <w:r>
        <w:rPr>
          <w:szCs w:val="24"/>
          <w:lang w:val="en-US"/>
        </w:rPr>
        <w:t xml:space="preserve"> only one question is displayed at any given time. </w:t>
      </w:r>
    </w:p>
    <w:p w:rsidR="00917C8D" w:rsidP="00917C8D" w:rsidRDefault="007C59E4" w14:paraId="5A705060" w14:textId="5D8F1CCE">
      <w:pPr>
        <w:ind w:left="566" w:right="95" w:hanging="566"/>
        <w:rPr>
          <w:szCs w:val="24"/>
          <w:lang w:val="en-US"/>
        </w:rPr>
      </w:pPr>
      <w:r>
        <w:rPr>
          <w:szCs w:val="24"/>
          <w:lang w:val="en-US"/>
        </w:rPr>
        <w:t>3.</w:t>
      </w:r>
      <w:r w:rsidR="00593449">
        <w:rPr>
          <w:szCs w:val="24"/>
          <w:lang w:val="en-US"/>
        </w:rPr>
        <w:t>5</w:t>
      </w:r>
      <w:r>
        <w:rPr>
          <w:szCs w:val="24"/>
          <w:lang w:val="en-US"/>
        </w:rPr>
        <w:t xml:space="preserve">. </w:t>
      </w:r>
      <w:r w:rsidR="00593449">
        <w:rPr>
          <w:szCs w:val="24"/>
          <w:lang w:val="en-US"/>
        </w:rPr>
        <w:tab/>
      </w:r>
      <w:r w:rsidR="00593449">
        <w:rPr>
          <w:szCs w:val="24"/>
          <w:lang w:val="en-US"/>
        </w:rPr>
        <w:t>Focus on authentic assessment design</w:t>
      </w:r>
      <w:r w:rsidR="00C34E2A">
        <w:rPr>
          <w:szCs w:val="24"/>
          <w:lang w:val="en-US"/>
        </w:rPr>
        <w:t xml:space="preserve"> that </w:t>
      </w:r>
      <w:r w:rsidRPr="00C34E2A" w:rsidR="00C34E2A">
        <w:rPr>
          <w:szCs w:val="24"/>
          <w:lang w:val="en-US"/>
        </w:rPr>
        <w:t>measure</w:t>
      </w:r>
      <w:r w:rsidR="00C34E2A">
        <w:rPr>
          <w:szCs w:val="24"/>
          <w:lang w:val="en-US"/>
        </w:rPr>
        <w:t>s</w:t>
      </w:r>
      <w:r w:rsidRPr="00C34E2A" w:rsidR="00C34E2A">
        <w:rPr>
          <w:szCs w:val="24"/>
          <w:lang w:val="en-US"/>
        </w:rPr>
        <w:t xml:space="preserve"> a student</w:t>
      </w:r>
      <w:r w:rsidR="00917C8D">
        <w:rPr>
          <w:szCs w:val="24"/>
          <w:lang w:val="en-US"/>
        </w:rPr>
        <w:t>’</w:t>
      </w:r>
      <w:r w:rsidRPr="00C34E2A" w:rsidR="00C34E2A">
        <w:rPr>
          <w:szCs w:val="24"/>
          <w:lang w:val="en-US"/>
        </w:rPr>
        <w:t>s ability to apply knowledge and skills in practical, real-life situations</w:t>
      </w:r>
      <w:r w:rsidR="00917C8D">
        <w:rPr>
          <w:szCs w:val="24"/>
          <w:lang w:val="en-US"/>
        </w:rPr>
        <w:t xml:space="preserve">. </w:t>
      </w:r>
      <w:r w:rsidR="00917C8D">
        <w:t xml:space="preserve">Examples of authentic assessment </w:t>
      </w:r>
      <w:proofErr w:type="gramStart"/>
      <w:r w:rsidR="00917C8D">
        <w:t>include;</w:t>
      </w:r>
      <w:proofErr w:type="gramEnd"/>
      <w:r w:rsidR="00917C8D">
        <w:t xml:space="preserve"> project work, portfolios, performance, digital or creative content design, debates, and oral presentations. </w:t>
      </w:r>
      <w:r w:rsidR="00145E15">
        <w:t xml:space="preserve">See Annex 5 of the Assessment and Regulatory Framework for further information on authentic assessment. </w:t>
      </w:r>
    </w:p>
    <w:p w:rsidR="006E7D08" w:rsidP="00722A1B" w:rsidRDefault="006E7D08" w14:paraId="0341EBF4" w14:textId="7BF44D4A">
      <w:pPr>
        <w:ind w:left="566" w:right="95" w:hanging="566"/>
        <w:rPr>
          <w:szCs w:val="24"/>
          <w:lang w:val="en-US"/>
        </w:rPr>
      </w:pPr>
      <w:r>
        <w:rPr>
          <w:szCs w:val="24"/>
          <w:lang w:val="en-US"/>
        </w:rPr>
        <w:t xml:space="preserve">3.6. </w:t>
      </w:r>
      <w:r w:rsidR="00BA0B75">
        <w:rPr>
          <w:szCs w:val="24"/>
          <w:lang w:val="en-US"/>
        </w:rPr>
        <w:tab/>
      </w:r>
      <w:r>
        <w:rPr>
          <w:szCs w:val="24"/>
          <w:lang w:val="en-US"/>
        </w:rPr>
        <w:t>Where embedding A</w:t>
      </w:r>
      <w:r w:rsidR="00593449">
        <w:rPr>
          <w:szCs w:val="24"/>
          <w:lang w:val="en-US"/>
        </w:rPr>
        <w:t xml:space="preserve">rtificial Intelligence </w:t>
      </w:r>
      <w:r>
        <w:rPr>
          <w:szCs w:val="24"/>
          <w:lang w:val="en-US"/>
        </w:rPr>
        <w:t xml:space="preserve">tools into your teaching </w:t>
      </w:r>
      <w:r w:rsidR="00593449">
        <w:rPr>
          <w:szCs w:val="24"/>
          <w:lang w:val="en-US"/>
        </w:rPr>
        <w:t>and</w:t>
      </w:r>
      <w:r>
        <w:rPr>
          <w:szCs w:val="24"/>
          <w:lang w:val="en-US"/>
        </w:rPr>
        <w:t xml:space="preserve"> learning experience, state clearly where students are allowed to engage with</w:t>
      </w:r>
      <w:r w:rsidR="00593449">
        <w:rPr>
          <w:szCs w:val="24"/>
          <w:lang w:val="en-US"/>
        </w:rPr>
        <w:t xml:space="preserve"> </w:t>
      </w:r>
      <w:r w:rsidR="00BA0B75">
        <w:rPr>
          <w:szCs w:val="24"/>
          <w:lang w:val="en-US"/>
        </w:rPr>
        <w:t xml:space="preserve">open AI </w:t>
      </w:r>
      <w:r w:rsidR="00593449">
        <w:rPr>
          <w:szCs w:val="24"/>
          <w:lang w:val="en-US"/>
        </w:rPr>
        <w:t>software</w:t>
      </w:r>
      <w:r>
        <w:rPr>
          <w:szCs w:val="24"/>
          <w:lang w:val="en-US"/>
        </w:rPr>
        <w:t xml:space="preserve"> </w:t>
      </w:r>
      <w:r w:rsidR="00593449">
        <w:rPr>
          <w:szCs w:val="24"/>
          <w:lang w:val="en-US"/>
        </w:rPr>
        <w:t xml:space="preserve">such as ChatGPT </w:t>
      </w:r>
      <w:r>
        <w:rPr>
          <w:szCs w:val="24"/>
          <w:lang w:val="en-US"/>
        </w:rPr>
        <w:t xml:space="preserve">as part of </w:t>
      </w:r>
      <w:r w:rsidR="00BA0B75">
        <w:rPr>
          <w:szCs w:val="24"/>
          <w:lang w:val="en-US"/>
        </w:rPr>
        <w:t>their</w:t>
      </w:r>
      <w:r>
        <w:rPr>
          <w:szCs w:val="24"/>
          <w:lang w:val="en-US"/>
        </w:rPr>
        <w:t xml:space="preserve"> assessment. Where such use is not explicitly stated by the module convenor</w:t>
      </w:r>
      <w:r w:rsidR="00BA0B75">
        <w:rPr>
          <w:szCs w:val="24"/>
          <w:lang w:val="en-US"/>
        </w:rPr>
        <w:t xml:space="preserve"> and is detected after submission of an assignment or exam paper,</w:t>
      </w:r>
      <w:r>
        <w:rPr>
          <w:szCs w:val="24"/>
          <w:lang w:val="en-US"/>
        </w:rPr>
        <w:t xml:space="preserve"> it will be considered as a type of academic misconduct. </w:t>
      </w:r>
    </w:p>
    <w:p w:rsidR="006E7D08" w:rsidP="00722A1B" w:rsidRDefault="006E7D08" w14:paraId="004D793B" w14:textId="77777777">
      <w:pPr>
        <w:ind w:left="566" w:right="95" w:hanging="566"/>
        <w:rPr>
          <w:szCs w:val="24"/>
          <w:lang w:val="en-US"/>
        </w:rPr>
      </w:pPr>
    </w:p>
    <w:p w:rsidRPr="007C59E4" w:rsidR="00ED0005" w:rsidRDefault="00ED0005" w14:paraId="57A8BFB1" w14:textId="77777777">
      <w:pPr>
        <w:rPr>
          <w:lang w:val="en-US"/>
        </w:rPr>
      </w:pPr>
    </w:p>
    <w:sectPr w:rsidRPr="007C59E4" w:rsidR="00ED0005" w:rsidSect="00DD117C">
      <w:headerReference w:type="default" r:id="rId12"/>
      <w:footerReference w:type="default" r:id="rId13"/>
      <w:pgSz w:w="11906" w:h="16838" w:orient="portrait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323" w:rsidRDefault="008F2323" w14:paraId="5B02B5CF" w14:textId="77777777">
      <w:pPr>
        <w:spacing w:after="0"/>
      </w:pPr>
      <w:r>
        <w:separator/>
      </w:r>
    </w:p>
  </w:endnote>
  <w:endnote w:type="continuationSeparator" w:id="0">
    <w:p w:rsidR="008F2323" w:rsidRDefault="008F2323" w14:paraId="7EEA598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F169DC" w14:paraId="0C347EC8" w14:textId="77777777">
    <w:pPr>
      <w:pStyle w:val="Header"/>
      <w:rPr>
        <w:noProof/>
        <w:sz w:val="20"/>
      </w:rPr>
    </w:pPr>
  </w:p>
  <w:p w:rsidR="005F4147" w:rsidP="003A0781" w:rsidRDefault="00E9354D" w14:paraId="61FF303B" w14:textId="18233278">
    <w:pPr>
      <w:pStyle w:val="Footer"/>
      <w:jc w:val="center"/>
      <w:rPr>
        <w:rStyle w:val="PageNumber"/>
        <w:sz w:val="20"/>
      </w:rPr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="00DD1D3F">
      <w:rPr>
        <w:rStyle w:val="PageNumber"/>
        <w:sz w:val="20"/>
      </w:rPr>
      <w:br/>
    </w:r>
  </w:p>
  <w:p w:rsidR="00DD1D3F" w:rsidP="00DD1D3F" w:rsidRDefault="00DD1D3F" w14:paraId="1A1BB95A" w14:textId="77777777">
    <w:pPr>
      <w:pStyle w:val="Footer"/>
      <w:rPr>
        <w:sz w:val="20"/>
        <w:szCs w:val="20"/>
      </w:rPr>
    </w:pPr>
    <w:r>
      <w:rPr>
        <w:sz w:val="20"/>
        <w:szCs w:val="20"/>
      </w:rPr>
      <w:t>Author: QACO</w:t>
    </w:r>
  </w:p>
  <w:p w:rsidR="00DD1D3F" w:rsidP="00DD1D3F" w:rsidRDefault="00DD1D3F" w14:paraId="34A28385" w14:textId="77777777">
    <w:pPr>
      <w:pStyle w:val="Footer"/>
      <w:rPr>
        <w:sz w:val="20"/>
        <w:szCs w:val="20"/>
      </w:rPr>
    </w:pPr>
    <w:r>
      <w:rPr>
        <w:sz w:val="20"/>
        <w:szCs w:val="20"/>
      </w:rPr>
      <w:t xml:space="preserve">Applies </w:t>
    </w:r>
    <w:proofErr w:type="gramStart"/>
    <w:r>
      <w:rPr>
        <w:sz w:val="20"/>
        <w:szCs w:val="20"/>
      </w:rPr>
      <w:t>to:</w:t>
    </w:r>
    <w:proofErr w:type="gramEnd"/>
    <w:r>
      <w:rPr>
        <w:sz w:val="20"/>
        <w:szCs w:val="20"/>
      </w:rPr>
      <w:t xml:space="preserve"> 2023/24</w:t>
    </w:r>
  </w:p>
  <w:p w:rsidR="00DD1D3F" w:rsidP="00DD1D3F" w:rsidRDefault="00DD1D3F" w14:paraId="599C4647" w14:textId="77777777">
    <w:pPr>
      <w:pStyle w:val="Footer"/>
      <w:rPr>
        <w:sz w:val="20"/>
        <w:szCs w:val="20"/>
      </w:rPr>
    </w:pPr>
    <w:r>
      <w:rPr>
        <w:sz w:val="20"/>
        <w:szCs w:val="20"/>
      </w:rPr>
      <w:t>Approved by Senate: June 2023</w:t>
    </w:r>
  </w:p>
  <w:p w:rsidR="00DD1D3F" w:rsidP="00DD1D3F" w:rsidRDefault="00DD1D3F" w14:paraId="21A6E13E" w14:textId="507C2B29">
    <w:pPr>
      <w:pStyle w:val="Footer"/>
      <w:ind w:left="0" w:firstLine="0"/>
    </w:pPr>
    <w:r w:rsidRPr="33C30EB0" w:rsidR="33C30EB0">
      <w:rPr>
        <w:sz w:val="20"/>
        <w:szCs w:val="20"/>
      </w:rPr>
      <w:t xml:space="preserve">Last Updated: </w:t>
    </w:r>
    <w:r w:rsidRPr="33C30EB0" w:rsidR="33C30EB0">
      <w:rPr>
        <w:sz w:val="20"/>
        <w:szCs w:val="20"/>
      </w:rPr>
      <w:t>November 2023</w:t>
    </w:r>
    <w:r>
      <w:br/>
    </w:r>
    <w:r w:rsidRPr="33C30EB0" w:rsidR="33C30EB0">
      <w:rPr>
        <w:sz w:val="20"/>
        <w:szCs w:val="20"/>
      </w:rPr>
      <w:t>Next Review: September 202</w:t>
    </w:r>
    <w:r w:rsidRPr="33C30EB0" w:rsidR="33C30EB0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323" w:rsidRDefault="008F2323" w14:paraId="20907C60" w14:textId="77777777">
      <w:pPr>
        <w:spacing w:after="0"/>
      </w:pPr>
      <w:r>
        <w:separator/>
      </w:r>
    </w:p>
  </w:footnote>
  <w:footnote w:type="continuationSeparator" w:id="0">
    <w:p w:rsidR="008F2323" w:rsidRDefault="008F2323" w14:paraId="3DA80089" w14:textId="77777777">
      <w:pPr>
        <w:spacing w:after="0"/>
      </w:pPr>
      <w:r>
        <w:continuationSeparator/>
      </w:r>
    </w:p>
  </w:footnote>
  <w:footnote w:id="1">
    <w:p w:rsidR="00AF5DB7" w:rsidRDefault="00AF5DB7" w14:paraId="6F6283C8" w14:textId="437694AA">
      <w:pPr>
        <w:pStyle w:val="FootnoteText"/>
      </w:pPr>
      <w:r>
        <w:rPr>
          <w:rStyle w:val="FootnoteReference"/>
        </w:rPr>
        <w:footnoteRef/>
      </w:r>
      <w:r>
        <w:t xml:space="preserve"> Fundamental Values of Academic Integrity defined by the </w:t>
      </w:r>
      <w:hyperlink w:history="1" r:id="rId1">
        <w:r w:rsidRPr="004D5077">
          <w:rPr>
            <w:rStyle w:val="Hyperlink"/>
          </w:rPr>
          <w:t xml:space="preserve">International </w:t>
        </w:r>
        <w:r w:rsidRPr="004D5077" w:rsidR="00467D49">
          <w:rPr>
            <w:rStyle w:val="Hyperlink"/>
          </w:rPr>
          <w:t>Centre</w:t>
        </w:r>
        <w:r w:rsidRPr="004D5077">
          <w:rPr>
            <w:rStyle w:val="Hyperlink"/>
          </w:rPr>
          <w:t xml:space="preserve"> for Academic Integrity</w:t>
        </w:r>
      </w:hyperlink>
      <w:r>
        <w:t xml:space="preserve"> </w:t>
      </w:r>
    </w:p>
  </w:footnote>
  <w:footnote w:id="2">
    <w:p w:rsidR="00DA461F" w:rsidP="009740FF" w:rsidRDefault="00DA461F" w14:paraId="14664C59" w14:textId="5B639581">
      <w:pPr>
        <w:pStyle w:val="FootnoteText"/>
        <w:ind w:left="142" w:firstLine="0"/>
      </w:pPr>
      <w:r>
        <w:rPr>
          <w:rStyle w:val="FootnoteReference"/>
        </w:rPr>
        <w:footnoteRef/>
      </w:r>
      <w:r>
        <w:t xml:space="preserve"> </w:t>
      </w:r>
      <w:r w:rsidR="009740FF">
        <w:t xml:space="preserve">See information about online exams on </w:t>
      </w:r>
      <w:hyperlink w:history="1" r:id="rId2">
        <w:r w:rsidRPr="009740FF" w:rsidR="009740FF">
          <w:rPr>
            <w:rStyle w:val="Hyperlink"/>
          </w:rPr>
          <w:t>E-learning Community page</w:t>
        </w:r>
      </w:hyperlink>
      <w:r w:rsidR="009740FF">
        <w:t xml:space="preserve"> on SharePoint (available to Kent staff only)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DD117C" w:rsidR="005F4147" w:rsidP="00DD117C" w:rsidRDefault="00E9354D" w14:paraId="7150121E" w14:textId="3887B822">
    <w:pPr>
      <w:pStyle w:val="Header"/>
      <w:jc w:val="center"/>
      <w:rPr>
        <w:b/>
        <w:bCs/>
      </w:rPr>
    </w:pPr>
    <w:r w:rsidRPr="00DD117C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2E00288" wp14:editId="76CDF6BE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60000" cy="1118170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17C" w:rsidR="00DD117C">
      <w:rPr>
        <w:b/>
        <w:bCs/>
      </w:rPr>
      <w:t>Assessment Regulations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40B"/>
    <w:multiLevelType w:val="hybridMultilevel"/>
    <w:tmpl w:val="6FE4FDD6"/>
    <w:lvl w:ilvl="0" w:tplc="B23E8D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FED"/>
    <w:multiLevelType w:val="hybridMultilevel"/>
    <w:tmpl w:val="3CECA5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32F13"/>
    <w:multiLevelType w:val="hybridMultilevel"/>
    <w:tmpl w:val="5DF608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34DB"/>
    <w:multiLevelType w:val="multilevel"/>
    <w:tmpl w:val="D4CC2D22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7198251D"/>
    <w:multiLevelType w:val="hybridMultilevel"/>
    <w:tmpl w:val="5D04C88A"/>
    <w:lvl w:ilvl="0" w:tplc="5122FF3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95929">
    <w:abstractNumId w:val="3"/>
  </w:num>
  <w:num w:numId="2" w16cid:durableId="1756630179">
    <w:abstractNumId w:val="4"/>
  </w:num>
  <w:num w:numId="3" w16cid:durableId="2022589019">
    <w:abstractNumId w:val="0"/>
  </w:num>
  <w:num w:numId="4" w16cid:durableId="397092026">
    <w:abstractNumId w:val="2"/>
  </w:num>
  <w:num w:numId="5" w16cid:durableId="77583187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BE"/>
    <w:rsid w:val="000005DB"/>
    <w:rsid w:val="00013F86"/>
    <w:rsid w:val="00015033"/>
    <w:rsid w:val="00016112"/>
    <w:rsid w:val="00024B0C"/>
    <w:rsid w:val="00030445"/>
    <w:rsid w:val="0003620F"/>
    <w:rsid w:val="000448C9"/>
    <w:rsid w:val="0004770E"/>
    <w:rsid w:val="00051D5F"/>
    <w:rsid w:val="000644B2"/>
    <w:rsid w:val="00066AB9"/>
    <w:rsid w:val="0008563E"/>
    <w:rsid w:val="00087418"/>
    <w:rsid w:val="000C010B"/>
    <w:rsid w:val="00125533"/>
    <w:rsid w:val="0014496E"/>
    <w:rsid w:val="00145E15"/>
    <w:rsid w:val="00162245"/>
    <w:rsid w:val="0016480C"/>
    <w:rsid w:val="00171B48"/>
    <w:rsid w:val="001754D5"/>
    <w:rsid w:val="00196F62"/>
    <w:rsid w:val="001A673F"/>
    <w:rsid w:val="001D49EC"/>
    <w:rsid w:val="00234A8D"/>
    <w:rsid w:val="00240DBE"/>
    <w:rsid w:val="0024367F"/>
    <w:rsid w:val="00250483"/>
    <w:rsid w:val="00264795"/>
    <w:rsid w:val="0026674F"/>
    <w:rsid w:val="002757D7"/>
    <w:rsid w:val="00276E5A"/>
    <w:rsid w:val="002A2748"/>
    <w:rsid w:val="002B6B28"/>
    <w:rsid w:val="002D1E6E"/>
    <w:rsid w:val="002F565A"/>
    <w:rsid w:val="003375D7"/>
    <w:rsid w:val="0034051E"/>
    <w:rsid w:val="00347DA9"/>
    <w:rsid w:val="0036185F"/>
    <w:rsid w:val="00373969"/>
    <w:rsid w:val="00396A04"/>
    <w:rsid w:val="003A460D"/>
    <w:rsid w:val="003A4D41"/>
    <w:rsid w:val="003A7EFC"/>
    <w:rsid w:val="003D1566"/>
    <w:rsid w:val="0040794B"/>
    <w:rsid w:val="00413323"/>
    <w:rsid w:val="00414CC4"/>
    <w:rsid w:val="00433EF4"/>
    <w:rsid w:val="00460FFB"/>
    <w:rsid w:val="00466F32"/>
    <w:rsid w:val="00467D49"/>
    <w:rsid w:val="00477A2B"/>
    <w:rsid w:val="00490583"/>
    <w:rsid w:val="004B3BB3"/>
    <w:rsid w:val="004D5077"/>
    <w:rsid w:val="004D5536"/>
    <w:rsid w:val="004E5726"/>
    <w:rsid w:val="005142B2"/>
    <w:rsid w:val="00522C7D"/>
    <w:rsid w:val="00530CBE"/>
    <w:rsid w:val="00543955"/>
    <w:rsid w:val="00556464"/>
    <w:rsid w:val="00577C00"/>
    <w:rsid w:val="00582108"/>
    <w:rsid w:val="00593449"/>
    <w:rsid w:val="005C20A3"/>
    <w:rsid w:val="005C4C92"/>
    <w:rsid w:val="005D6221"/>
    <w:rsid w:val="005E344D"/>
    <w:rsid w:val="00637952"/>
    <w:rsid w:val="00675DFB"/>
    <w:rsid w:val="006B3B38"/>
    <w:rsid w:val="006C2C9B"/>
    <w:rsid w:val="006E066B"/>
    <w:rsid w:val="006E7D08"/>
    <w:rsid w:val="00710EC1"/>
    <w:rsid w:val="00722A1B"/>
    <w:rsid w:val="00743814"/>
    <w:rsid w:val="007567D7"/>
    <w:rsid w:val="00764B6F"/>
    <w:rsid w:val="00765550"/>
    <w:rsid w:val="007906E6"/>
    <w:rsid w:val="00791C1F"/>
    <w:rsid w:val="007967DA"/>
    <w:rsid w:val="007B0052"/>
    <w:rsid w:val="007C59E4"/>
    <w:rsid w:val="007F247C"/>
    <w:rsid w:val="007F7014"/>
    <w:rsid w:val="00807C67"/>
    <w:rsid w:val="00883361"/>
    <w:rsid w:val="008F2323"/>
    <w:rsid w:val="008F2C97"/>
    <w:rsid w:val="008F6CE2"/>
    <w:rsid w:val="00903F65"/>
    <w:rsid w:val="00917C8D"/>
    <w:rsid w:val="009224D6"/>
    <w:rsid w:val="00927ED8"/>
    <w:rsid w:val="009427B9"/>
    <w:rsid w:val="0096498D"/>
    <w:rsid w:val="009740FF"/>
    <w:rsid w:val="00992C3A"/>
    <w:rsid w:val="009B3F24"/>
    <w:rsid w:val="009C0570"/>
    <w:rsid w:val="009C3297"/>
    <w:rsid w:val="009D2AC7"/>
    <w:rsid w:val="009F55B1"/>
    <w:rsid w:val="00A01DDB"/>
    <w:rsid w:val="00A041DB"/>
    <w:rsid w:val="00A67024"/>
    <w:rsid w:val="00A7454D"/>
    <w:rsid w:val="00A75C11"/>
    <w:rsid w:val="00A86C96"/>
    <w:rsid w:val="00A90748"/>
    <w:rsid w:val="00AA3277"/>
    <w:rsid w:val="00AB3CA7"/>
    <w:rsid w:val="00AC2E2C"/>
    <w:rsid w:val="00AC6DF6"/>
    <w:rsid w:val="00AE226F"/>
    <w:rsid w:val="00AE7938"/>
    <w:rsid w:val="00AF2922"/>
    <w:rsid w:val="00AF3B13"/>
    <w:rsid w:val="00AF5DB7"/>
    <w:rsid w:val="00B200BD"/>
    <w:rsid w:val="00B406E4"/>
    <w:rsid w:val="00B55F5A"/>
    <w:rsid w:val="00B8320F"/>
    <w:rsid w:val="00BA0B75"/>
    <w:rsid w:val="00BA0E30"/>
    <w:rsid w:val="00BB3539"/>
    <w:rsid w:val="00BD6AF8"/>
    <w:rsid w:val="00C272CC"/>
    <w:rsid w:val="00C32515"/>
    <w:rsid w:val="00C34E2A"/>
    <w:rsid w:val="00C436A0"/>
    <w:rsid w:val="00C61690"/>
    <w:rsid w:val="00C61814"/>
    <w:rsid w:val="00C949FF"/>
    <w:rsid w:val="00C95624"/>
    <w:rsid w:val="00CB28A6"/>
    <w:rsid w:val="00CB46C9"/>
    <w:rsid w:val="00CC26F3"/>
    <w:rsid w:val="00CE081B"/>
    <w:rsid w:val="00CE20B2"/>
    <w:rsid w:val="00CF2686"/>
    <w:rsid w:val="00CF71E3"/>
    <w:rsid w:val="00D2157D"/>
    <w:rsid w:val="00D23015"/>
    <w:rsid w:val="00D235D1"/>
    <w:rsid w:val="00D2617C"/>
    <w:rsid w:val="00D329EA"/>
    <w:rsid w:val="00D47823"/>
    <w:rsid w:val="00D531A4"/>
    <w:rsid w:val="00D82BE9"/>
    <w:rsid w:val="00D837D0"/>
    <w:rsid w:val="00DA461F"/>
    <w:rsid w:val="00DA7546"/>
    <w:rsid w:val="00DA7792"/>
    <w:rsid w:val="00DC4E11"/>
    <w:rsid w:val="00DD117C"/>
    <w:rsid w:val="00DD1D3F"/>
    <w:rsid w:val="00DE20D7"/>
    <w:rsid w:val="00E150E5"/>
    <w:rsid w:val="00E16DC6"/>
    <w:rsid w:val="00E22813"/>
    <w:rsid w:val="00E4555B"/>
    <w:rsid w:val="00E5157C"/>
    <w:rsid w:val="00E74671"/>
    <w:rsid w:val="00E84308"/>
    <w:rsid w:val="00E86AD6"/>
    <w:rsid w:val="00E904C0"/>
    <w:rsid w:val="00E9354D"/>
    <w:rsid w:val="00E97EDA"/>
    <w:rsid w:val="00EC112A"/>
    <w:rsid w:val="00ED0005"/>
    <w:rsid w:val="00EE3591"/>
    <w:rsid w:val="00EF0C22"/>
    <w:rsid w:val="00EF31CE"/>
    <w:rsid w:val="00F073A0"/>
    <w:rsid w:val="00F2534E"/>
    <w:rsid w:val="00F469A6"/>
    <w:rsid w:val="00F56D12"/>
    <w:rsid w:val="00F600B6"/>
    <w:rsid w:val="00F65AA5"/>
    <w:rsid w:val="00F940F3"/>
    <w:rsid w:val="00F975F7"/>
    <w:rsid w:val="00FC4DF5"/>
    <w:rsid w:val="00FE1F87"/>
    <w:rsid w:val="33C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6C757"/>
  <w15:docId w15:val="{004CCE72-4A13-48CD-ABD8-F4AF24EE09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0DBE"/>
    <w:pPr>
      <w:spacing w:after="120" w:line="240" w:lineRule="auto"/>
      <w:ind w:left="862" w:hanging="862"/>
    </w:pPr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0DBE"/>
    <w:pPr>
      <w:keepNext/>
      <w:keepLines/>
      <w:numPr>
        <w:numId w:val="1"/>
      </w:numPr>
      <w:tabs>
        <w:tab w:val="left" w:pos="567"/>
      </w:tabs>
      <w:ind w:hanging="566"/>
      <w:outlineLvl w:val="0"/>
    </w:pPr>
    <w:rPr>
      <w:rFonts w:eastAsiaTheme="majorEastAsia" w:cstheme="majorBidi"/>
      <w:b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40DBE"/>
    <w:rPr>
      <w:rFonts w:ascii="Arial" w:hAnsi="Arial" w:eastAsiaTheme="majorEastAsia" w:cstheme="majorBidi"/>
      <w:b/>
      <w:color w:val="000000"/>
      <w:kern w:val="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40DBE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40DBE"/>
    <w:rPr>
      <w:rFonts w:ascii="Arial" w:hAnsi="Arial" w:eastAsia="Arial" w:cs="Arial"/>
      <w:color w:val="000000"/>
      <w:kern w:val="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0DBE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40DBE"/>
    <w:rPr>
      <w:rFonts w:ascii="Arial" w:hAnsi="Arial" w:eastAsia="Arial" w:cs="Arial"/>
      <w:color w:val="000000"/>
      <w:kern w:val="0"/>
      <w:sz w:val="24"/>
      <w:lang w:eastAsia="en-GB"/>
    </w:rPr>
  </w:style>
  <w:style w:type="character" w:styleId="PageNumber">
    <w:name w:val="page number"/>
    <w:basedOn w:val="DefaultParagraphFont"/>
    <w:rsid w:val="00240DBE"/>
  </w:style>
  <w:style w:type="paragraph" w:styleId="paragraph" w:customStyle="1">
    <w:name w:val="paragraph"/>
    <w:basedOn w:val="Normal"/>
    <w:rsid w:val="00240DBE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40DBE"/>
  </w:style>
  <w:style w:type="character" w:styleId="eop" w:customStyle="1">
    <w:name w:val="eop"/>
    <w:basedOn w:val="DefaultParagraphFont"/>
    <w:rsid w:val="00240DBE"/>
  </w:style>
  <w:style w:type="character" w:styleId="Hyperlink">
    <w:name w:val="Hyperlink"/>
    <w:basedOn w:val="DefaultParagraphFont"/>
    <w:uiPriority w:val="99"/>
    <w:unhideWhenUsed/>
    <w:rsid w:val="00240D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DBE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40DBE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40DBE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DB7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F5DB7"/>
    <w:rPr>
      <w:rFonts w:ascii="Arial" w:hAnsi="Arial" w:eastAsia="Arial" w:cs="Arial"/>
      <w:color w:val="000000"/>
      <w:kern w:val="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5D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5D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01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23015"/>
    <w:rPr>
      <w:rFonts w:ascii="Arial" w:hAnsi="Arial" w:eastAsia="Arial" w:cs="Arial"/>
      <w:color w:val="000000"/>
      <w:kern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01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3015"/>
    <w:rPr>
      <w:rFonts w:ascii="Arial" w:hAnsi="Arial" w:eastAsia="Arial" w:cs="Arial"/>
      <w:b/>
      <w:bCs/>
      <w:color w:val="000000"/>
      <w:kern w:val="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32515"/>
    <w:pPr>
      <w:spacing w:after="0" w:line="240" w:lineRule="auto"/>
    </w:pPr>
    <w:rPr>
      <w:rFonts w:ascii="Arial" w:hAnsi="Arial" w:eastAsia="Arial" w:cs="Arial"/>
      <w:color w:val="000000"/>
      <w:kern w:val="0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5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kent.ac.uk/education/documents/credit-framework/credit-framework-annex-10.docx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vekentac.sharepoint.com/sites/education-elearning/SitePages/Online-exams.aspx" TargetMode="External"/><Relationship Id="rId1" Type="http://schemas.openxmlformats.org/officeDocument/2006/relationships/hyperlink" Target="https://academicintegrity.org/about/valu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  <Document_x0020_Status xmlns="4844a565-d903-479b-8f5d-e7c9db0d7e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FCE1-E0BC-4C15-B9D3-69F67982C6DE}">
  <ds:schemaRefs>
    <ds:schemaRef ds:uri="http://schemas.microsoft.com/office/2006/metadata/properties"/>
    <ds:schemaRef ds:uri="http://schemas.microsoft.com/office/infopath/2007/PartnerControls"/>
    <ds:schemaRef ds:uri="c2b8e455-f901-47f3-b8e8-fcb399ca0bfc"/>
    <ds:schemaRef ds:uri="54db404c-c500-43d8-b0ff-721ff10d90be"/>
  </ds:schemaRefs>
</ds:datastoreItem>
</file>

<file path=customXml/itemProps2.xml><?xml version="1.0" encoding="utf-8"?>
<ds:datastoreItem xmlns:ds="http://schemas.openxmlformats.org/officeDocument/2006/customXml" ds:itemID="{D590BB58-1040-49A9-A5EF-214C273DC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C01A8-8CE1-4872-ADB0-2BCA4A789423}"/>
</file>

<file path=customXml/itemProps4.xml><?xml version="1.0" encoding="utf-8"?>
<ds:datastoreItem xmlns:ds="http://schemas.openxmlformats.org/officeDocument/2006/customXml" ds:itemID="{6CDC6CDB-9072-425B-A54F-1211E3E10DF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Huxley</dc:creator>
  <cp:keywords/>
  <dc:description/>
  <cp:lastModifiedBy>Philip Blake</cp:lastModifiedBy>
  <cp:revision>3</cp:revision>
  <dcterms:created xsi:type="dcterms:W3CDTF">2023-07-02T00:51:00Z</dcterms:created>
  <dcterms:modified xsi:type="dcterms:W3CDTF">2023-11-10T09:28:52Z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a1a005f7c5754b7b8c198eb50f332f3c65befd831adcdca6079331245c6655cd</vt:lpwstr>
  </property>
  <property fmtid="{D5CDD505-2E9C-101B-9397-08002B2CF9AE}" pid="3" name="ContentTypeId">
    <vt:lpwstr>0x01010072741F61E7B4594BB271D14DEF31AF09</vt:lpwstr>
  </property>
  <property fmtid="{D5CDD505-2E9C-101B-9397-08002B2CF9AE}" pid="4" name="MediaServiceImageTags">
    <vt:lpwstr/>
  </property>
</Properties>
</file>