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7F3" w14:textId="77777777" w:rsidR="004912B9" w:rsidRPr="00906E2A" w:rsidRDefault="004912B9" w:rsidP="004912B9">
      <w:pPr>
        <w:pStyle w:val="Title"/>
      </w:pPr>
      <w:r w:rsidRPr="00906E2A">
        <w:t>Annex 6: Marking</w:t>
      </w:r>
    </w:p>
    <w:p w14:paraId="0CE4EAAB" w14:textId="77777777" w:rsidR="00AE465E" w:rsidRDefault="00AE465E" w:rsidP="00AE465E"/>
    <w:p w14:paraId="450B6BB3" w14:textId="77777777" w:rsidR="00AE465E" w:rsidRDefault="00AE465E" w:rsidP="00AE465E">
      <w:pPr>
        <w:pStyle w:val="Subtitle"/>
      </w:pPr>
      <w:r>
        <w:t xml:space="preserve">Contents </w:t>
      </w:r>
    </w:p>
    <w:p w14:paraId="5FF08997" w14:textId="62937A29" w:rsidR="00A85535" w:rsidRDefault="00E9753A"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r>
        <w:fldChar w:fldCharType="begin"/>
      </w:r>
      <w:r>
        <w:instrText xml:space="preserve"> TOC \o "1-3" \h \z \u </w:instrText>
      </w:r>
      <w:r>
        <w:fldChar w:fldCharType="separate"/>
      </w:r>
      <w:hyperlink w:anchor="_Toc84921486" w:history="1">
        <w:r w:rsidR="00A85535" w:rsidRPr="008D6596">
          <w:rPr>
            <w:rStyle w:val="Hyperlink"/>
            <w:noProof/>
          </w:rPr>
          <w:t>1</w:t>
        </w:r>
        <w:r w:rsidR="00A85535">
          <w:rPr>
            <w:rFonts w:asciiTheme="minorHAnsi" w:eastAsiaTheme="minorEastAsia" w:hAnsiTheme="minorHAnsi" w:cstheme="minorBidi"/>
            <w:noProof/>
            <w:color w:val="auto"/>
            <w:sz w:val="22"/>
            <w:lang w:eastAsia="zh-CN"/>
          </w:rPr>
          <w:tab/>
        </w:r>
        <w:r w:rsidR="00A85535" w:rsidRPr="008D6596">
          <w:rPr>
            <w:rStyle w:val="Hyperlink"/>
            <w:noProof/>
          </w:rPr>
          <w:t>Anonymity</w:t>
        </w:r>
        <w:r w:rsidR="00A85535">
          <w:rPr>
            <w:noProof/>
            <w:webHidden/>
          </w:rPr>
          <w:tab/>
        </w:r>
        <w:r w:rsidR="00A85535">
          <w:rPr>
            <w:noProof/>
            <w:webHidden/>
          </w:rPr>
          <w:fldChar w:fldCharType="begin"/>
        </w:r>
        <w:r w:rsidR="00A85535">
          <w:rPr>
            <w:noProof/>
            <w:webHidden/>
          </w:rPr>
          <w:instrText xml:space="preserve"> PAGEREF _Toc84921486 \h </w:instrText>
        </w:r>
        <w:r w:rsidR="00A85535">
          <w:rPr>
            <w:noProof/>
            <w:webHidden/>
          </w:rPr>
        </w:r>
        <w:r w:rsidR="00A85535">
          <w:rPr>
            <w:noProof/>
            <w:webHidden/>
          </w:rPr>
          <w:fldChar w:fldCharType="separate"/>
        </w:r>
        <w:r w:rsidR="000C76AE">
          <w:rPr>
            <w:noProof/>
            <w:webHidden/>
          </w:rPr>
          <w:t>2</w:t>
        </w:r>
        <w:r w:rsidR="00A85535">
          <w:rPr>
            <w:noProof/>
            <w:webHidden/>
          </w:rPr>
          <w:fldChar w:fldCharType="end"/>
        </w:r>
      </w:hyperlink>
    </w:p>
    <w:p w14:paraId="29DB55CD" w14:textId="6DCD5516"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487" w:history="1">
        <w:r w:rsidR="00A85535" w:rsidRPr="008D6596">
          <w:rPr>
            <w:rStyle w:val="Hyperlink"/>
            <w:noProof/>
          </w:rPr>
          <w:t>2</w:t>
        </w:r>
        <w:r w:rsidR="00A85535">
          <w:rPr>
            <w:rFonts w:asciiTheme="minorHAnsi" w:eastAsiaTheme="minorEastAsia" w:hAnsiTheme="minorHAnsi" w:cstheme="minorBidi"/>
            <w:noProof/>
            <w:color w:val="auto"/>
            <w:sz w:val="22"/>
            <w:lang w:eastAsia="zh-CN"/>
          </w:rPr>
          <w:tab/>
        </w:r>
        <w:r w:rsidR="00A85535" w:rsidRPr="008D6596">
          <w:rPr>
            <w:rStyle w:val="Hyperlink"/>
            <w:noProof/>
          </w:rPr>
          <w:t>Assessment Marks</w:t>
        </w:r>
        <w:r w:rsidR="00A85535">
          <w:rPr>
            <w:noProof/>
            <w:webHidden/>
          </w:rPr>
          <w:tab/>
        </w:r>
        <w:r w:rsidR="00A85535">
          <w:rPr>
            <w:noProof/>
            <w:webHidden/>
          </w:rPr>
          <w:fldChar w:fldCharType="begin"/>
        </w:r>
        <w:r w:rsidR="00A85535">
          <w:rPr>
            <w:noProof/>
            <w:webHidden/>
          </w:rPr>
          <w:instrText xml:space="preserve"> PAGEREF _Toc84921487 \h </w:instrText>
        </w:r>
        <w:r w:rsidR="00A85535">
          <w:rPr>
            <w:noProof/>
            <w:webHidden/>
          </w:rPr>
        </w:r>
        <w:r w:rsidR="00A85535">
          <w:rPr>
            <w:noProof/>
            <w:webHidden/>
          </w:rPr>
          <w:fldChar w:fldCharType="separate"/>
        </w:r>
        <w:r w:rsidR="000C76AE">
          <w:rPr>
            <w:noProof/>
            <w:webHidden/>
          </w:rPr>
          <w:t>2</w:t>
        </w:r>
        <w:r w:rsidR="00A85535">
          <w:rPr>
            <w:noProof/>
            <w:webHidden/>
          </w:rPr>
          <w:fldChar w:fldCharType="end"/>
        </w:r>
      </w:hyperlink>
    </w:p>
    <w:p w14:paraId="5E775B2F" w14:textId="49E353A7"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488" w:history="1">
        <w:r w:rsidR="00A85535" w:rsidRPr="008D6596">
          <w:rPr>
            <w:rStyle w:val="Hyperlink"/>
            <w:noProof/>
          </w:rPr>
          <w:t>3</w:t>
        </w:r>
        <w:r w:rsidR="00A85535">
          <w:rPr>
            <w:rFonts w:asciiTheme="minorHAnsi" w:eastAsiaTheme="minorEastAsia" w:hAnsiTheme="minorHAnsi" w:cstheme="minorBidi"/>
            <w:noProof/>
            <w:color w:val="auto"/>
            <w:sz w:val="22"/>
            <w:lang w:eastAsia="zh-CN"/>
          </w:rPr>
          <w:tab/>
        </w:r>
        <w:r w:rsidR="00A85535" w:rsidRPr="008D6596">
          <w:rPr>
            <w:rStyle w:val="Hyperlink"/>
            <w:noProof/>
          </w:rPr>
          <w:t>Illegible Scripts</w:t>
        </w:r>
        <w:r w:rsidR="00A85535">
          <w:rPr>
            <w:noProof/>
            <w:webHidden/>
          </w:rPr>
          <w:tab/>
        </w:r>
        <w:r w:rsidR="00A85535">
          <w:rPr>
            <w:noProof/>
            <w:webHidden/>
          </w:rPr>
          <w:fldChar w:fldCharType="begin"/>
        </w:r>
        <w:r w:rsidR="00A85535">
          <w:rPr>
            <w:noProof/>
            <w:webHidden/>
          </w:rPr>
          <w:instrText xml:space="preserve"> PAGEREF _Toc84921488 \h </w:instrText>
        </w:r>
        <w:r w:rsidR="00A85535">
          <w:rPr>
            <w:noProof/>
            <w:webHidden/>
          </w:rPr>
        </w:r>
        <w:r w:rsidR="00A85535">
          <w:rPr>
            <w:noProof/>
            <w:webHidden/>
          </w:rPr>
          <w:fldChar w:fldCharType="separate"/>
        </w:r>
        <w:r w:rsidR="000C76AE">
          <w:rPr>
            <w:noProof/>
            <w:webHidden/>
          </w:rPr>
          <w:t>5</w:t>
        </w:r>
        <w:r w:rsidR="00A85535">
          <w:rPr>
            <w:noProof/>
            <w:webHidden/>
          </w:rPr>
          <w:fldChar w:fldCharType="end"/>
        </w:r>
      </w:hyperlink>
    </w:p>
    <w:p w14:paraId="23F1FF61" w14:textId="3858711A"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489" w:history="1">
        <w:r w:rsidR="00A85535" w:rsidRPr="008D6596">
          <w:rPr>
            <w:rStyle w:val="Hyperlink"/>
            <w:noProof/>
          </w:rPr>
          <w:t>4</w:t>
        </w:r>
        <w:r w:rsidR="00A85535">
          <w:rPr>
            <w:rFonts w:asciiTheme="minorHAnsi" w:eastAsiaTheme="minorEastAsia" w:hAnsiTheme="minorHAnsi" w:cstheme="minorBidi"/>
            <w:noProof/>
            <w:color w:val="auto"/>
            <w:sz w:val="22"/>
            <w:lang w:eastAsia="zh-CN"/>
          </w:rPr>
          <w:tab/>
        </w:r>
        <w:r w:rsidR="00A85535" w:rsidRPr="008D6596">
          <w:rPr>
            <w:rStyle w:val="Hyperlink"/>
            <w:noProof/>
          </w:rPr>
          <w:t>Moderation</w:t>
        </w:r>
        <w:r w:rsidR="00A85535">
          <w:rPr>
            <w:noProof/>
            <w:webHidden/>
          </w:rPr>
          <w:tab/>
        </w:r>
        <w:r w:rsidR="00A85535">
          <w:rPr>
            <w:noProof/>
            <w:webHidden/>
          </w:rPr>
          <w:fldChar w:fldCharType="begin"/>
        </w:r>
        <w:r w:rsidR="00A85535">
          <w:rPr>
            <w:noProof/>
            <w:webHidden/>
          </w:rPr>
          <w:instrText xml:space="preserve"> PAGEREF _Toc84921489 \h </w:instrText>
        </w:r>
        <w:r w:rsidR="00A85535">
          <w:rPr>
            <w:noProof/>
            <w:webHidden/>
          </w:rPr>
        </w:r>
        <w:r w:rsidR="00A85535">
          <w:rPr>
            <w:noProof/>
            <w:webHidden/>
          </w:rPr>
          <w:fldChar w:fldCharType="separate"/>
        </w:r>
        <w:r w:rsidR="000C76AE">
          <w:rPr>
            <w:noProof/>
            <w:webHidden/>
          </w:rPr>
          <w:t>6</w:t>
        </w:r>
        <w:r w:rsidR="00A85535">
          <w:rPr>
            <w:noProof/>
            <w:webHidden/>
          </w:rPr>
          <w:fldChar w:fldCharType="end"/>
        </w:r>
      </w:hyperlink>
    </w:p>
    <w:p w14:paraId="15DEF5E5" w14:textId="24A62F39"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0" w:history="1">
        <w:r w:rsidR="00A85535" w:rsidRPr="008D6596">
          <w:rPr>
            <w:rStyle w:val="Hyperlink"/>
            <w:bCs/>
            <w:noProof/>
          </w:rPr>
          <w:t>4.1</w:t>
        </w:r>
        <w:r w:rsidR="00A85535">
          <w:rPr>
            <w:rFonts w:asciiTheme="minorHAnsi" w:eastAsiaTheme="minorEastAsia" w:hAnsiTheme="minorHAnsi" w:cstheme="minorBidi"/>
            <w:noProof/>
            <w:color w:val="auto"/>
            <w:sz w:val="22"/>
            <w:lang w:eastAsia="zh-CN"/>
          </w:rPr>
          <w:tab/>
        </w:r>
        <w:r w:rsidR="00A85535" w:rsidRPr="008D6596">
          <w:rPr>
            <w:rStyle w:val="Hyperlink"/>
            <w:noProof/>
          </w:rPr>
          <w:t>Principles</w:t>
        </w:r>
        <w:r w:rsidR="00A85535">
          <w:rPr>
            <w:noProof/>
            <w:webHidden/>
          </w:rPr>
          <w:tab/>
        </w:r>
        <w:r w:rsidR="00A85535">
          <w:rPr>
            <w:noProof/>
            <w:webHidden/>
          </w:rPr>
          <w:fldChar w:fldCharType="begin"/>
        </w:r>
        <w:r w:rsidR="00A85535">
          <w:rPr>
            <w:noProof/>
            <w:webHidden/>
          </w:rPr>
          <w:instrText xml:space="preserve"> PAGEREF _Toc84921490 \h </w:instrText>
        </w:r>
        <w:r w:rsidR="00A85535">
          <w:rPr>
            <w:noProof/>
            <w:webHidden/>
          </w:rPr>
        </w:r>
        <w:r w:rsidR="00A85535">
          <w:rPr>
            <w:noProof/>
            <w:webHidden/>
          </w:rPr>
          <w:fldChar w:fldCharType="separate"/>
        </w:r>
        <w:r w:rsidR="000C76AE">
          <w:rPr>
            <w:noProof/>
            <w:webHidden/>
          </w:rPr>
          <w:t>6</w:t>
        </w:r>
        <w:r w:rsidR="00A85535">
          <w:rPr>
            <w:noProof/>
            <w:webHidden/>
          </w:rPr>
          <w:fldChar w:fldCharType="end"/>
        </w:r>
      </w:hyperlink>
    </w:p>
    <w:p w14:paraId="258C1AE0" w14:textId="7117BF02"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1" w:history="1">
        <w:r w:rsidR="00A85535" w:rsidRPr="008D6596">
          <w:rPr>
            <w:rStyle w:val="Hyperlink"/>
            <w:bCs/>
            <w:noProof/>
          </w:rPr>
          <w:t>4.2</w:t>
        </w:r>
        <w:r w:rsidR="00A85535">
          <w:rPr>
            <w:rFonts w:asciiTheme="minorHAnsi" w:eastAsiaTheme="minorEastAsia" w:hAnsiTheme="minorHAnsi" w:cstheme="minorBidi"/>
            <w:noProof/>
            <w:color w:val="auto"/>
            <w:sz w:val="22"/>
            <w:lang w:eastAsia="zh-CN"/>
          </w:rPr>
          <w:tab/>
        </w:r>
        <w:r w:rsidR="00A85535" w:rsidRPr="008D6596">
          <w:rPr>
            <w:rStyle w:val="Hyperlink"/>
            <w:noProof/>
          </w:rPr>
          <w:t>Accuracy and Consistency</w:t>
        </w:r>
        <w:r w:rsidR="00A85535">
          <w:rPr>
            <w:noProof/>
            <w:webHidden/>
          </w:rPr>
          <w:tab/>
        </w:r>
        <w:r w:rsidR="00A85535">
          <w:rPr>
            <w:noProof/>
            <w:webHidden/>
          </w:rPr>
          <w:fldChar w:fldCharType="begin"/>
        </w:r>
        <w:r w:rsidR="00A85535">
          <w:rPr>
            <w:noProof/>
            <w:webHidden/>
          </w:rPr>
          <w:instrText xml:space="preserve"> PAGEREF _Toc84921491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14:paraId="0AEFBE33" w14:textId="5D4E5B00"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2" w:history="1">
        <w:r w:rsidR="00A85535" w:rsidRPr="008D6596">
          <w:rPr>
            <w:rStyle w:val="Hyperlink"/>
            <w:bCs/>
            <w:noProof/>
          </w:rPr>
          <w:t>4.3</w:t>
        </w:r>
        <w:r w:rsidR="00A85535">
          <w:rPr>
            <w:rFonts w:asciiTheme="minorHAnsi" w:eastAsiaTheme="minorEastAsia" w:hAnsiTheme="minorHAnsi" w:cstheme="minorBidi"/>
            <w:noProof/>
            <w:color w:val="auto"/>
            <w:sz w:val="22"/>
            <w:lang w:eastAsia="zh-CN"/>
          </w:rPr>
          <w:tab/>
        </w:r>
        <w:r w:rsidR="00A85535" w:rsidRPr="008D6596">
          <w:rPr>
            <w:rStyle w:val="Hyperlink"/>
            <w:noProof/>
          </w:rPr>
          <w:t>Adjustments to Marks</w:t>
        </w:r>
        <w:r w:rsidR="00A85535">
          <w:rPr>
            <w:noProof/>
            <w:webHidden/>
          </w:rPr>
          <w:tab/>
        </w:r>
        <w:r w:rsidR="00A85535">
          <w:rPr>
            <w:noProof/>
            <w:webHidden/>
          </w:rPr>
          <w:fldChar w:fldCharType="begin"/>
        </w:r>
        <w:r w:rsidR="00A85535">
          <w:rPr>
            <w:noProof/>
            <w:webHidden/>
          </w:rPr>
          <w:instrText xml:space="preserve"> PAGEREF _Toc84921492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14:paraId="2A604E32" w14:textId="23E107EE"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3" w:history="1">
        <w:r w:rsidR="00A85535" w:rsidRPr="008D6596">
          <w:rPr>
            <w:rStyle w:val="Hyperlink"/>
            <w:bCs/>
            <w:noProof/>
          </w:rPr>
          <w:t>4.4</w:t>
        </w:r>
        <w:r w:rsidR="00A85535">
          <w:rPr>
            <w:rFonts w:asciiTheme="minorHAnsi" w:eastAsiaTheme="minorEastAsia" w:hAnsiTheme="minorHAnsi" w:cstheme="minorBidi"/>
            <w:noProof/>
            <w:color w:val="auto"/>
            <w:sz w:val="22"/>
            <w:lang w:eastAsia="zh-CN"/>
          </w:rPr>
          <w:tab/>
        </w:r>
        <w:r w:rsidR="00A85535" w:rsidRPr="008D6596">
          <w:rPr>
            <w:rStyle w:val="Hyperlink"/>
            <w:noProof/>
          </w:rPr>
          <w:t>Disagreement of Mark to be Awarded</w:t>
        </w:r>
        <w:r w:rsidR="00A85535">
          <w:rPr>
            <w:noProof/>
            <w:webHidden/>
          </w:rPr>
          <w:tab/>
        </w:r>
        <w:r w:rsidR="00A85535">
          <w:rPr>
            <w:noProof/>
            <w:webHidden/>
          </w:rPr>
          <w:fldChar w:fldCharType="begin"/>
        </w:r>
        <w:r w:rsidR="00A85535">
          <w:rPr>
            <w:noProof/>
            <w:webHidden/>
          </w:rPr>
          <w:instrText xml:space="preserve"> PAGEREF _Toc84921493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14:paraId="4BA49953" w14:textId="361001E5"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4" w:history="1">
        <w:r w:rsidR="00A85535" w:rsidRPr="008D6596">
          <w:rPr>
            <w:rStyle w:val="Hyperlink"/>
            <w:bCs/>
            <w:noProof/>
          </w:rPr>
          <w:t>4.5</w:t>
        </w:r>
        <w:r w:rsidR="00A85535">
          <w:rPr>
            <w:rFonts w:asciiTheme="minorHAnsi" w:eastAsiaTheme="minorEastAsia" w:hAnsiTheme="minorHAnsi" w:cstheme="minorBidi"/>
            <w:noProof/>
            <w:color w:val="auto"/>
            <w:sz w:val="22"/>
            <w:lang w:eastAsia="zh-CN"/>
          </w:rPr>
          <w:tab/>
        </w:r>
        <w:r w:rsidR="00A85535" w:rsidRPr="008D6596">
          <w:rPr>
            <w:rStyle w:val="Hyperlink"/>
            <w:noProof/>
          </w:rPr>
          <w:t>External Examiner’s Right to See All Work</w:t>
        </w:r>
        <w:r w:rsidR="00A85535">
          <w:rPr>
            <w:noProof/>
            <w:webHidden/>
          </w:rPr>
          <w:tab/>
        </w:r>
        <w:r w:rsidR="00A85535">
          <w:rPr>
            <w:noProof/>
            <w:webHidden/>
          </w:rPr>
          <w:fldChar w:fldCharType="begin"/>
        </w:r>
        <w:r w:rsidR="00A85535">
          <w:rPr>
            <w:noProof/>
            <w:webHidden/>
          </w:rPr>
          <w:instrText xml:space="preserve"> PAGEREF _Toc84921494 \h </w:instrText>
        </w:r>
        <w:r w:rsidR="00A85535">
          <w:rPr>
            <w:noProof/>
            <w:webHidden/>
          </w:rPr>
        </w:r>
        <w:r w:rsidR="00A85535">
          <w:rPr>
            <w:noProof/>
            <w:webHidden/>
          </w:rPr>
          <w:fldChar w:fldCharType="separate"/>
        </w:r>
        <w:r w:rsidR="000C76AE">
          <w:rPr>
            <w:noProof/>
            <w:webHidden/>
          </w:rPr>
          <w:t>7</w:t>
        </w:r>
        <w:r w:rsidR="00A85535">
          <w:rPr>
            <w:noProof/>
            <w:webHidden/>
          </w:rPr>
          <w:fldChar w:fldCharType="end"/>
        </w:r>
      </w:hyperlink>
    </w:p>
    <w:p w14:paraId="049AD1BC" w14:textId="368C8C2E"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5" w:history="1">
        <w:r w:rsidR="00A85535" w:rsidRPr="008D6596">
          <w:rPr>
            <w:rStyle w:val="Hyperlink"/>
            <w:bCs/>
            <w:noProof/>
          </w:rPr>
          <w:t>4.6</w:t>
        </w:r>
        <w:r w:rsidR="00A85535">
          <w:rPr>
            <w:rFonts w:asciiTheme="minorHAnsi" w:eastAsiaTheme="minorEastAsia" w:hAnsiTheme="minorHAnsi" w:cstheme="minorBidi"/>
            <w:noProof/>
            <w:color w:val="auto"/>
            <w:sz w:val="22"/>
            <w:lang w:eastAsia="zh-CN"/>
          </w:rPr>
          <w:tab/>
        </w:r>
        <w:r w:rsidR="00A85535" w:rsidRPr="008D6596">
          <w:rPr>
            <w:rStyle w:val="Hyperlink"/>
            <w:noProof/>
          </w:rPr>
          <w:t>Selection of Work to be Seen</w:t>
        </w:r>
        <w:r w:rsidR="00A85535">
          <w:rPr>
            <w:noProof/>
            <w:webHidden/>
          </w:rPr>
          <w:tab/>
        </w:r>
        <w:r w:rsidR="00A85535">
          <w:rPr>
            <w:noProof/>
            <w:webHidden/>
          </w:rPr>
          <w:fldChar w:fldCharType="begin"/>
        </w:r>
        <w:r w:rsidR="00A85535">
          <w:rPr>
            <w:noProof/>
            <w:webHidden/>
          </w:rPr>
          <w:instrText xml:space="preserve"> PAGEREF _Toc84921495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14:paraId="426CBED6" w14:textId="48615C35"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6" w:history="1">
        <w:r w:rsidR="00A85535" w:rsidRPr="008D6596">
          <w:rPr>
            <w:rStyle w:val="Hyperlink"/>
            <w:bCs/>
            <w:noProof/>
          </w:rPr>
          <w:t>4.7</w:t>
        </w:r>
        <w:r w:rsidR="00A85535">
          <w:rPr>
            <w:rFonts w:asciiTheme="minorHAnsi" w:eastAsiaTheme="minorEastAsia" w:hAnsiTheme="minorHAnsi" w:cstheme="minorBidi"/>
            <w:noProof/>
            <w:color w:val="auto"/>
            <w:sz w:val="22"/>
            <w:lang w:eastAsia="zh-CN"/>
          </w:rPr>
          <w:tab/>
        </w:r>
        <w:r w:rsidR="00A85535" w:rsidRPr="008D6596">
          <w:rPr>
            <w:rStyle w:val="Hyperlink"/>
            <w:noProof/>
          </w:rPr>
          <w:t>Marks for Individual Modules – Percentages</w:t>
        </w:r>
        <w:r w:rsidR="00A85535">
          <w:rPr>
            <w:noProof/>
            <w:webHidden/>
          </w:rPr>
          <w:tab/>
        </w:r>
        <w:r w:rsidR="00A85535">
          <w:rPr>
            <w:noProof/>
            <w:webHidden/>
          </w:rPr>
          <w:fldChar w:fldCharType="begin"/>
        </w:r>
        <w:r w:rsidR="00A85535">
          <w:rPr>
            <w:noProof/>
            <w:webHidden/>
          </w:rPr>
          <w:instrText xml:space="preserve"> PAGEREF _Toc84921496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14:paraId="60E1F1A8" w14:textId="288A3383"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7" w:history="1">
        <w:r w:rsidR="00A85535" w:rsidRPr="008D6596">
          <w:rPr>
            <w:rStyle w:val="Hyperlink"/>
            <w:bCs/>
            <w:noProof/>
          </w:rPr>
          <w:t>4.8</w:t>
        </w:r>
        <w:r w:rsidR="00A85535">
          <w:rPr>
            <w:rFonts w:asciiTheme="minorHAnsi" w:eastAsiaTheme="minorEastAsia" w:hAnsiTheme="minorHAnsi" w:cstheme="minorBidi"/>
            <w:noProof/>
            <w:color w:val="auto"/>
            <w:sz w:val="22"/>
            <w:lang w:eastAsia="zh-CN"/>
          </w:rPr>
          <w:tab/>
        </w:r>
        <w:r w:rsidR="00A85535" w:rsidRPr="008D6596">
          <w:rPr>
            <w:rStyle w:val="Hyperlink"/>
            <w:noProof/>
          </w:rPr>
          <w:t>Marks for Individual Modules – Pass/Merit/Distinction</w:t>
        </w:r>
        <w:r w:rsidR="00A85535">
          <w:rPr>
            <w:noProof/>
            <w:webHidden/>
          </w:rPr>
          <w:tab/>
        </w:r>
        <w:r w:rsidR="00A85535">
          <w:rPr>
            <w:noProof/>
            <w:webHidden/>
          </w:rPr>
          <w:fldChar w:fldCharType="begin"/>
        </w:r>
        <w:r w:rsidR="00A85535">
          <w:rPr>
            <w:noProof/>
            <w:webHidden/>
          </w:rPr>
          <w:instrText xml:space="preserve"> PAGEREF _Toc84921497 \h </w:instrText>
        </w:r>
        <w:r w:rsidR="00A85535">
          <w:rPr>
            <w:noProof/>
            <w:webHidden/>
          </w:rPr>
        </w:r>
        <w:r w:rsidR="00A85535">
          <w:rPr>
            <w:noProof/>
            <w:webHidden/>
          </w:rPr>
          <w:fldChar w:fldCharType="separate"/>
        </w:r>
        <w:r w:rsidR="000C76AE">
          <w:rPr>
            <w:noProof/>
            <w:webHidden/>
          </w:rPr>
          <w:t>8</w:t>
        </w:r>
        <w:r w:rsidR="00A85535">
          <w:rPr>
            <w:noProof/>
            <w:webHidden/>
          </w:rPr>
          <w:fldChar w:fldCharType="end"/>
        </w:r>
      </w:hyperlink>
    </w:p>
    <w:p w14:paraId="570092AC" w14:textId="51AE99C2"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8" w:history="1">
        <w:r w:rsidR="00A85535" w:rsidRPr="008D6596">
          <w:rPr>
            <w:rStyle w:val="Hyperlink"/>
            <w:noProof/>
          </w:rPr>
          <w:t>4.9</w:t>
        </w:r>
        <w:r w:rsidR="00A85535">
          <w:rPr>
            <w:rFonts w:asciiTheme="minorHAnsi" w:eastAsiaTheme="minorEastAsia" w:hAnsiTheme="minorHAnsi" w:cstheme="minorBidi"/>
            <w:noProof/>
            <w:color w:val="auto"/>
            <w:sz w:val="22"/>
            <w:lang w:eastAsia="zh-CN"/>
          </w:rPr>
          <w:tab/>
        </w:r>
        <w:r w:rsidR="00A85535" w:rsidRPr="008D6596">
          <w:rPr>
            <w:rStyle w:val="Hyperlink"/>
            <w:noProof/>
          </w:rPr>
          <w:t>Special Conventions</w:t>
        </w:r>
        <w:r w:rsidR="00A85535">
          <w:rPr>
            <w:noProof/>
            <w:webHidden/>
          </w:rPr>
          <w:tab/>
        </w:r>
        <w:r w:rsidR="00A85535">
          <w:rPr>
            <w:noProof/>
            <w:webHidden/>
          </w:rPr>
          <w:fldChar w:fldCharType="begin"/>
        </w:r>
        <w:r w:rsidR="00A85535">
          <w:rPr>
            <w:noProof/>
            <w:webHidden/>
          </w:rPr>
          <w:instrText xml:space="preserve"> PAGEREF _Toc84921498 \h </w:instrText>
        </w:r>
        <w:r w:rsidR="00A85535">
          <w:rPr>
            <w:noProof/>
            <w:webHidden/>
          </w:rPr>
        </w:r>
        <w:r w:rsidR="00A85535">
          <w:rPr>
            <w:noProof/>
            <w:webHidden/>
          </w:rPr>
          <w:fldChar w:fldCharType="separate"/>
        </w:r>
        <w:r w:rsidR="000C76AE">
          <w:rPr>
            <w:noProof/>
            <w:webHidden/>
          </w:rPr>
          <w:t>9</w:t>
        </w:r>
        <w:r w:rsidR="00A85535">
          <w:rPr>
            <w:noProof/>
            <w:webHidden/>
          </w:rPr>
          <w:fldChar w:fldCharType="end"/>
        </w:r>
      </w:hyperlink>
    </w:p>
    <w:p w14:paraId="4C07A5C1" w14:textId="0BB606F1"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499" w:history="1">
        <w:r w:rsidR="00A85535" w:rsidRPr="008D6596">
          <w:rPr>
            <w:rStyle w:val="Hyperlink"/>
            <w:noProof/>
          </w:rPr>
          <w:t>4.10</w:t>
        </w:r>
        <w:r w:rsidR="00A85535">
          <w:rPr>
            <w:rFonts w:asciiTheme="minorHAnsi" w:eastAsiaTheme="minorEastAsia" w:hAnsiTheme="minorHAnsi" w:cstheme="minorBidi"/>
            <w:noProof/>
            <w:color w:val="auto"/>
            <w:sz w:val="22"/>
            <w:lang w:eastAsia="zh-CN"/>
          </w:rPr>
          <w:tab/>
        </w:r>
        <w:r w:rsidR="00A85535" w:rsidRPr="008D6596">
          <w:rPr>
            <w:rStyle w:val="Hyperlink"/>
            <w:noProof/>
          </w:rPr>
          <w:t>Pass Mark for Level 7 Taught Modules</w:t>
        </w:r>
        <w:r w:rsidR="00A85535">
          <w:rPr>
            <w:noProof/>
            <w:webHidden/>
          </w:rPr>
          <w:tab/>
        </w:r>
        <w:r w:rsidR="00A85535">
          <w:rPr>
            <w:noProof/>
            <w:webHidden/>
          </w:rPr>
          <w:fldChar w:fldCharType="begin"/>
        </w:r>
        <w:r w:rsidR="00A85535">
          <w:rPr>
            <w:noProof/>
            <w:webHidden/>
          </w:rPr>
          <w:instrText xml:space="preserve"> PAGEREF _Toc84921499 \h </w:instrText>
        </w:r>
        <w:r w:rsidR="00A85535">
          <w:rPr>
            <w:noProof/>
            <w:webHidden/>
          </w:rPr>
        </w:r>
        <w:r w:rsidR="00A85535">
          <w:rPr>
            <w:noProof/>
            <w:webHidden/>
          </w:rPr>
          <w:fldChar w:fldCharType="separate"/>
        </w:r>
        <w:r w:rsidR="000C76AE">
          <w:rPr>
            <w:noProof/>
            <w:webHidden/>
          </w:rPr>
          <w:t>9</w:t>
        </w:r>
        <w:r w:rsidR="00A85535">
          <w:rPr>
            <w:noProof/>
            <w:webHidden/>
          </w:rPr>
          <w:fldChar w:fldCharType="end"/>
        </w:r>
      </w:hyperlink>
    </w:p>
    <w:p w14:paraId="5C6EABB6" w14:textId="55B8F948"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500" w:history="1">
        <w:r w:rsidR="00A85535" w:rsidRPr="008D6596">
          <w:rPr>
            <w:rStyle w:val="Hyperlink"/>
            <w:noProof/>
          </w:rPr>
          <w:t>4.11</w:t>
        </w:r>
        <w:r w:rsidR="00A85535">
          <w:rPr>
            <w:rFonts w:asciiTheme="minorHAnsi" w:eastAsiaTheme="minorEastAsia" w:hAnsiTheme="minorHAnsi" w:cstheme="minorBidi"/>
            <w:noProof/>
            <w:color w:val="auto"/>
            <w:sz w:val="22"/>
            <w:lang w:eastAsia="zh-CN"/>
          </w:rPr>
          <w:tab/>
        </w:r>
        <w:r w:rsidR="00A85535" w:rsidRPr="008D6596">
          <w:rPr>
            <w:rStyle w:val="Hyperlink"/>
            <w:noProof/>
          </w:rPr>
          <w:t>Rounding and Display of Marks</w:t>
        </w:r>
        <w:r w:rsidR="00A85535">
          <w:rPr>
            <w:noProof/>
            <w:webHidden/>
          </w:rPr>
          <w:tab/>
        </w:r>
        <w:r w:rsidR="00A85535">
          <w:rPr>
            <w:noProof/>
            <w:webHidden/>
          </w:rPr>
          <w:fldChar w:fldCharType="begin"/>
        </w:r>
        <w:r w:rsidR="00A85535">
          <w:rPr>
            <w:noProof/>
            <w:webHidden/>
          </w:rPr>
          <w:instrText xml:space="preserve"> PAGEREF _Toc84921500 \h </w:instrText>
        </w:r>
        <w:r w:rsidR="00A85535">
          <w:rPr>
            <w:noProof/>
            <w:webHidden/>
          </w:rPr>
        </w:r>
        <w:r w:rsidR="00A85535">
          <w:rPr>
            <w:noProof/>
            <w:webHidden/>
          </w:rPr>
          <w:fldChar w:fldCharType="separate"/>
        </w:r>
        <w:r w:rsidR="000C76AE">
          <w:rPr>
            <w:noProof/>
            <w:webHidden/>
          </w:rPr>
          <w:t>10</w:t>
        </w:r>
        <w:r w:rsidR="00A85535">
          <w:rPr>
            <w:noProof/>
            <w:webHidden/>
          </w:rPr>
          <w:fldChar w:fldCharType="end"/>
        </w:r>
      </w:hyperlink>
    </w:p>
    <w:p w14:paraId="1CBE53B7" w14:textId="0FAB61FC"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501" w:history="1">
        <w:r w:rsidR="00A85535" w:rsidRPr="008D6596">
          <w:rPr>
            <w:rStyle w:val="Hyperlink"/>
            <w:noProof/>
          </w:rPr>
          <w:t>4.12</w:t>
        </w:r>
        <w:r w:rsidR="00A85535">
          <w:rPr>
            <w:rFonts w:asciiTheme="minorHAnsi" w:eastAsiaTheme="minorEastAsia" w:hAnsiTheme="minorHAnsi" w:cstheme="minorBidi"/>
            <w:noProof/>
            <w:color w:val="auto"/>
            <w:sz w:val="22"/>
            <w:lang w:eastAsia="zh-CN"/>
          </w:rPr>
          <w:tab/>
        </w:r>
        <w:r w:rsidR="00A85535" w:rsidRPr="008D6596">
          <w:rPr>
            <w:rStyle w:val="Hyperlink"/>
            <w:noProof/>
          </w:rPr>
          <w:t>Unfinished Examination Scripts</w:t>
        </w:r>
        <w:r w:rsidR="00A85535">
          <w:rPr>
            <w:noProof/>
            <w:webHidden/>
          </w:rPr>
          <w:tab/>
        </w:r>
        <w:r w:rsidR="00A85535">
          <w:rPr>
            <w:noProof/>
            <w:webHidden/>
          </w:rPr>
          <w:fldChar w:fldCharType="begin"/>
        </w:r>
        <w:r w:rsidR="00A85535">
          <w:rPr>
            <w:noProof/>
            <w:webHidden/>
          </w:rPr>
          <w:instrText xml:space="preserve"> PAGEREF _Toc84921501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14:paraId="4C9E4ADA" w14:textId="250048DD"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502" w:history="1">
        <w:r w:rsidR="00A85535" w:rsidRPr="008D6596">
          <w:rPr>
            <w:rStyle w:val="Hyperlink"/>
            <w:noProof/>
          </w:rPr>
          <w:t>4.13</w:t>
        </w:r>
        <w:r w:rsidR="00A85535">
          <w:rPr>
            <w:rFonts w:asciiTheme="minorHAnsi" w:eastAsiaTheme="minorEastAsia" w:hAnsiTheme="minorHAnsi" w:cstheme="minorBidi"/>
            <w:noProof/>
            <w:color w:val="auto"/>
            <w:sz w:val="22"/>
            <w:lang w:eastAsia="zh-CN"/>
          </w:rPr>
          <w:tab/>
        </w:r>
        <w:r w:rsidR="00A85535" w:rsidRPr="008D6596">
          <w:rPr>
            <w:rStyle w:val="Hyperlink"/>
            <w:noProof/>
          </w:rPr>
          <w:t>Failure to Sit an Examination</w:t>
        </w:r>
        <w:r w:rsidR="00A85535">
          <w:rPr>
            <w:noProof/>
            <w:webHidden/>
          </w:rPr>
          <w:tab/>
        </w:r>
        <w:r w:rsidR="00A85535">
          <w:rPr>
            <w:noProof/>
            <w:webHidden/>
          </w:rPr>
          <w:fldChar w:fldCharType="begin"/>
        </w:r>
        <w:r w:rsidR="00A85535">
          <w:rPr>
            <w:noProof/>
            <w:webHidden/>
          </w:rPr>
          <w:instrText xml:space="preserve"> PAGEREF _Toc84921502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14:paraId="6FAA6FF3" w14:textId="2A068E5D" w:rsidR="00A85535" w:rsidRDefault="008D57B6" w:rsidP="00A85535">
      <w:pPr>
        <w:pStyle w:val="TOC2"/>
        <w:tabs>
          <w:tab w:val="right" w:leader="dot" w:pos="9016"/>
        </w:tabs>
        <w:ind w:left="709" w:hanging="709"/>
        <w:rPr>
          <w:rFonts w:asciiTheme="minorHAnsi" w:eastAsiaTheme="minorEastAsia" w:hAnsiTheme="minorHAnsi" w:cstheme="minorBidi"/>
          <w:noProof/>
          <w:color w:val="auto"/>
          <w:sz w:val="22"/>
          <w:lang w:eastAsia="zh-CN"/>
        </w:rPr>
      </w:pPr>
      <w:hyperlink w:anchor="_Toc84921503" w:history="1">
        <w:r w:rsidR="00A85535" w:rsidRPr="008D6596">
          <w:rPr>
            <w:rStyle w:val="Hyperlink"/>
            <w:noProof/>
          </w:rPr>
          <w:t>4.14</w:t>
        </w:r>
        <w:r w:rsidR="00A85535">
          <w:rPr>
            <w:rFonts w:asciiTheme="minorHAnsi" w:eastAsiaTheme="minorEastAsia" w:hAnsiTheme="minorHAnsi" w:cstheme="minorBidi"/>
            <w:noProof/>
            <w:color w:val="auto"/>
            <w:sz w:val="22"/>
            <w:lang w:eastAsia="zh-CN"/>
          </w:rPr>
          <w:tab/>
        </w:r>
        <w:r w:rsidR="00A85535" w:rsidRPr="008D6596">
          <w:rPr>
            <w:rStyle w:val="Hyperlink"/>
            <w:noProof/>
          </w:rPr>
          <w:t>Late Submission or Failure to Submit Work for Assessment</w:t>
        </w:r>
        <w:r w:rsidR="00A85535">
          <w:rPr>
            <w:noProof/>
            <w:webHidden/>
          </w:rPr>
          <w:tab/>
        </w:r>
        <w:r w:rsidR="00A85535">
          <w:rPr>
            <w:noProof/>
            <w:webHidden/>
          </w:rPr>
          <w:fldChar w:fldCharType="begin"/>
        </w:r>
        <w:r w:rsidR="00A85535">
          <w:rPr>
            <w:noProof/>
            <w:webHidden/>
          </w:rPr>
          <w:instrText xml:space="preserve"> PAGEREF _Toc84921503 \h </w:instrText>
        </w:r>
        <w:r w:rsidR="00A85535">
          <w:rPr>
            <w:noProof/>
            <w:webHidden/>
          </w:rPr>
        </w:r>
        <w:r w:rsidR="00A85535">
          <w:rPr>
            <w:noProof/>
            <w:webHidden/>
          </w:rPr>
          <w:fldChar w:fldCharType="separate"/>
        </w:r>
        <w:r w:rsidR="000C76AE">
          <w:rPr>
            <w:noProof/>
            <w:webHidden/>
          </w:rPr>
          <w:t>11</w:t>
        </w:r>
        <w:r w:rsidR="00A85535">
          <w:rPr>
            <w:noProof/>
            <w:webHidden/>
          </w:rPr>
          <w:fldChar w:fldCharType="end"/>
        </w:r>
      </w:hyperlink>
    </w:p>
    <w:p w14:paraId="7895A68C" w14:textId="66B14D8F"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504" w:history="1">
        <w:r w:rsidR="00A85535" w:rsidRPr="008D6596">
          <w:rPr>
            <w:rStyle w:val="Hyperlink"/>
            <w:noProof/>
          </w:rPr>
          <w:t>5</w:t>
        </w:r>
        <w:r w:rsidR="00A85535">
          <w:rPr>
            <w:rFonts w:asciiTheme="minorHAnsi" w:eastAsiaTheme="minorEastAsia" w:hAnsiTheme="minorHAnsi" w:cstheme="minorBidi"/>
            <w:noProof/>
            <w:color w:val="auto"/>
            <w:sz w:val="22"/>
            <w:lang w:eastAsia="zh-CN"/>
          </w:rPr>
          <w:tab/>
        </w:r>
        <w:r w:rsidR="00A85535" w:rsidRPr="008D6596">
          <w:rPr>
            <w:rStyle w:val="Hyperlink"/>
            <w:noProof/>
          </w:rPr>
          <w:t>Mitigating Circumstances</w:t>
        </w:r>
        <w:r w:rsidR="00A85535">
          <w:rPr>
            <w:noProof/>
            <w:webHidden/>
          </w:rPr>
          <w:tab/>
        </w:r>
        <w:r w:rsidR="00A85535">
          <w:rPr>
            <w:noProof/>
            <w:webHidden/>
          </w:rPr>
          <w:fldChar w:fldCharType="begin"/>
        </w:r>
        <w:r w:rsidR="00A85535">
          <w:rPr>
            <w:noProof/>
            <w:webHidden/>
          </w:rPr>
          <w:instrText xml:space="preserve"> PAGEREF _Toc84921504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14:paraId="20235102" w14:textId="039DDE26"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505" w:history="1">
        <w:r w:rsidR="00A85535" w:rsidRPr="008D6596">
          <w:rPr>
            <w:rStyle w:val="Hyperlink"/>
            <w:noProof/>
          </w:rPr>
          <w:t>6</w:t>
        </w:r>
        <w:r w:rsidR="00A85535">
          <w:rPr>
            <w:rFonts w:asciiTheme="minorHAnsi" w:eastAsiaTheme="minorEastAsia" w:hAnsiTheme="minorHAnsi" w:cstheme="minorBidi"/>
            <w:noProof/>
            <w:color w:val="auto"/>
            <w:sz w:val="22"/>
            <w:lang w:eastAsia="zh-CN"/>
          </w:rPr>
          <w:tab/>
        </w:r>
        <w:r w:rsidR="00A85535" w:rsidRPr="008D6596">
          <w:rPr>
            <w:rStyle w:val="Hyperlink"/>
            <w:noProof/>
          </w:rPr>
          <w:t>Marking Late Submissions</w:t>
        </w:r>
        <w:r w:rsidR="00A85535">
          <w:rPr>
            <w:noProof/>
            <w:webHidden/>
          </w:rPr>
          <w:tab/>
        </w:r>
        <w:r w:rsidR="00A85535">
          <w:rPr>
            <w:noProof/>
            <w:webHidden/>
          </w:rPr>
          <w:fldChar w:fldCharType="begin"/>
        </w:r>
        <w:r w:rsidR="00A85535">
          <w:rPr>
            <w:noProof/>
            <w:webHidden/>
          </w:rPr>
          <w:instrText xml:space="preserve"> PAGEREF _Toc84921505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14:paraId="05E76EDB" w14:textId="76C97670"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506" w:history="1">
        <w:r w:rsidR="00A85535" w:rsidRPr="008D6596">
          <w:rPr>
            <w:rStyle w:val="Hyperlink"/>
            <w:noProof/>
          </w:rPr>
          <w:t>7</w:t>
        </w:r>
        <w:r w:rsidR="00A85535">
          <w:rPr>
            <w:rFonts w:asciiTheme="minorHAnsi" w:eastAsiaTheme="minorEastAsia" w:hAnsiTheme="minorHAnsi" w:cstheme="minorBidi"/>
            <w:noProof/>
            <w:color w:val="auto"/>
            <w:sz w:val="22"/>
            <w:lang w:eastAsia="zh-CN"/>
          </w:rPr>
          <w:tab/>
        </w:r>
        <w:r w:rsidR="00A85535" w:rsidRPr="008D6596">
          <w:rPr>
            <w:rStyle w:val="Hyperlink"/>
            <w:noProof/>
          </w:rPr>
          <w:t>Return of Coursework</w:t>
        </w:r>
        <w:r w:rsidR="00A85535">
          <w:rPr>
            <w:noProof/>
            <w:webHidden/>
          </w:rPr>
          <w:tab/>
        </w:r>
        <w:r w:rsidR="00A85535">
          <w:rPr>
            <w:noProof/>
            <w:webHidden/>
          </w:rPr>
          <w:fldChar w:fldCharType="begin"/>
        </w:r>
        <w:r w:rsidR="00A85535">
          <w:rPr>
            <w:noProof/>
            <w:webHidden/>
          </w:rPr>
          <w:instrText xml:space="preserve"> PAGEREF _Toc84921506 \h </w:instrText>
        </w:r>
        <w:r w:rsidR="00A85535">
          <w:rPr>
            <w:noProof/>
            <w:webHidden/>
          </w:rPr>
        </w:r>
        <w:r w:rsidR="00A85535">
          <w:rPr>
            <w:noProof/>
            <w:webHidden/>
          </w:rPr>
          <w:fldChar w:fldCharType="separate"/>
        </w:r>
        <w:r w:rsidR="000C76AE">
          <w:rPr>
            <w:noProof/>
            <w:webHidden/>
          </w:rPr>
          <w:t>12</w:t>
        </w:r>
        <w:r w:rsidR="00A85535">
          <w:rPr>
            <w:noProof/>
            <w:webHidden/>
          </w:rPr>
          <w:fldChar w:fldCharType="end"/>
        </w:r>
      </w:hyperlink>
    </w:p>
    <w:p w14:paraId="1A9472B8" w14:textId="064ED749"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507" w:history="1">
        <w:r w:rsidR="00A85535" w:rsidRPr="008D6596">
          <w:rPr>
            <w:rStyle w:val="Hyperlink"/>
            <w:noProof/>
          </w:rPr>
          <w:t>8</w:t>
        </w:r>
        <w:r w:rsidR="00A85535">
          <w:rPr>
            <w:rFonts w:asciiTheme="minorHAnsi" w:eastAsiaTheme="minorEastAsia" w:hAnsiTheme="minorHAnsi" w:cstheme="minorBidi"/>
            <w:noProof/>
            <w:color w:val="auto"/>
            <w:sz w:val="22"/>
            <w:lang w:eastAsia="zh-CN"/>
          </w:rPr>
          <w:tab/>
        </w:r>
        <w:r w:rsidR="00A85535" w:rsidRPr="008D6596">
          <w:rPr>
            <w:rStyle w:val="Hyperlink"/>
            <w:noProof/>
          </w:rPr>
          <w:t>Variation to Deadline of Return of Marked Work</w:t>
        </w:r>
        <w:r w:rsidR="00A85535">
          <w:rPr>
            <w:noProof/>
            <w:webHidden/>
          </w:rPr>
          <w:tab/>
        </w:r>
        <w:r w:rsidR="00A85535">
          <w:rPr>
            <w:noProof/>
            <w:webHidden/>
          </w:rPr>
          <w:fldChar w:fldCharType="begin"/>
        </w:r>
        <w:r w:rsidR="00A85535">
          <w:rPr>
            <w:noProof/>
            <w:webHidden/>
          </w:rPr>
          <w:instrText xml:space="preserve"> PAGEREF _Toc84921507 \h </w:instrText>
        </w:r>
        <w:r w:rsidR="00A85535">
          <w:rPr>
            <w:noProof/>
            <w:webHidden/>
          </w:rPr>
        </w:r>
        <w:r w:rsidR="00A85535">
          <w:rPr>
            <w:noProof/>
            <w:webHidden/>
          </w:rPr>
          <w:fldChar w:fldCharType="separate"/>
        </w:r>
        <w:r w:rsidR="000C76AE">
          <w:rPr>
            <w:noProof/>
            <w:webHidden/>
          </w:rPr>
          <w:t>13</w:t>
        </w:r>
        <w:r w:rsidR="00A85535">
          <w:rPr>
            <w:noProof/>
            <w:webHidden/>
          </w:rPr>
          <w:fldChar w:fldCharType="end"/>
        </w:r>
      </w:hyperlink>
    </w:p>
    <w:p w14:paraId="4C01C84C" w14:textId="0D05DCB9" w:rsidR="00A85535" w:rsidRDefault="008D57B6" w:rsidP="00A85535">
      <w:pPr>
        <w:pStyle w:val="TOC1"/>
        <w:tabs>
          <w:tab w:val="right" w:leader="dot" w:pos="9016"/>
        </w:tabs>
        <w:ind w:left="709" w:hanging="709"/>
        <w:rPr>
          <w:rFonts w:asciiTheme="minorHAnsi" w:eastAsiaTheme="minorEastAsia" w:hAnsiTheme="minorHAnsi" w:cstheme="minorBidi"/>
          <w:noProof/>
          <w:color w:val="auto"/>
          <w:sz w:val="22"/>
          <w:lang w:eastAsia="zh-CN"/>
        </w:rPr>
      </w:pPr>
      <w:hyperlink w:anchor="_Toc84921508" w:history="1">
        <w:r w:rsidR="00A85535" w:rsidRPr="008D6596">
          <w:rPr>
            <w:rStyle w:val="Hyperlink"/>
            <w:noProof/>
          </w:rPr>
          <w:t>9</w:t>
        </w:r>
        <w:r w:rsidR="00A85535">
          <w:rPr>
            <w:rFonts w:asciiTheme="minorHAnsi" w:eastAsiaTheme="minorEastAsia" w:hAnsiTheme="minorHAnsi" w:cstheme="minorBidi"/>
            <w:noProof/>
            <w:color w:val="auto"/>
            <w:sz w:val="22"/>
            <w:lang w:eastAsia="zh-CN"/>
          </w:rPr>
          <w:tab/>
        </w:r>
        <w:r w:rsidR="00A85535" w:rsidRPr="008D6596">
          <w:rPr>
            <w:rStyle w:val="Hyperlink"/>
            <w:noProof/>
          </w:rPr>
          <w:t>Examination Feedback Policy</w:t>
        </w:r>
        <w:r w:rsidR="00A85535">
          <w:rPr>
            <w:noProof/>
            <w:webHidden/>
          </w:rPr>
          <w:tab/>
        </w:r>
        <w:r w:rsidR="00A85535">
          <w:rPr>
            <w:noProof/>
            <w:webHidden/>
          </w:rPr>
          <w:fldChar w:fldCharType="begin"/>
        </w:r>
        <w:r w:rsidR="00A85535">
          <w:rPr>
            <w:noProof/>
            <w:webHidden/>
          </w:rPr>
          <w:instrText xml:space="preserve"> PAGEREF _Toc84921508 \h </w:instrText>
        </w:r>
        <w:r w:rsidR="00A85535">
          <w:rPr>
            <w:noProof/>
            <w:webHidden/>
          </w:rPr>
        </w:r>
        <w:r w:rsidR="00A85535">
          <w:rPr>
            <w:noProof/>
            <w:webHidden/>
          </w:rPr>
          <w:fldChar w:fldCharType="separate"/>
        </w:r>
        <w:r w:rsidR="000C76AE">
          <w:rPr>
            <w:noProof/>
            <w:webHidden/>
          </w:rPr>
          <w:t>13</w:t>
        </w:r>
        <w:r w:rsidR="00A85535">
          <w:rPr>
            <w:noProof/>
            <w:webHidden/>
          </w:rPr>
          <w:fldChar w:fldCharType="end"/>
        </w:r>
      </w:hyperlink>
    </w:p>
    <w:p w14:paraId="08FDED77" w14:textId="7B6DE213" w:rsidR="00AE465E" w:rsidRDefault="00E9753A" w:rsidP="00A85535">
      <w:pPr>
        <w:ind w:left="709" w:hanging="709"/>
      </w:pPr>
      <w:r>
        <w:fldChar w:fldCharType="end"/>
      </w:r>
    </w:p>
    <w:p w14:paraId="108BA90D" w14:textId="77777777" w:rsidR="00AE465E" w:rsidRDefault="00AE465E" w:rsidP="00AE465E"/>
    <w:p w14:paraId="58E121C0" w14:textId="77777777" w:rsidR="00AE465E" w:rsidRDefault="00AE465E">
      <w:pPr>
        <w:spacing w:after="160" w:line="259" w:lineRule="auto"/>
        <w:ind w:left="0" w:firstLine="0"/>
      </w:pPr>
      <w:r>
        <w:br w:type="page"/>
      </w:r>
    </w:p>
    <w:p w14:paraId="1F5FFC8A" w14:textId="106EE22B" w:rsidR="004912B9" w:rsidRPr="00906E2A" w:rsidRDefault="004912B9" w:rsidP="004912B9">
      <w:pPr>
        <w:ind w:left="0" w:right="142" w:firstLine="0"/>
        <w:rPr>
          <w:szCs w:val="24"/>
        </w:rPr>
      </w:pPr>
      <w:r w:rsidRPr="004912B9">
        <w:rPr>
          <w:szCs w:val="24"/>
        </w:rPr>
        <w:lastRenderedPageBreak/>
        <w:t>Note:</w:t>
      </w:r>
      <w:r w:rsidRPr="00906E2A">
        <w:rPr>
          <w:szCs w:val="24"/>
        </w:rPr>
        <w:t xml:space="preserve"> Where the text states ‘School’ this should be understood to refer to ‘School’ or ’Department’ at the sub-divisional level, as appropriate.</w:t>
      </w:r>
    </w:p>
    <w:p w14:paraId="4068018A" w14:textId="4D720E3A" w:rsidR="004912B9" w:rsidRDefault="004912B9" w:rsidP="004912B9">
      <w:pPr>
        <w:pStyle w:val="BodyText3"/>
        <w:spacing w:after="120"/>
        <w:ind w:right="142"/>
        <w:jc w:val="both"/>
        <w:rPr>
          <w:rFonts w:ascii="Arial" w:hAnsi="Arial" w:cs="Arial"/>
          <w:b w:val="0"/>
          <w:sz w:val="24"/>
          <w:szCs w:val="24"/>
        </w:rPr>
      </w:pPr>
    </w:p>
    <w:p w14:paraId="2B98A988" w14:textId="516CB3FD" w:rsidR="004912B9" w:rsidRPr="00906E2A" w:rsidRDefault="004912B9" w:rsidP="00EF2D64">
      <w:pPr>
        <w:pStyle w:val="Heading1"/>
      </w:pPr>
      <w:bookmarkStart w:id="0" w:name="_Toc84921486"/>
      <w:r>
        <w:t>Anonymity</w:t>
      </w:r>
      <w:bookmarkEnd w:id="0"/>
    </w:p>
    <w:p w14:paraId="7D10F970" w14:textId="77777777" w:rsidR="008716F9" w:rsidRDefault="004912B9" w:rsidP="008716F9">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All examination scripts resulting from timed unseen examinations shall be anonymous for the purpose of marking. Candidates will be assigned random examination numbers in advance of the examinations and answer scripts will be identified by candidate number only.</w:t>
      </w:r>
    </w:p>
    <w:p w14:paraId="2A5BA408" w14:textId="344A9B4A" w:rsidR="008716F9" w:rsidRPr="008716F9" w:rsidRDefault="004912B9" w:rsidP="008716F9">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 xml:space="preserve">Candidates’ names and examination numbers shall be known to Boards of Examiners when considering medical and other concessionary evidence. The identities of candidates shall be withheld from examiners during any meeting convened for the purpose of making decisions on progression and/or classification (see </w:t>
      </w:r>
      <w:hyperlink r:id="rId11" w:anchor="annex-j" w:history="1">
        <w:r w:rsidRPr="008716F9">
          <w:rPr>
            <w:rStyle w:val="Hyperlink"/>
            <w:rFonts w:ascii="Arial" w:hAnsi="Arial" w:cs="Arial"/>
            <w:szCs w:val="24"/>
          </w:rPr>
          <w:t>Annex J</w:t>
        </w:r>
      </w:hyperlink>
      <w:r w:rsidRPr="008716F9">
        <w:rPr>
          <w:rFonts w:ascii="Arial" w:hAnsi="Arial" w:cs="Arial"/>
          <w:szCs w:val="24"/>
        </w:rPr>
        <w:t xml:space="preserve"> of the Code of Practice).</w:t>
      </w:r>
    </w:p>
    <w:p w14:paraId="14A16D6F" w14:textId="4FDB47BB" w:rsidR="004912B9" w:rsidRPr="008716F9" w:rsidRDefault="004912B9" w:rsidP="008716F9">
      <w:pPr>
        <w:pStyle w:val="ListParagraph"/>
        <w:numPr>
          <w:ilvl w:val="0"/>
          <w:numId w:val="17"/>
        </w:numPr>
        <w:spacing w:after="120" w:line="240" w:lineRule="auto"/>
        <w:ind w:left="567" w:right="142" w:hanging="567"/>
        <w:contextualSpacing w:val="0"/>
        <w:rPr>
          <w:rFonts w:ascii="Arial" w:hAnsi="Arial" w:cs="Arial"/>
          <w:szCs w:val="24"/>
        </w:rPr>
      </w:pPr>
      <w:r w:rsidRPr="008716F9">
        <w:rPr>
          <w:rFonts w:ascii="Arial" w:hAnsi="Arial" w:cs="Arial"/>
          <w:szCs w:val="24"/>
        </w:rPr>
        <w:t>Candidates’ names but not their examination numbers shall be known to the Examiners at oral examinations for Modern Languages degrees except that the External Examiner may be informed of both a candidate’s name and examination number.</w:t>
      </w:r>
    </w:p>
    <w:p w14:paraId="0FEFF5C6" w14:textId="20D98018" w:rsidR="004912B9" w:rsidRDefault="004912B9" w:rsidP="004912B9">
      <w:pPr>
        <w:ind w:right="142"/>
        <w:jc w:val="both"/>
        <w:rPr>
          <w:szCs w:val="24"/>
        </w:rPr>
      </w:pPr>
    </w:p>
    <w:p w14:paraId="5313C9DF" w14:textId="25B0D4CE" w:rsidR="004912B9" w:rsidRPr="00906E2A" w:rsidRDefault="004912B9" w:rsidP="00EF2D64">
      <w:pPr>
        <w:pStyle w:val="Heading1"/>
        <w:rPr>
          <w:rFonts w:cs="Arial"/>
        </w:rPr>
      </w:pPr>
      <w:bookmarkStart w:id="1" w:name="_Toc84921487"/>
      <w:r>
        <w:t>Assessment Marks</w:t>
      </w:r>
      <w:bookmarkEnd w:id="1"/>
      <w:r>
        <w:t xml:space="preserve"> </w:t>
      </w:r>
    </w:p>
    <w:p w14:paraId="33C3333D" w14:textId="77777777" w:rsidR="00EA3ACA" w:rsidRPr="00EA3ACA" w:rsidRDefault="004912B9" w:rsidP="00EA3ACA">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szCs w:val="24"/>
        </w:rPr>
        <w:t xml:space="preserve">For each student and each </w:t>
      </w:r>
      <w:proofErr w:type="gramStart"/>
      <w:r w:rsidRPr="00EA3ACA">
        <w:rPr>
          <w:rFonts w:ascii="Arial" w:hAnsi="Arial" w:cs="Arial"/>
          <w:szCs w:val="24"/>
        </w:rPr>
        <w:t>module</w:t>
      </w:r>
      <w:proofErr w:type="gramEnd"/>
      <w:r w:rsidRPr="00EA3ACA">
        <w:rPr>
          <w:rFonts w:ascii="Arial" w:hAnsi="Arial" w:cs="Arial"/>
          <w:szCs w:val="24"/>
        </w:rPr>
        <w:t xml:space="preserve"> the outcome of assessment shall be recorded as a mark out of 100 except where it has been agreed that a module shall be assessed on a pass/fail or a fail/pass/merit/distinction basis.</w:t>
      </w:r>
    </w:p>
    <w:p w14:paraId="09F8B8EF" w14:textId="77777777" w:rsidR="00C90749" w:rsidRPr="00C90749" w:rsidRDefault="00C90749" w:rsidP="00C90749">
      <w:pPr>
        <w:pStyle w:val="ListParagraph"/>
        <w:numPr>
          <w:ilvl w:val="0"/>
          <w:numId w:val="18"/>
        </w:numPr>
        <w:spacing w:after="120" w:line="240" w:lineRule="auto"/>
        <w:ind w:left="567" w:right="142" w:hanging="567"/>
        <w:contextualSpacing w:val="0"/>
        <w:rPr>
          <w:rFonts w:ascii="Arial" w:hAnsi="Arial" w:cs="Arial"/>
          <w:i/>
          <w:szCs w:val="24"/>
        </w:rPr>
      </w:pPr>
      <w:r w:rsidRPr="00C90749">
        <w:rPr>
          <w:rFonts w:ascii="Arial" w:hAnsi="Arial" w:cs="Arial"/>
          <w:szCs w:val="24"/>
        </w:rPr>
        <w:t>Marks will be awarded against specified grade criteria. Such grade criteria must reflect the requirements of the Assessment Regulations Framework in terms of establishing both the threshold standard for a pass and achievement above the threshold, as well as satisfying any other specified elements, such as technical proficiency in English, as relevant to the level and nature of the assessment in question.</w:t>
      </w:r>
    </w:p>
    <w:p w14:paraId="41E33813" w14:textId="77777777" w:rsidR="00EA3ACA" w:rsidRPr="00EA3ACA" w:rsidRDefault="004912B9" w:rsidP="00EA3ACA">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rPr>
        <w:t xml:space="preserve">Use of the categorical marking scales below for relevant assessments is compulsory for all modules. </w:t>
      </w:r>
    </w:p>
    <w:p w14:paraId="3A1D3076" w14:textId="4FC18899" w:rsidR="004912B9" w:rsidRPr="00B51CFF" w:rsidRDefault="004912B9" w:rsidP="00EA3ACA">
      <w:pPr>
        <w:pStyle w:val="ListParagraph"/>
        <w:numPr>
          <w:ilvl w:val="0"/>
          <w:numId w:val="18"/>
        </w:numPr>
        <w:spacing w:after="120" w:line="240" w:lineRule="auto"/>
        <w:ind w:left="567" w:right="142" w:hanging="567"/>
        <w:contextualSpacing w:val="0"/>
        <w:rPr>
          <w:rFonts w:ascii="Arial" w:hAnsi="Arial" w:cs="Arial"/>
          <w:i/>
          <w:szCs w:val="24"/>
        </w:rPr>
      </w:pPr>
      <w:r w:rsidRPr="00EA3ACA">
        <w:rPr>
          <w:rFonts w:ascii="Arial" w:hAnsi="Arial" w:cs="Arial"/>
        </w:rPr>
        <w:t>For undergraduate modules (</w:t>
      </w:r>
      <w:proofErr w:type="gramStart"/>
      <w:r w:rsidRPr="00EA3ACA">
        <w:rPr>
          <w:rFonts w:ascii="Arial" w:hAnsi="Arial" w:cs="Arial"/>
        </w:rPr>
        <w:t>i.e.</w:t>
      </w:r>
      <w:proofErr w:type="gramEnd"/>
      <w:r w:rsidRPr="00EA3ACA">
        <w:rPr>
          <w:rFonts w:ascii="Arial" w:hAnsi="Arial" w:cs="Arial"/>
        </w:rPr>
        <w:t xml:space="preserve"> levels 3 to 6)</w:t>
      </w:r>
    </w:p>
    <w:p w14:paraId="4EA235B7" w14:textId="3F5FEEB8" w:rsidR="00B51CFF" w:rsidRDefault="00B51CFF">
      <w:pPr>
        <w:spacing w:after="160" w:line="259" w:lineRule="auto"/>
        <w:ind w:left="0" w:firstLine="0"/>
        <w:rPr>
          <w:rFonts w:eastAsiaTheme="minorHAnsi"/>
          <w:color w:val="auto"/>
          <w:lang w:eastAsia="en-US"/>
        </w:rPr>
      </w:pPr>
      <w:r>
        <w:br w:type="page"/>
      </w:r>
    </w:p>
    <w:p w14:paraId="5E55DDA9" w14:textId="77777777" w:rsidR="00B51CFF" w:rsidRPr="00EA3ACA" w:rsidRDefault="00B51CFF" w:rsidP="00B51CFF">
      <w:pPr>
        <w:pStyle w:val="ListParagraph"/>
        <w:spacing w:after="120" w:line="240" w:lineRule="auto"/>
        <w:ind w:left="567" w:right="142"/>
        <w:contextualSpacing w:val="0"/>
        <w:rPr>
          <w:rFonts w:ascii="Arial" w:hAnsi="Arial" w:cs="Arial"/>
          <w:i/>
          <w:szCs w:val="24"/>
        </w:rPr>
      </w:pP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44"/>
        <w:gridCol w:w="2146"/>
        <w:gridCol w:w="3831"/>
      </w:tblGrid>
      <w:tr w:rsidR="004912B9" w:rsidRPr="00906E2A" w14:paraId="3381D939" w14:textId="77777777" w:rsidTr="00D30CEE">
        <w:trPr>
          <w:trHeight w:val="231"/>
          <w:tblHeader/>
        </w:trPr>
        <w:tc>
          <w:tcPr>
            <w:tcW w:w="2244" w:type="dxa"/>
            <w:shd w:val="clear" w:color="auto" w:fill="FFFFFF" w:themeFill="background1"/>
          </w:tcPr>
          <w:p w14:paraId="0CD8FC62" w14:textId="77777777" w:rsidR="004912B9" w:rsidRPr="00D30CEE" w:rsidRDefault="004912B9" w:rsidP="004912B9">
            <w:pPr>
              <w:pStyle w:val="Default"/>
              <w:spacing w:before="60" w:after="60"/>
              <w:ind w:left="22" w:right="142"/>
              <w:rPr>
                <w:rFonts w:ascii="Arial" w:hAnsi="Arial" w:cs="Arial"/>
                <w:sz w:val="22"/>
              </w:rPr>
            </w:pPr>
            <w:r w:rsidRPr="00D30CEE">
              <w:rPr>
                <w:rFonts w:ascii="Arial" w:hAnsi="Arial" w:cs="Arial"/>
                <w:b/>
                <w:bCs/>
                <w:sz w:val="22"/>
              </w:rPr>
              <w:t xml:space="preserve">Classification </w:t>
            </w:r>
          </w:p>
        </w:tc>
        <w:tc>
          <w:tcPr>
            <w:tcW w:w="2146" w:type="dxa"/>
            <w:shd w:val="clear" w:color="auto" w:fill="FFFFFF" w:themeFill="background1"/>
          </w:tcPr>
          <w:p w14:paraId="7B56E316"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b/>
                <w:bCs/>
                <w:sz w:val="22"/>
              </w:rPr>
              <w:t xml:space="preserve">Numerical Scale </w:t>
            </w:r>
          </w:p>
        </w:tc>
        <w:tc>
          <w:tcPr>
            <w:tcW w:w="3831" w:type="dxa"/>
            <w:shd w:val="clear" w:color="auto" w:fill="FFFFFF" w:themeFill="background1"/>
          </w:tcPr>
          <w:p w14:paraId="4F52B8A1" w14:textId="77777777" w:rsidR="004912B9" w:rsidRPr="00D30CEE" w:rsidRDefault="004912B9" w:rsidP="004912B9">
            <w:pPr>
              <w:pStyle w:val="Default"/>
              <w:spacing w:before="60" w:after="60"/>
              <w:ind w:left="176" w:right="142"/>
              <w:rPr>
                <w:rFonts w:ascii="Arial" w:hAnsi="Arial" w:cs="Arial"/>
                <w:b/>
                <w:bCs/>
                <w:sz w:val="22"/>
              </w:rPr>
            </w:pPr>
            <w:r w:rsidRPr="00D30CEE">
              <w:rPr>
                <w:rFonts w:ascii="Arial" w:hAnsi="Arial" w:cs="Arial"/>
                <w:b/>
                <w:bCs/>
                <w:sz w:val="22"/>
              </w:rPr>
              <w:t>Courses Classified Under P/M/D</w:t>
            </w:r>
          </w:p>
        </w:tc>
      </w:tr>
      <w:tr w:rsidR="004912B9" w:rsidRPr="00906E2A" w14:paraId="0CBD6EAF" w14:textId="77777777" w:rsidTr="00D30CEE">
        <w:trPr>
          <w:trHeight w:val="836"/>
        </w:trPr>
        <w:tc>
          <w:tcPr>
            <w:tcW w:w="2244" w:type="dxa"/>
            <w:shd w:val="clear" w:color="auto" w:fill="FFFFFF" w:themeFill="background1"/>
          </w:tcPr>
          <w:p w14:paraId="1777264B" w14:textId="77777777" w:rsidR="004912B9" w:rsidRPr="00D30CEE" w:rsidRDefault="004912B9" w:rsidP="004912B9">
            <w:pPr>
              <w:pStyle w:val="Default"/>
              <w:spacing w:before="60" w:after="60"/>
              <w:ind w:left="22" w:right="142"/>
              <w:rPr>
                <w:rFonts w:ascii="Arial" w:hAnsi="Arial" w:cs="Arial"/>
                <w:sz w:val="22"/>
              </w:rPr>
            </w:pPr>
            <w:r w:rsidRPr="00D30CEE">
              <w:rPr>
                <w:rFonts w:ascii="Arial" w:hAnsi="Arial" w:cs="Arial"/>
                <w:sz w:val="22"/>
              </w:rPr>
              <w:t xml:space="preserve">First Class </w:t>
            </w:r>
          </w:p>
        </w:tc>
        <w:tc>
          <w:tcPr>
            <w:tcW w:w="2146" w:type="dxa"/>
            <w:shd w:val="clear" w:color="auto" w:fill="FFFFFF" w:themeFill="background1"/>
          </w:tcPr>
          <w:p w14:paraId="5104C2C4"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100 </w:t>
            </w:r>
          </w:p>
          <w:p w14:paraId="3EB0C9E5"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95 </w:t>
            </w:r>
          </w:p>
          <w:p w14:paraId="1F3E373A" w14:textId="33A17F2D"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85 </w:t>
            </w:r>
          </w:p>
          <w:p w14:paraId="55989F8A" w14:textId="386725B6" w:rsidR="00F07239" w:rsidRPr="00D30CEE" w:rsidRDefault="00F07239" w:rsidP="004912B9">
            <w:pPr>
              <w:pStyle w:val="Default"/>
              <w:spacing w:before="60" w:after="60"/>
              <w:ind w:right="142"/>
              <w:rPr>
                <w:rFonts w:ascii="Arial" w:hAnsi="Arial" w:cs="Arial"/>
                <w:sz w:val="22"/>
              </w:rPr>
            </w:pPr>
            <w:r w:rsidRPr="00D30CEE">
              <w:rPr>
                <w:rFonts w:ascii="Arial" w:hAnsi="Arial" w:cs="Arial"/>
                <w:sz w:val="22"/>
              </w:rPr>
              <w:t>82</w:t>
            </w:r>
          </w:p>
          <w:p w14:paraId="30D9682A"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78 </w:t>
            </w:r>
          </w:p>
          <w:p w14:paraId="1F7DE0A9"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75 </w:t>
            </w:r>
          </w:p>
          <w:p w14:paraId="3B207F39"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72 </w:t>
            </w:r>
          </w:p>
        </w:tc>
        <w:tc>
          <w:tcPr>
            <w:tcW w:w="3831" w:type="dxa"/>
            <w:shd w:val="clear" w:color="auto" w:fill="FFFFFF" w:themeFill="background1"/>
          </w:tcPr>
          <w:p w14:paraId="68BD80A7" w14:textId="77777777" w:rsidR="004912B9" w:rsidRPr="00D30CEE" w:rsidRDefault="004912B9" w:rsidP="004912B9">
            <w:pPr>
              <w:pStyle w:val="Default"/>
              <w:spacing w:before="60" w:after="60"/>
              <w:ind w:left="176" w:right="142"/>
              <w:rPr>
                <w:rFonts w:ascii="Arial" w:hAnsi="Arial" w:cs="Arial"/>
                <w:sz w:val="22"/>
              </w:rPr>
            </w:pPr>
          </w:p>
          <w:p w14:paraId="48FD636E" w14:textId="77777777" w:rsidR="004912B9" w:rsidRPr="00D30CEE" w:rsidRDefault="004912B9" w:rsidP="004912B9">
            <w:pPr>
              <w:pStyle w:val="Default"/>
              <w:spacing w:before="60" w:after="60"/>
              <w:ind w:left="176" w:right="142"/>
              <w:rPr>
                <w:rFonts w:ascii="Arial" w:hAnsi="Arial" w:cs="Arial"/>
                <w:sz w:val="22"/>
              </w:rPr>
            </w:pPr>
          </w:p>
          <w:p w14:paraId="3BDC47DB" w14:textId="77777777" w:rsidR="004912B9" w:rsidRPr="00D30CEE" w:rsidRDefault="004912B9" w:rsidP="004912B9">
            <w:pPr>
              <w:pStyle w:val="Default"/>
              <w:spacing w:before="60" w:after="60"/>
              <w:ind w:left="176" w:right="142"/>
              <w:rPr>
                <w:rFonts w:ascii="Arial" w:hAnsi="Arial" w:cs="Arial"/>
                <w:sz w:val="22"/>
              </w:rPr>
            </w:pPr>
            <w:r w:rsidRPr="00D30CEE">
              <w:rPr>
                <w:rFonts w:ascii="Arial" w:hAnsi="Arial" w:cs="Arial"/>
                <w:sz w:val="22"/>
              </w:rPr>
              <w:t>Distinction</w:t>
            </w:r>
          </w:p>
        </w:tc>
      </w:tr>
      <w:tr w:rsidR="004912B9" w:rsidRPr="00906E2A" w14:paraId="32B5CAB2" w14:textId="77777777" w:rsidTr="00D30CEE">
        <w:trPr>
          <w:trHeight w:val="397"/>
        </w:trPr>
        <w:tc>
          <w:tcPr>
            <w:tcW w:w="2244" w:type="dxa"/>
            <w:shd w:val="clear" w:color="auto" w:fill="FFFFFF" w:themeFill="background1"/>
          </w:tcPr>
          <w:p w14:paraId="5A4BE60C" w14:textId="77777777" w:rsidR="004912B9" w:rsidRPr="00D30CEE" w:rsidRDefault="004912B9" w:rsidP="004912B9">
            <w:pPr>
              <w:pStyle w:val="Default"/>
              <w:spacing w:before="60" w:after="60"/>
              <w:ind w:left="22" w:right="142"/>
              <w:rPr>
                <w:rFonts w:ascii="Arial" w:hAnsi="Arial" w:cs="Arial"/>
                <w:sz w:val="22"/>
              </w:rPr>
            </w:pPr>
            <w:r w:rsidRPr="00D30CEE">
              <w:rPr>
                <w:rFonts w:ascii="Arial" w:hAnsi="Arial" w:cs="Arial"/>
                <w:sz w:val="22"/>
              </w:rPr>
              <w:t xml:space="preserve">Upper Second Class </w:t>
            </w:r>
          </w:p>
        </w:tc>
        <w:tc>
          <w:tcPr>
            <w:tcW w:w="2146" w:type="dxa"/>
            <w:shd w:val="clear" w:color="auto" w:fill="FFFFFF" w:themeFill="background1"/>
          </w:tcPr>
          <w:p w14:paraId="2CC53639"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68 </w:t>
            </w:r>
          </w:p>
          <w:p w14:paraId="24BDF6B6"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65 </w:t>
            </w:r>
          </w:p>
          <w:p w14:paraId="26AE5AF7" w14:textId="77777777" w:rsidR="004912B9" w:rsidRPr="00D30CEE" w:rsidRDefault="004912B9" w:rsidP="004912B9">
            <w:pPr>
              <w:pStyle w:val="Default"/>
              <w:spacing w:before="60" w:after="60"/>
              <w:ind w:right="142"/>
              <w:rPr>
                <w:rFonts w:ascii="Arial" w:hAnsi="Arial" w:cs="Arial"/>
                <w:sz w:val="22"/>
              </w:rPr>
            </w:pPr>
            <w:r w:rsidRPr="00D30CEE">
              <w:rPr>
                <w:rFonts w:ascii="Arial" w:hAnsi="Arial" w:cs="Arial"/>
                <w:sz w:val="22"/>
              </w:rPr>
              <w:t xml:space="preserve">62 </w:t>
            </w:r>
          </w:p>
        </w:tc>
        <w:tc>
          <w:tcPr>
            <w:tcW w:w="3831" w:type="dxa"/>
            <w:shd w:val="clear" w:color="auto" w:fill="FFFFFF" w:themeFill="background1"/>
          </w:tcPr>
          <w:p w14:paraId="09E48E13" w14:textId="77777777" w:rsidR="004912B9" w:rsidRPr="00D30CEE" w:rsidRDefault="004912B9" w:rsidP="004912B9">
            <w:pPr>
              <w:pStyle w:val="Default"/>
              <w:spacing w:before="60" w:after="60"/>
              <w:ind w:left="176" w:right="142"/>
              <w:rPr>
                <w:rFonts w:ascii="Arial" w:hAnsi="Arial" w:cs="Arial"/>
                <w:sz w:val="22"/>
              </w:rPr>
            </w:pPr>
          </w:p>
          <w:p w14:paraId="202B284D" w14:textId="77777777" w:rsidR="004912B9" w:rsidRPr="00D30CEE" w:rsidRDefault="004912B9" w:rsidP="004912B9">
            <w:pPr>
              <w:pStyle w:val="Default"/>
              <w:spacing w:before="60" w:after="60"/>
              <w:ind w:left="176" w:right="142"/>
              <w:rPr>
                <w:rFonts w:ascii="Arial" w:hAnsi="Arial" w:cs="Arial"/>
                <w:sz w:val="22"/>
              </w:rPr>
            </w:pPr>
            <w:r w:rsidRPr="00D30CEE">
              <w:rPr>
                <w:rFonts w:ascii="Arial" w:hAnsi="Arial" w:cs="Arial"/>
                <w:sz w:val="22"/>
              </w:rPr>
              <w:t xml:space="preserve">Merit </w:t>
            </w:r>
          </w:p>
        </w:tc>
      </w:tr>
      <w:tr w:rsidR="004912B9" w:rsidRPr="00906E2A" w14:paraId="2F7BA3AF" w14:textId="77777777" w:rsidTr="00D30CEE">
        <w:trPr>
          <w:trHeight w:val="397"/>
        </w:trPr>
        <w:tc>
          <w:tcPr>
            <w:tcW w:w="2244" w:type="dxa"/>
            <w:shd w:val="clear" w:color="auto" w:fill="FFFFFF" w:themeFill="background1"/>
          </w:tcPr>
          <w:p w14:paraId="10606F84" w14:textId="77777777" w:rsidR="004912B9" w:rsidRPr="00D30CEE" w:rsidRDefault="004912B9" w:rsidP="00274A72">
            <w:pPr>
              <w:pStyle w:val="Default"/>
              <w:spacing w:before="60" w:after="60"/>
              <w:ind w:left="22" w:right="142"/>
              <w:rPr>
                <w:rFonts w:ascii="Arial" w:hAnsi="Arial" w:cs="Arial"/>
                <w:sz w:val="22"/>
              </w:rPr>
            </w:pPr>
            <w:r w:rsidRPr="00D30CEE">
              <w:rPr>
                <w:rFonts w:ascii="Arial" w:hAnsi="Arial" w:cs="Arial"/>
                <w:sz w:val="22"/>
              </w:rPr>
              <w:t xml:space="preserve">Lower Second Class </w:t>
            </w:r>
          </w:p>
        </w:tc>
        <w:tc>
          <w:tcPr>
            <w:tcW w:w="2146" w:type="dxa"/>
            <w:shd w:val="clear" w:color="auto" w:fill="FFFFFF" w:themeFill="background1"/>
          </w:tcPr>
          <w:p w14:paraId="5EA2DD0A"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58 </w:t>
            </w:r>
          </w:p>
          <w:p w14:paraId="2906C16B"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55 </w:t>
            </w:r>
          </w:p>
          <w:p w14:paraId="0336F839"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52 </w:t>
            </w:r>
          </w:p>
        </w:tc>
        <w:tc>
          <w:tcPr>
            <w:tcW w:w="3831" w:type="dxa"/>
            <w:vMerge w:val="restart"/>
            <w:shd w:val="clear" w:color="auto" w:fill="FFFFFF" w:themeFill="background1"/>
          </w:tcPr>
          <w:p w14:paraId="6EDD47B8" w14:textId="77777777" w:rsidR="004912B9" w:rsidRPr="00D30CEE" w:rsidRDefault="004912B9" w:rsidP="00274A72">
            <w:pPr>
              <w:pStyle w:val="Default"/>
              <w:spacing w:before="60" w:after="60"/>
              <w:ind w:left="176" w:right="142"/>
              <w:rPr>
                <w:rFonts w:ascii="Arial" w:hAnsi="Arial" w:cs="Arial"/>
                <w:sz w:val="22"/>
              </w:rPr>
            </w:pPr>
          </w:p>
          <w:p w14:paraId="3A1553B5" w14:textId="77777777" w:rsidR="004912B9" w:rsidRPr="00D30CEE" w:rsidRDefault="004912B9" w:rsidP="00274A72">
            <w:pPr>
              <w:pStyle w:val="Default"/>
              <w:spacing w:before="60" w:after="60"/>
              <w:ind w:left="176" w:right="142"/>
              <w:rPr>
                <w:rFonts w:ascii="Arial" w:hAnsi="Arial" w:cs="Arial"/>
                <w:sz w:val="22"/>
              </w:rPr>
            </w:pPr>
          </w:p>
          <w:p w14:paraId="5F392CE1" w14:textId="77777777" w:rsidR="004912B9" w:rsidRPr="00D30CEE" w:rsidRDefault="004912B9" w:rsidP="00274A72">
            <w:pPr>
              <w:pStyle w:val="Default"/>
              <w:spacing w:before="60" w:after="60"/>
              <w:ind w:left="176" w:right="142"/>
              <w:rPr>
                <w:rFonts w:ascii="Arial" w:hAnsi="Arial" w:cs="Arial"/>
                <w:sz w:val="22"/>
              </w:rPr>
            </w:pPr>
            <w:r w:rsidRPr="00D30CEE">
              <w:rPr>
                <w:rFonts w:ascii="Arial" w:hAnsi="Arial" w:cs="Arial"/>
                <w:sz w:val="22"/>
              </w:rPr>
              <w:t xml:space="preserve">Pass </w:t>
            </w:r>
          </w:p>
        </w:tc>
      </w:tr>
      <w:tr w:rsidR="004912B9" w:rsidRPr="00906E2A" w14:paraId="72FFF327" w14:textId="77777777" w:rsidTr="00D30CEE">
        <w:trPr>
          <w:trHeight w:val="397"/>
        </w:trPr>
        <w:tc>
          <w:tcPr>
            <w:tcW w:w="2244" w:type="dxa"/>
            <w:shd w:val="clear" w:color="auto" w:fill="FFFFFF" w:themeFill="background1"/>
          </w:tcPr>
          <w:p w14:paraId="3543324A" w14:textId="77777777" w:rsidR="004912B9" w:rsidRPr="00D30CEE" w:rsidRDefault="004912B9" w:rsidP="00274A72">
            <w:pPr>
              <w:pStyle w:val="Default"/>
              <w:spacing w:before="60" w:after="60"/>
              <w:ind w:left="22" w:right="142"/>
              <w:rPr>
                <w:rFonts w:ascii="Arial" w:hAnsi="Arial" w:cs="Arial"/>
                <w:sz w:val="22"/>
              </w:rPr>
            </w:pPr>
            <w:r w:rsidRPr="00D30CEE">
              <w:rPr>
                <w:rFonts w:ascii="Arial" w:hAnsi="Arial" w:cs="Arial"/>
                <w:sz w:val="22"/>
              </w:rPr>
              <w:t xml:space="preserve">Third Class </w:t>
            </w:r>
          </w:p>
        </w:tc>
        <w:tc>
          <w:tcPr>
            <w:tcW w:w="2146" w:type="dxa"/>
            <w:shd w:val="clear" w:color="auto" w:fill="FFFFFF" w:themeFill="background1"/>
          </w:tcPr>
          <w:p w14:paraId="6DECFFD2"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48 </w:t>
            </w:r>
          </w:p>
          <w:p w14:paraId="381F0B4F"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45 </w:t>
            </w:r>
          </w:p>
          <w:p w14:paraId="1A019E75"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42 </w:t>
            </w:r>
          </w:p>
        </w:tc>
        <w:tc>
          <w:tcPr>
            <w:tcW w:w="3831" w:type="dxa"/>
            <w:vMerge/>
            <w:shd w:val="clear" w:color="auto" w:fill="FFFFFF" w:themeFill="background1"/>
          </w:tcPr>
          <w:p w14:paraId="4B28B04A" w14:textId="77777777" w:rsidR="004912B9" w:rsidRPr="00D30CEE" w:rsidRDefault="004912B9" w:rsidP="00274A72">
            <w:pPr>
              <w:pStyle w:val="Default"/>
              <w:spacing w:before="60" w:after="60"/>
              <w:ind w:left="176" w:right="142"/>
              <w:rPr>
                <w:rFonts w:ascii="Arial" w:hAnsi="Arial" w:cs="Arial"/>
                <w:sz w:val="22"/>
              </w:rPr>
            </w:pPr>
          </w:p>
        </w:tc>
      </w:tr>
      <w:tr w:rsidR="004912B9" w:rsidRPr="00906E2A" w14:paraId="1FFEA41B" w14:textId="77777777" w:rsidTr="00D30CEE">
        <w:trPr>
          <w:trHeight w:val="279"/>
        </w:trPr>
        <w:tc>
          <w:tcPr>
            <w:tcW w:w="2244" w:type="dxa"/>
            <w:shd w:val="clear" w:color="auto" w:fill="FFFFFF" w:themeFill="background1"/>
          </w:tcPr>
          <w:p w14:paraId="60200B10" w14:textId="77777777" w:rsidR="004912B9" w:rsidRPr="00D30CEE" w:rsidRDefault="004912B9" w:rsidP="00274A72">
            <w:pPr>
              <w:pStyle w:val="Default"/>
              <w:spacing w:before="60" w:after="60"/>
              <w:ind w:left="22" w:right="142"/>
              <w:rPr>
                <w:rFonts w:ascii="Arial" w:hAnsi="Arial" w:cs="Arial"/>
                <w:sz w:val="22"/>
              </w:rPr>
            </w:pPr>
            <w:r w:rsidRPr="00D30CEE">
              <w:rPr>
                <w:rFonts w:ascii="Arial" w:hAnsi="Arial" w:cs="Arial"/>
                <w:sz w:val="22"/>
              </w:rPr>
              <w:t xml:space="preserve">Fail </w:t>
            </w:r>
          </w:p>
        </w:tc>
        <w:tc>
          <w:tcPr>
            <w:tcW w:w="2146" w:type="dxa"/>
            <w:shd w:val="clear" w:color="auto" w:fill="FFFFFF" w:themeFill="background1"/>
          </w:tcPr>
          <w:p w14:paraId="4855543B"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38 </w:t>
            </w:r>
          </w:p>
          <w:p w14:paraId="0C8D3919"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35 </w:t>
            </w:r>
          </w:p>
          <w:p w14:paraId="20D42982"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32 </w:t>
            </w:r>
          </w:p>
          <w:p w14:paraId="06492743"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25</w:t>
            </w:r>
          </w:p>
          <w:p w14:paraId="3F73F04F"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20 </w:t>
            </w:r>
          </w:p>
          <w:p w14:paraId="5DD6DEAA"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10 </w:t>
            </w:r>
          </w:p>
          <w:p w14:paraId="1729030A" w14:textId="77777777" w:rsidR="004912B9" w:rsidRPr="00D30CEE" w:rsidRDefault="004912B9" w:rsidP="00274A72">
            <w:pPr>
              <w:pStyle w:val="Default"/>
              <w:spacing w:before="60" w:after="60"/>
              <w:ind w:right="142"/>
              <w:rPr>
                <w:rFonts w:ascii="Arial" w:hAnsi="Arial" w:cs="Arial"/>
                <w:sz w:val="22"/>
              </w:rPr>
            </w:pPr>
            <w:r w:rsidRPr="00D30CEE">
              <w:rPr>
                <w:rFonts w:ascii="Arial" w:hAnsi="Arial" w:cs="Arial"/>
                <w:sz w:val="22"/>
              </w:rPr>
              <w:t xml:space="preserve">0 </w:t>
            </w:r>
          </w:p>
        </w:tc>
        <w:tc>
          <w:tcPr>
            <w:tcW w:w="3831" w:type="dxa"/>
            <w:shd w:val="clear" w:color="auto" w:fill="FFFFFF" w:themeFill="background1"/>
          </w:tcPr>
          <w:p w14:paraId="1B6663F6" w14:textId="77777777" w:rsidR="004912B9" w:rsidRPr="00D30CEE" w:rsidRDefault="004912B9" w:rsidP="00274A72">
            <w:pPr>
              <w:pStyle w:val="Default"/>
              <w:spacing w:before="60" w:after="60"/>
              <w:ind w:left="176" w:right="142"/>
              <w:rPr>
                <w:rFonts w:ascii="Arial" w:hAnsi="Arial" w:cs="Arial"/>
                <w:sz w:val="22"/>
              </w:rPr>
            </w:pPr>
          </w:p>
          <w:p w14:paraId="4215993A" w14:textId="77777777" w:rsidR="004912B9" w:rsidRPr="00D30CEE" w:rsidRDefault="004912B9" w:rsidP="00274A72">
            <w:pPr>
              <w:pStyle w:val="Default"/>
              <w:spacing w:before="60" w:after="60"/>
              <w:ind w:left="176" w:right="142"/>
              <w:rPr>
                <w:rFonts w:ascii="Arial" w:hAnsi="Arial" w:cs="Arial"/>
                <w:sz w:val="22"/>
              </w:rPr>
            </w:pPr>
          </w:p>
          <w:p w14:paraId="51A41D23" w14:textId="77777777" w:rsidR="004912B9" w:rsidRPr="00D30CEE" w:rsidRDefault="004912B9" w:rsidP="00274A72">
            <w:pPr>
              <w:pStyle w:val="Default"/>
              <w:spacing w:before="60" w:after="60"/>
              <w:ind w:left="176" w:right="142"/>
              <w:rPr>
                <w:rFonts w:ascii="Arial" w:hAnsi="Arial" w:cs="Arial"/>
                <w:sz w:val="22"/>
              </w:rPr>
            </w:pPr>
            <w:r w:rsidRPr="00D30CEE">
              <w:rPr>
                <w:rFonts w:ascii="Arial" w:hAnsi="Arial" w:cs="Arial"/>
                <w:sz w:val="22"/>
              </w:rPr>
              <w:t>Fail</w:t>
            </w:r>
          </w:p>
        </w:tc>
      </w:tr>
    </w:tbl>
    <w:p w14:paraId="06EA51DD"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66534BA6" w14:textId="132A638A" w:rsidR="004912B9" w:rsidRDefault="00537FDF" w:rsidP="00537FDF">
      <w:pPr>
        <w:ind w:left="567" w:hanging="567"/>
      </w:pPr>
      <w:r>
        <w:t>2.4</w:t>
      </w:r>
      <w:r>
        <w:tab/>
      </w:r>
      <w:r w:rsidR="004912B9" w:rsidRPr="00537FDF">
        <w:t>For postgraduate taught modules (</w:t>
      </w:r>
      <w:proofErr w:type="gramStart"/>
      <w:r w:rsidR="004912B9" w:rsidRPr="00537FDF">
        <w:t>i.e.</w:t>
      </w:r>
      <w:proofErr w:type="gramEnd"/>
      <w:r w:rsidR="004912B9" w:rsidRPr="00537FDF">
        <w:t xml:space="preserve"> level 7)</w:t>
      </w:r>
    </w:p>
    <w:p w14:paraId="5C396A71" w14:textId="6BD60BA4" w:rsidR="00B51CFF" w:rsidRDefault="00B51CFF">
      <w:pPr>
        <w:spacing w:after="160" w:line="259" w:lineRule="auto"/>
        <w:ind w:left="0" w:firstLine="0"/>
      </w:pPr>
      <w:r>
        <w:br w:type="page"/>
      </w:r>
    </w:p>
    <w:p w14:paraId="0D8973C3" w14:textId="77777777" w:rsidR="00B51CFF" w:rsidRPr="00537FDF" w:rsidRDefault="00B51CFF" w:rsidP="00537FDF">
      <w:pPr>
        <w:ind w:left="567" w:hanging="567"/>
      </w:pPr>
    </w:p>
    <w:tbl>
      <w:tblPr>
        <w:tblpPr w:leftFromText="180" w:rightFromText="180" w:vertAnchor="text" w:horzAnchor="margin"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29"/>
        <w:gridCol w:w="2726"/>
      </w:tblGrid>
      <w:tr w:rsidR="004912B9" w:rsidRPr="00906E2A" w14:paraId="74D4B048" w14:textId="77777777" w:rsidTr="00D30CEE">
        <w:trPr>
          <w:trHeight w:val="231"/>
          <w:tblHeader/>
        </w:trPr>
        <w:tc>
          <w:tcPr>
            <w:tcW w:w="2729" w:type="dxa"/>
            <w:shd w:val="clear" w:color="auto" w:fill="FFFFFF" w:themeFill="background1"/>
          </w:tcPr>
          <w:p w14:paraId="2489FA4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b/>
                <w:bCs/>
                <w:sz w:val="22"/>
              </w:rPr>
              <w:t xml:space="preserve">Numerical Scale </w:t>
            </w:r>
          </w:p>
        </w:tc>
        <w:tc>
          <w:tcPr>
            <w:tcW w:w="2726" w:type="dxa"/>
            <w:shd w:val="clear" w:color="auto" w:fill="FFFFFF" w:themeFill="background1"/>
          </w:tcPr>
          <w:p w14:paraId="5C52F02C" w14:textId="77777777" w:rsidR="004912B9" w:rsidRPr="004912B9" w:rsidRDefault="004912B9" w:rsidP="00274A72">
            <w:pPr>
              <w:pStyle w:val="Default"/>
              <w:spacing w:before="60" w:after="60"/>
              <w:ind w:left="176" w:right="142"/>
              <w:rPr>
                <w:rFonts w:ascii="Arial" w:hAnsi="Arial" w:cs="Arial"/>
                <w:b/>
                <w:bCs/>
                <w:sz w:val="22"/>
              </w:rPr>
            </w:pPr>
            <w:r w:rsidRPr="004912B9">
              <w:rPr>
                <w:rFonts w:ascii="Arial" w:hAnsi="Arial" w:cs="Arial"/>
                <w:b/>
                <w:bCs/>
                <w:sz w:val="22"/>
              </w:rPr>
              <w:t xml:space="preserve">Classification </w:t>
            </w:r>
          </w:p>
        </w:tc>
      </w:tr>
      <w:tr w:rsidR="004912B9" w:rsidRPr="00906E2A" w14:paraId="76363657" w14:textId="77777777" w:rsidTr="00B51CFF">
        <w:trPr>
          <w:trHeight w:val="836"/>
        </w:trPr>
        <w:tc>
          <w:tcPr>
            <w:tcW w:w="2729" w:type="dxa"/>
          </w:tcPr>
          <w:p w14:paraId="1E7BB45E"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100 </w:t>
            </w:r>
          </w:p>
          <w:p w14:paraId="0AC3378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95 </w:t>
            </w:r>
          </w:p>
          <w:p w14:paraId="7E3593B9"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85 </w:t>
            </w:r>
          </w:p>
          <w:p w14:paraId="3656A933" w14:textId="77777777" w:rsidR="00467FFD" w:rsidRDefault="00467FFD" w:rsidP="00274A72">
            <w:pPr>
              <w:pStyle w:val="Default"/>
              <w:spacing w:before="60" w:after="60"/>
              <w:ind w:right="142"/>
              <w:rPr>
                <w:rFonts w:ascii="Arial" w:hAnsi="Arial" w:cs="Arial"/>
                <w:sz w:val="22"/>
              </w:rPr>
            </w:pPr>
            <w:r>
              <w:rPr>
                <w:rFonts w:ascii="Arial" w:hAnsi="Arial" w:cs="Arial"/>
                <w:sz w:val="22"/>
              </w:rPr>
              <w:t>82</w:t>
            </w:r>
          </w:p>
          <w:p w14:paraId="68711910" w14:textId="6148865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78 </w:t>
            </w:r>
          </w:p>
          <w:p w14:paraId="55DB7A90"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75 </w:t>
            </w:r>
          </w:p>
          <w:p w14:paraId="5FF9DAE6"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72 </w:t>
            </w:r>
          </w:p>
        </w:tc>
        <w:tc>
          <w:tcPr>
            <w:tcW w:w="2726" w:type="dxa"/>
          </w:tcPr>
          <w:p w14:paraId="0F4F9BAC" w14:textId="77777777" w:rsidR="004912B9" w:rsidRPr="004912B9" w:rsidRDefault="004912B9" w:rsidP="00274A72">
            <w:pPr>
              <w:pStyle w:val="Default"/>
              <w:spacing w:before="60" w:after="60"/>
              <w:ind w:left="176" w:right="142"/>
              <w:rPr>
                <w:rFonts w:ascii="Arial" w:hAnsi="Arial" w:cs="Arial"/>
                <w:sz w:val="22"/>
              </w:rPr>
            </w:pPr>
          </w:p>
          <w:p w14:paraId="7C13E175" w14:textId="77777777" w:rsidR="004912B9" w:rsidRPr="004912B9" w:rsidRDefault="004912B9" w:rsidP="00274A72">
            <w:pPr>
              <w:pStyle w:val="Default"/>
              <w:spacing w:before="60" w:after="60"/>
              <w:ind w:left="176" w:right="142"/>
              <w:rPr>
                <w:rFonts w:ascii="Arial" w:hAnsi="Arial" w:cs="Arial"/>
                <w:sz w:val="22"/>
              </w:rPr>
            </w:pPr>
          </w:p>
          <w:p w14:paraId="21BD4CC0" w14:textId="77777777" w:rsidR="004912B9" w:rsidRPr="004912B9" w:rsidRDefault="004912B9" w:rsidP="00274A72">
            <w:pPr>
              <w:pStyle w:val="Default"/>
              <w:spacing w:before="60" w:after="60"/>
              <w:ind w:left="176" w:right="142"/>
              <w:rPr>
                <w:rFonts w:ascii="Arial" w:hAnsi="Arial" w:cs="Arial"/>
                <w:sz w:val="22"/>
              </w:rPr>
            </w:pPr>
            <w:r w:rsidRPr="004912B9">
              <w:rPr>
                <w:rFonts w:ascii="Arial" w:hAnsi="Arial" w:cs="Arial"/>
                <w:sz w:val="22"/>
              </w:rPr>
              <w:t>Distinction</w:t>
            </w:r>
          </w:p>
        </w:tc>
      </w:tr>
      <w:tr w:rsidR="004912B9" w:rsidRPr="00906E2A" w14:paraId="45DCD2F6" w14:textId="77777777" w:rsidTr="00B51CFF">
        <w:trPr>
          <w:trHeight w:val="397"/>
        </w:trPr>
        <w:tc>
          <w:tcPr>
            <w:tcW w:w="2729" w:type="dxa"/>
          </w:tcPr>
          <w:p w14:paraId="18CFAA9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68 </w:t>
            </w:r>
          </w:p>
          <w:p w14:paraId="71CFDD1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65 </w:t>
            </w:r>
          </w:p>
          <w:p w14:paraId="4E616F5B"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62 </w:t>
            </w:r>
          </w:p>
        </w:tc>
        <w:tc>
          <w:tcPr>
            <w:tcW w:w="2726" w:type="dxa"/>
          </w:tcPr>
          <w:p w14:paraId="0AF9D24D" w14:textId="77777777" w:rsidR="004912B9" w:rsidRPr="004912B9" w:rsidRDefault="004912B9" w:rsidP="00274A72">
            <w:pPr>
              <w:pStyle w:val="Default"/>
              <w:spacing w:before="60" w:after="60"/>
              <w:ind w:left="176" w:right="142"/>
              <w:rPr>
                <w:rFonts w:ascii="Arial" w:hAnsi="Arial" w:cs="Arial"/>
                <w:sz w:val="22"/>
              </w:rPr>
            </w:pPr>
          </w:p>
          <w:p w14:paraId="2D057817" w14:textId="77777777" w:rsidR="004912B9" w:rsidRPr="004912B9" w:rsidRDefault="004912B9" w:rsidP="00274A72">
            <w:pPr>
              <w:pStyle w:val="Default"/>
              <w:spacing w:before="60" w:after="60"/>
              <w:ind w:left="176" w:right="142"/>
              <w:rPr>
                <w:rFonts w:ascii="Arial" w:hAnsi="Arial" w:cs="Arial"/>
                <w:sz w:val="22"/>
              </w:rPr>
            </w:pPr>
            <w:r w:rsidRPr="004912B9">
              <w:rPr>
                <w:rFonts w:ascii="Arial" w:hAnsi="Arial" w:cs="Arial"/>
                <w:sz w:val="22"/>
              </w:rPr>
              <w:t xml:space="preserve">Merit </w:t>
            </w:r>
          </w:p>
        </w:tc>
      </w:tr>
      <w:tr w:rsidR="004912B9" w:rsidRPr="00906E2A" w14:paraId="25B02163" w14:textId="77777777" w:rsidTr="00B51CFF">
        <w:trPr>
          <w:trHeight w:val="397"/>
        </w:trPr>
        <w:tc>
          <w:tcPr>
            <w:tcW w:w="2729" w:type="dxa"/>
          </w:tcPr>
          <w:p w14:paraId="4396019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58 </w:t>
            </w:r>
          </w:p>
          <w:p w14:paraId="6CC77F47"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55 </w:t>
            </w:r>
          </w:p>
          <w:p w14:paraId="3C6AB1F1"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52 </w:t>
            </w:r>
          </w:p>
        </w:tc>
        <w:tc>
          <w:tcPr>
            <w:tcW w:w="2726" w:type="dxa"/>
          </w:tcPr>
          <w:p w14:paraId="64393ACC" w14:textId="77777777" w:rsidR="004912B9" w:rsidRPr="004912B9" w:rsidRDefault="004912B9" w:rsidP="00274A72">
            <w:pPr>
              <w:pStyle w:val="Default"/>
              <w:spacing w:before="60" w:after="60"/>
              <w:ind w:left="176" w:right="142"/>
              <w:rPr>
                <w:rFonts w:ascii="Arial" w:hAnsi="Arial" w:cs="Arial"/>
                <w:sz w:val="22"/>
              </w:rPr>
            </w:pPr>
          </w:p>
          <w:p w14:paraId="0291928F" w14:textId="77777777" w:rsidR="004912B9" w:rsidRPr="004912B9" w:rsidRDefault="004912B9" w:rsidP="00274A72">
            <w:pPr>
              <w:pStyle w:val="Default"/>
              <w:spacing w:before="60" w:after="60"/>
              <w:ind w:left="176" w:right="142"/>
              <w:rPr>
                <w:rFonts w:ascii="Arial" w:hAnsi="Arial" w:cs="Arial"/>
                <w:sz w:val="22"/>
              </w:rPr>
            </w:pPr>
            <w:r w:rsidRPr="004912B9">
              <w:rPr>
                <w:rFonts w:ascii="Arial" w:hAnsi="Arial" w:cs="Arial"/>
                <w:sz w:val="22"/>
              </w:rPr>
              <w:t xml:space="preserve">Pass </w:t>
            </w:r>
          </w:p>
        </w:tc>
      </w:tr>
      <w:tr w:rsidR="004912B9" w:rsidRPr="00906E2A" w14:paraId="173D9427" w14:textId="77777777" w:rsidTr="00B51CFF">
        <w:trPr>
          <w:trHeight w:val="2740"/>
        </w:trPr>
        <w:tc>
          <w:tcPr>
            <w:tcW w:w="2729" w:type="dxa"/>
          </w:tcPr>
          <w:p w14:paraId="70FD9799"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48 </w:t>
            </w:r>
          </w:p>
          <w:p w14:paraId="4BADC81C"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45 </w:t>
            </w:r>
          </w:p>
          <w:p w14:paraId="64E2BA01"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42 </w:t>
            </w:r>
          </w:p>
          <w:p w14:paraId="69069E6A"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38 </w:t>
            </w:r>
          </w:p>
          <w:p w14:paraId="3DF8317C"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35 </w:t>
            </w:r>
          </w:p>
          <w:p w14:paraId="758F27E1"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32 </w:t>
            </w:r>
          </w:p>
          <w:p w14:paraId="0FF9C7AC"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25</w:t>
            </w:r>
          </w:p>
          <w:p w14:paraId="7C6DB85E"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20 </w:t>
            </w:r>
          </w:p>
          <w:p w14:paraId="1846F8C5"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10 </w:t>
            </w:r>
          </w:p>
          <w:p w14:paraId="75C2528A" w14:textId="77777777" w:rsidR="004912B9" w:rsidRPr="004912B9" w:rsidRDefault="004912B9" w:rsidP="00274A72">
            <w:pPr>
              <w:pStyle w:val="Default"/>
              <w:spacing w:before="60" w:after="60"/>
              <w:ind w:right="142"/>
              <w:rPr>
                <w:rFonts w:ascii="Arial" w:hAnsi="Arial" w:cs="Arial"/>
                <w:sz w:val="22"/>
              </w:rPr>
            </w:pPr>
            <w:r w:rsidRPr="004912B9">
              <w:rPr>
                <w:rFonts w:ascii="Arial" w:hAnsi="Arial" w:cs="Arial"/>
                <w:sz w:val="22"/>
              </w:rPr>
              <w:t xml:space="preserve">0 </w:t>
            </w:r>
          </w:p>
        </w:tc>
        <w:tc>
          <w:tcPr>
            <w:tcW w:w="2726" w:type="dxa"/>
          </w:tcPr>
          <w:p w14:paraId="3AE56215" w14:textId="77777777" w:rsidR="004912B9" w:rsidRPr="004912B9" w:rsidRDefault="004912B9" w:rsidP="00274A72">
            <w:pPr>
              <w:pStyle w:val="Default"/>
              <w:spacing w:before="60" w:after="60"/>
              <w:ind w:left="176" w:right="142"/>
              <w:rPr>
                <w:rFonts w:ascii="Arial" w:hAnsi="Arial" w:cs="Arial"/>
                <w:sz w:val="22"/>
              </w:rPr>
            </w:pPr>
          </w:p>
          <w:p w14:paraId="0CF0937A" w14:textId="77777777" w:rsidR="004912B9" w:rsidRPr="004912B9" w:rsidRDefault="004912B9" w:rsidP="00274A72">
            <w:pPr>
              <w:pStyle w:val="Default"/>
              <w:spacing w:before="60" w:after="60"/>
              <w:ind w:left="176" w:right="142"/>
              <w:rPr>
                <w:rFonts w:ascii="Arial" w:hAnsi="Arial" w:cs="Arial"/>
                <w:sz w:val="22"/>
              </w:rPr>
            </w:pPr>
          </w:p>
          <w:p w14:paraId="04566C9E" w14:textId="77777777" w:rsidR="004912B9" w:rsidRPr="004912B9" w:rsidRDefault="004912B9" w:rsidP="00274A72">
            <w:pPr>
              <w:pStyle w:val="Default"/>
              <w:spacing w:before="60" w:after="60"/>
              <w:ind w:left="176" w:right="142"/>
              <w:rPr>
                <w:rFonts w:ascii="Arial" w:hAnsi="Arial" w:cs="Arial"/>
                <w:sz w:val="22"/>
              </w:rPr>
            </w:pPr>
          </w:p>
          <w:p w14:paraId="02918CD8" w14:textId="77777777" w:rsidR="004912B9" w:rsidRPr="004912B9" w:rsidRDefault="004912B9" w:rsidP="00274A72">
            <w:pPr>
              <w:pStyle w:val="Default"/>
              <w:spacing w:before="60" w:after="60"/>
              <w:ind w:left="176" w:right="142"/>
              <w:rPr>
                <w:rFonts w:ascii="Arial" w:hAnsi="Arial" w:cs="Arial"/>
                <w:sz w:val="22"/>
              </w:rPr>
            </w:pPr>
          </w:p>
          <w:p w14:paraId="24D4EAB9" w14:textId="77777777" w:rsidR="004912B9" w:rsidRPr="004912B9" w:rsidRDefault="004912B9" w:rsidP="00274A72">
            <w:pPr>
              <w:pStyle w:val="Default"/>
              <w:spacing w:before="60" w:after="60"/>
              <w:ind w:left="176" w:right="142"/>
              <w:rPr>
                <w:rFonts w:ascii="Arial" w:hAnsi="Arial" w:cs="Arial"/>
                <w:sz w:val="22"/>
              </w:rPr>
            </w:pPr>
            <w:r w:rsidRPr="004912B9">
              <w:rPr>
                <w:rFonts w:ascii="Arial" w:hAnsi="Arial" w:cs="Arial"/>
                <w:sz w:val="22"/>
              </w:rPr>
              <w:t>Fail</w:t>
            </w:r>
          </w:p>
        </w:tc>
      </w:tr>
    </w:tbl>
    <w:p w14:paraId="30695796"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5451F0E7"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6693BED5"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4D0CE751"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0312E486"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06D590D8"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4A226FBC"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262551C9"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00BF560E" w14:textId="77777777" w:rsidR="004912B9" w:rsidRPr="00906E2A" w:rsidRDefault="004912B9" w:rsidP="004912B9">
      <w:pPr>
        <w:pStyle w:val="PlainText"/>
        <w:spacing w:after="120"/>
        <w:ind w:left="851" w:right="142" w:hanging="567"/>
        <w:jc w:val="both"/>
        <w:rPr>
          <w:rStyle w:val="Strong"/>
          <w:rFonts w:ascii="Arial" w:hAnsi="Arial" w:cs="Arial"/>
          <w:b w:val="0"/>
          <w:sz w:val="24"/>
          <w:szCs w:val="24"/>
        </w:rPr>
      </w:pPr>
    </w:p>
    <w:p w14:paraId="470D9898" w14:textId="77777777" w:rsidR="00B51CFF" w:rsidRDefault="00B51CFF" w:rsidP="00537FDF">
      <w:pPr>
        <w:ind w:left="567" w:firstLine="0"/>
        <w:rPr>
          <w:rStyle w:val="Strong"/>
          <w:b w:val="0"/>
          <w:szCs w:val="24"/>
        </w:rPr>
      </w:pPr>
    </w:p>
    <w:p w14:paraId="5F0CCDB3" w14:textId="77777777" w:rsidR="00B51CFF" w:rsidRDefault="00B51CFF" w:rsidP="00537FDF">
      <w:pPr>
        <w:ind w:left="567" w:firstLine="0"/>
        <w:rPr>
          <w:rStyle w:val="Strong"/>
          <w:b w:val="0"/>
          <w:szCs w:val="24"/>
        </w:rPr>
      </w:pPr>
    </w:p>
    <w:p w14:paraId="10D1C62D" w14:textId="77777777" w:rsidR="00B51CFF" w:rsidRDefault="00B51CFF" w:rsidP="00537FDF">
      <w:pPr>
        <w:ind w:left="567" w:firstLine="0"/>
        <w:rPr>
          <w:rStyle w:val="Strong"/>
          <w:b w:val="0"/>
          <w:szCs w:val="24"/>
        </w:rPr>
      </w:pPr>
    </w:p>
    <w:p w14:paraId="49D7A8F8" w14:textId="77777777" w:rsidR="00B51CFF" w:rsidRDefault="00B51CFF" w:rsidP="00537FDF">
      <w:pPr>
        <w:ind w:left="567" w:firstLine="0"/>
        <w:rPr>
          <w:rStyle w:val="Strong"/>
          <w:b w:val="0"/>
          <w:szCs w:val="24"/>
        </w:rPr>
      </w:pPr>
    </w:p>
    <w:p w14:paraId="33391949" w14:textId="77777777" w:rsidR="00B51CFF" w:rsidRDefault="00B51CFF" w:rsidP="00537FDF">
      <w:pPr>
        <w:ind w:left="567" w:firstLine="0"/>
        <w:rPr>
          <w:rStyle w:val="Strong"/>
          <w:b w:val="0"/>
          <w:szCs w:val="24"/>
        </w:rPr>
      </w:pPr>
    </w:p>
    <w:p w14:paraId="0813D400" w14:textId="77777777" w:rsidR="00B51CFF" w:rsidRDefault="00B51CFF" w:rsidP="00537FDF">
      <w:pPr>
        <w:ind w:left="567" w:firstLine="0"/>
        <w:rPr>
          <w:rStyle w:val="Strong"/>
          <w:b w:val="0"/>
          <w:szCs w:val="24"/>
        </w:rPr>
      </w:pPr>
    </w:p>
    <w:p w14:paraId="1F5745C4" w14:textId="77777777" w:rsidR="00B51CFF" w:rsidRDefault="00B51CFF" w:rsidP="00537FDF">
      <w:pPr>
        <w:ind w:left="567" w:firstLine="0"/>
        <w:rPr>
          <w:rStyle w:val="Strong"/>
          <w:b w:val="0"/>
          <w:szCs w:val="24"/>
        </w:rPr>
      </w:pPr>
    </w:p>
    <w:p w14:paraId="119D182E" w14:textId="77777777" w:rsidR="00B51CFF" w:rsidRDefault="00B51CFF" w:rsidP="00537FDF">
      <w:pPr>
        <w:ind w:left="567" w:firstLine="0"/>
        <w:rPr>
          <w:rStyle w:val="Strong"/>
          <w:b w:val="0"/>
          <w:szCs w:val="24"/>
        </w:rPr>
      </w:pPr>
    </w:p>
    <w:p w14:paraId="6F0AF10F" w14:textId="77777777" w:rsidR="00B51CFF" w:rsidRDefault="00B51CFF" w:rsidP="00537FDF">
      <w:pPr>
        <w:ind w:left="567" w:firstLine="0"/>
        <w:rPr>
          <w:rStyle w:val="Strong"/>
          <w:b w:val="0"/>
          <w:szCs w:val="24"/>
        </w:rPr>
      </w:pPr>
    </w:p>
    <w:p w14:paraId="10D55C4C" w14:textId="77777777" w:rsidR="00B51CFF" w:rsidRDefault="00B51CFF" w:rsidP="00537FDF">
      <w:pPr>
        <w:ind w:left="567" w:firstLine="0"/>
        <w:rPr>
          <w:rStyle w:val="Strong"/>
          <w:b w:val="0"/>
          <w:szCs w:val="24"/>
        </w:rPr>
      </w:pPr>
    </w:p>
    <w:p w14:paraId="475E6C56" w14:textId="77777777" w:rsidR="00B51CFF" w:rsidRDefault="00B51CFF" w:rsidP="00537FDF">
      <w:pPr>
        <w:ind w:left="567" w:firstLine="0"/>
        <w:rPr>
          <w:rStyle w:val="Strong"/>
          <w:b w:val="0"/>
          <w:szCs w:val="24"/>
        </w:rPr>
      </w:pPr>
    </w:p>
    <w:p w14:paraId="346D08B9" w14:textId="77777777" w:rsidR="00467FFD" w:rsidRDefault="00467FFD" w:rsidP="00537FDF">
      <w:pPr>
        <w:ind w:left="567" w:firstLine="0"/>
        <w:rPr>
          <w:rStyle w:val="Strong"/>
          <w:b w:val="0"/>
          <w:szCs w:val="24"/>
        </w:rPr>
      </w:pPr>
    </w:p>
    <w:p w14:paraId="60868FCE" w14:textId="35A5CB17" w:rsidR="004912B9" w:rsidRPr="004912B9" w:rsidRDefault="004912B9" w:rsidP="00537FDF">
      <w:pPr>
        <w:ind w:left="567" w:firstLine="0"/>
        <w:rPr>
          <w:rStyle w:val="Strong"/>
          <w:b w:val="0"/>
          <w:szCs w:val="24"/>
        </w:rPr>
      </w:pPr>
      <w:r w:rsidRPr="004912B9">
        <w:rPr>
          <w:rStyle w:val="Strong"/>
          <w:b w:val="0"/>
          <w:szCs w:val="24"/>
        </w:rPr>
        <w:t xml:space="preserve">Note 1: the above scale applies to all level 7 modules where the student in question takes the module from 2015-16 onwards. For level 7 modules taken prior to 2015-16 the scale set out at 4.1.1 applies. </w:t>
      </w:r>
    </w:p>
    <w:p w14:paraId="45A84918" w14:textId="506F3D50" w:rsidR="00537FDF" w:rsidRPr="00537FDF" w:rsidRDefault="00537FDF" w:rsidP="00537FDF">
      <w:pPr>
        <w:ind w:left="567" w:hanging="567"/>
        <w:rPr>
          <w:rStyle w:val="Strong"/>
          <w:b w:val="0"/>
          <w:szCs w:val="24"/>
        </w:rPr>
      </w:pPr>
      <w:r>
        <w:rPr>
          <w:rStyle w:val="Strong"/>
          <w:b w:val="0"/>
          <w:szCs w:val="24"/>
        </w:rPr>
        <w:t>2.5</w:t>
      </w:r>
      <w:r>
        <w:rPr>
          <w:rStyle w:val="Strong"/>
          <w:b w:val="0"/>
          <w:szCs w:val="24"/>
        </w:rPr>
        <w:tab/>
      </w:r>
      <w:r w:rsidR="004912B9" w:rsidRPr="00537FDF">
        <w:rPr>
          <w:rStyle w:val="Strong"/>
          <w:b w:val="0"/>
          <w:szCs w:val="24"/>
        </w:rPr>
        <w:t xml:space="preserve">Schools are strongly encouraged to devise assessment criteria that map on to the respective classification bands. </w:t>
      </w:r>
      <w:r w:rsidR="004912B9" w:rsidRPr="00537FDF">
        <w:t>The marking scale contains a fixed number of percentage points in each class band, one of which might be assigned by a marker for a piece of assessed work.</w:t>
      </w:r>
      <w:r w:rsidR="004912B9" w:rsidRPr="00537FDF">
        <w:rPr>
          <w:b/>
        </w:rPr>
        <w:t xml:space="preserve"> </w:t>
      </w:r>
      <w:r w:rsidR="004912B9" w:rsidRPr="00537FDF">
        <w:rPr>
          <w:rStyle w:val="Strong"/>
          <w:b w:val="0"/>
          <w:szCs w:val="24"/>
        </w:rPr>
        <w:t xml:space="preserve">Markers should award the appropriate mark from the scale to assessed work as best fits student performance in relation to the assessment criteria. Use of the scale is intended to (i) encourage markers to make firm decisions about assessed work in relation to class band </w:t>
      </w:r>
      <w:r w:rsidR="004912B9" w:rsidRPr="00537FDF">
        <w:rPr>
          <w:rStyle w:val="Strong"/>
          <w:b w:val="0"/>
          <w:szCs w:val="24"/>
        </w:rPr>
        <w:lastRenderedPageBreak/>
        <w:t>grade criteria (</w:t>
      </w:r>
      <w:proofErr w:type="gramStart"/>
      <w:r w:rsidR="004912B9" w:rsidRPr="00537FDF">
        <w:rPr>
          <w:rStyle w:val="Strong"/>
          <w:b w:val="0"/>
          <w:szCs w:val="24"/>
        </w:rPr>
        <w:t>i.e.</w:t>
      </w:r>
      <w:proofErr w:type="gramEnd"/>
      <w:r w:rsidR="004912B9" w:rsidRPr="00537FDF">
        <w:rPr>
          <w:rStyle w:val="Strong"/>
          <w:b w:val="0"/>
          <w:szCs w:val="24"/>
        </w:rPr>
        <w:t xml:space="preserve"> such work may no longer be regarded as borderline); and (ii) encourage markers to use the full range of the marking scale, particularly in the first class band.   </w:t>
      </w:r>
    </w:p>
    <w:p w14:paraId="4C8E7B1E" w14:textId="207FBCB3" w:rsidR="004912B9" w:rsidRPr="00537FDF" w:rsidRDefault="00537FDF" w:rsidP="00537FDF">
      <w:pPr>
        <w:ind w:left="567" w:hanging="567"/>
      </w:pPr>
      <w:r>
        <w:rPr>
          <w:rStyle w:val="Strong"/>
          <w:b w:val="0"/>
        </w:rPr>
        <w:t>2.6</w:t>
      </w:r>
      <w:r>
        <w:rPr>
          <w:rStyle w:val="Strong"/>
          <w:b w:val="0"/>
        </w:rPr>
        <w:tab/>
      </w:r>
      <w:r w:rsidR="004912B9" w:rsidRPr="00537FDF">
        <w:rPr>
          <w:rStyle w:val="Strong"/>
          <w:b w:val="0"/>
        </w:rPr>
        <w:t>The scale should be regarded as readily lending itself to use with respect to single pieces of work that currently attract a mark out of 100, such as essays, dissertations, reports, individual examination questions or any similar assessment that requires a qualitative judgement by the marker against criterion referenced standards. Examples of assessed work that may not be suitable to be marked with reference to the categorical marking scheme include</w:t>
      </w:r>
      <w:r w:rsidR="004912B9" w:rsidRPr="00906E2A">
        <w:rPr>
          <w:rStyle w:val="Strong"/>
        </w:rPr>
        <w:t xml:space="preserve"> </w:t>
      </w:r>
      <w:r w:rsidR="004912B9" w:rsidRPr="00906E2A">
        <w:t xml:space="preserve">assessments that take the form of tests of complex calculation or knowledge that allow for an accumulation of marks on an objective basis, or which are composed of </w:t>
      </w:r>
      <w:proofErr w:type="gramStart"/>
      <w:r w:rsidR="004912B9" w:rsidRPr="00906E2A">
        <w:t>a large number of</w:t>
      </w:r>
      <w:proofErr w:type="gramEnd"/>
      <w:r w:rsidR="004912B9" w:rsidRPr="00906E2A">
        <w:t xml:space="preserve"> questions, or questions where there is a single correct answer (such as numerical questions). In such cases markers will not be restricted to its use. Where the format of assessment precludes use of the scale, markers are encouraged to consider whether they can avoid awarding marks that fall immediately below a class boundary.  </w:t>
      </w:r>
    </w:p>
    <w:p w14:paraId="111617A0" w14:textId="77777777" w:rsidR="004912B9" w:rsidRPr="00906E2A" w:rsidRDefault="004912B9" w:rsidP="00537FDF"/>
    <w:p w14:paraId="70FF7FFA" w14:textId="0BDF0BA3" w:rsidR="00537FDF" w:rsidRDefault="00537FDF" w:rsidP="00EF2D64">
      <w:pPr>
        <w:pStyle w:val="Heading1"/>
      </w:pPr>
      <w:bookmarkStart w:id="2" w:name="_Toc84921488"/>
      <w:r>
        <w:t>Illegible Scripts</w:t>
      </w:r>
      <w:bookmarkEnd w:id="2"/>
    </w:p>
    <w:p w14:paraId="179513EB" w14:textId="4F50F33B" w:rsidR="004912B9" w:rsidRPr="00906E2A" w:rsidRDefault="00537FDF" w:rsidP="00537FDF">
      <w:pPr>
        <w:ind w:left="567" w:hanging="567"/>
      </w:pPr>
      <w:r>
        <w:t>3.1</w:t>
      </w:r>
      <w:r>
        <w:tab/>
      </w:r>
      <w:r w:rsidR="004912B9" w:rsidRPr="00906E2A">
        <w:t>Where an Internal Examiner considers a script to be illegible the case must be referred to the second marker or moderator, who will act as arbiter. If the second marker or moderator agrees that a script is illegible, the script may:</w:t>
      </w:r>
    </w:p>
    <w:p w14:paraId="4D29DA17" w14:textId="77777777" w:rsidR="004912B9" w:rsidRPr="00906E2A" w:rsidRDefault="004912B9" w:rsidP="00537FDF">
      <w:pPr>
        <w:pStyle w:val="NormalWeb"/>
        <w:spacing w:before="0" w:beforeAutospacing="0" w:after="120" w:afterAutospacing="0"/>
        <w:ind w:left="1134" w:right="142" w:hanging="425"/>
        <w:rPr>
          <w:rFonts w:ascii="Arial" w:hAnsi="Arial" w:cs="Arial"/>
        </w:rPr>
      </w:pPr>
      <w:r w:rsidRPr="00906E2A">
        <w:rPr>
          <w:rFonts w:ascii="Arial" w:hAnsi="Arial" w:cs="Arial"/>
        </w:rPr>
        <w:t xml:space="preserve">(i) </w:t>
      </w:r>
      <w:r w:rsidRPr="00906E2A">
        <w:rPr>
          <w:rFonts w:ascii="Arial" w:hAnsi="Arial" w:cs="Arial"/>
        </w:rPr>
        <w:tab/>
        <w:t xml:space="preserve">be transcribed at the student’s expense and under conditions laid down by the Division or School, overseen by Divisional administrative staff who will ensure anonymity is maintained in the marking process (see </w:t>
      </w:r>
      <w:r w:rsidRPr="00906E2A">
        <w:rPr>
          <w:rFonts w:ascii="Arial" w:hAnsi="Arial" w:cs="Arial"/>
          <w:b/>
        </w:rPr>
        <w:t>Note 2</w:t>
      </w:r>
      <w:r w:rsidRPr="00906E2A">
        <w:rPr>
          <w:rFonts w:ascii="Arial" w:hAnsi="Arial" w:cs="Arial"/>
        </w:rPr>
        <w:t>). The transcript will be used alongside the script in marking.</w:t>
      </w:r>
    </w:p>
    <w:p w14:paraId="59A07547" w14:textId="77777777" w:rsidR="004912B9" w:rsidRPr="00906E2A" w:rsidRDefault="004912B9" w:rsidP="00537FDF">
      <w:pPr>
        <w:pStyle w:val="NormalWeb"/>
        <w:spacing w:before="0" w:beforeAutospacing="0" w:after="120" w:afterAutospacing="0"/>
        <w:ind w:left="1134" w:right="142" w:hanging="425"/>
        <w:rPr>
          <w:rFonts w:ascii="Arial" w:hAnsi="Arial" w:cs="Arial"/>
        </w:rPr>
      </w:pPr>
      <w:r w:rsidRPr="00906E2A">
        <w:rPr>
          <w:rFonts w:ascii="Arial" w:hAnsi="Arial" w:cs="Arial"/>
        </w:rPr>
        <w:t xml:space="preserve">or </w:t>
      </w:r>
    </w:p>
    <w:p w14:paraId="7BC00539" w14:textId="77777777" w:rsidR="004912B9" w:rsidRPr="00906E2A" w:rsidRDefault="004912B9" w:rsidP="00537FDF">
      <w:pPr>
        <w:pStyle w:val="ListParagraph"/>
        <w:tabs>
          <w:tab w:val="left" w:pos="426"/>
        </w:tabs>
        <w:spacing w:after="120" w:line="240" w:lineRule="auto"/>
        <w:ind w:left="1134" w:right="142" w:hanging="425"/>
        <w:contextualSpacing w:val="0"/>
        <w:rPr>
          <w:rFonts w:ascii="Arial" w:hAnsi="Arial" w:cs="Arial"/>
          <w:b/>
          <w:szCs w:val="24"/>
        </w:rPr>
      </w:pPr>
      <w:r w:rsidRPr="00906E2A">
        <w:rPr>
          <w:rFonts w:ascii="Arial" w:hAnsi="Arial" w:cs="Arial"/>
          <w:szCs w:val="24"/>
        </w:rPr>
        <w:t xml:space="preserve">(ii) </w:t>
      </w:r>
      <w:r w:rsidRPr="00906E2A">
        <w:rPr>
          <w:rFonts w:ascii="Arial" w:hAnsi="Arial" w:cs="Arial"/>
          <w:szCs w:val="24"/>
        </w:rPr>
        <w:tab/>
        <w:t xml:space="preserve">where the student has not responded to the </w:t>
      </w:r>
      <w:proofErr w:type="gramStart"/>
      <w:r w:rsidRPr="00906E2A">
        <w:rPr>
          <w:rFonts w:ascii="Arial" w:hAnsi="Arial" w:cs="Arial"/>
          <w:szCs w:val="24"/>
        </w:rPr>
        <w:t>School</w:t>
      </w:r>
      <w:proofErr w:type="gramEnd"/>
      <w:r w:rsidRPr="00906E2A">
        <w:rPr>
          <w:rFonts w:ascii="Arial" w:hAnsi="Arial" w:cs="Arial"/>
          <w:szCs w:val="24"/>
        </w:rPr>
        <w:t xml:space="preserve"> within a specified period, a mark of zero may be awarded</w:t>
      </w:r>
    </w:p>
    <w:p w14:paraId="10955325" w14:textId="1994DDC2" w:rsidR="004912B9" w:rsidRPr="00537FDF" w:rsidRDefault="004912B9" w:rsidP="00537FDF">
      <w:pPr>
        <w:tabs>
          <w:tab w:val="num" w:pos="1080"/>
        </w:tabs>
        <w:ind w:left="567" w:right="142" w:firstLine="0"/>
        <w:rPr>
          <w:szCs w:val="24"/>
        </w:rPr>
      </w:pPr>
      <w:r w:rsidRPr="00537FDF">
        <w:rPr>
          <w:szCs w:val="24"/>
        </w:rPr>
        <w:t xml:space="preserve">Note 2: (a) The School/Division shall set a short appropriate time limit for the transcription, which shall be made clear to the student. (b) </w:t>
      </w:r>
      <w:r w:rsidR="00537FDF" w:rsidRPr="00537FDF">
        <w:rPr>
          <w:szCs w:val="24"/>
        </w:rPr>
        <w:t xml:space="preserve">This </w:t>
      </w:r>
      <w:r w:rsidRPr="00537FDF">
        <w:rPr>
          <w:szCs w:val="24"/>
        </w:rPr>
        <w:t xml:space="preserve">applies to whole scripts, </w:t>
      </w:r>
      <w:proofErr w:type="gramStart"/>
      <w:r w:rsidRPr="00537FDF">
        <w:rPr>
          <w:szCs w:val="24"/>
        </w:rPr>
        <w:t>i.e.</w:t>
      </w:r>
      <w:proofErr w:type="gramEnd"/>
      <w:r w:rsidRPr="00537FDF">
        <w:rPr>
          <w:szCs w:val="24"/>
        </w:rPr>
        <w:t xml:space="preserve"> where there is a small element of an answer that has been deemed to be illegible by both the marker and the second marker/moderator a mark of zero may be entered for that element.</w:t>
      </w:r>
    </w:p>
    <w:p w14:paraId="59A31659" w14:textId="018E264C" w:rsidR="004912B9" w:rsidRPr="00537FDF" w:rsidRDefault="004912B9" w:rsidP="00537FDF">
      <w:pPr>
        <w:pStyle w:val="ListParagraph"/>
        <w:numPr>
          <w:ilvl w:val="1"/>
          <w:numId w:val="13"/>
        </w:numPr>
        <w:spacing w:after="120" w:line="240" w:lineRule="auto"/>
        <w:ind w:left="567" w:right="142" w:hanging="567"/>
        <w:contextualSpacing w:val="0"/>
        <w:rPr>
          <w:rFonts w:ascii="Arial" w:hAnsi="Arial" w:cs="Arial"/>
          <w:szCs w:val="24"/>
        </w:rPr>
      </w:pPr>
      <w:r w:rsidRPr="00537FDF">
        <w:rPr>
          <w:rFonts w:ascii="Arial" w:hAnsi="Arial" w:cs="Arial"/>
          <w:szCs w:val="24"/>
        </w:rPr>
        <w:t xml:space="preserve">For each module, except for modules within Honours degree courses for which the marks obtained do not contribute to the Honours classification, and for each student, at least 80 per cent of the work required for assessment must be marked </w:t>
      </w:r>
      <w:r w:rsidRPr="00537FDF">
        <w:rPr>
          <w:rFonts w:ascii="Arial" w:hAnsi="Arial" w:cs="Arial"/>
          <w:b/>
          <w:szCs w:val="24"/>
        </w:rPr>
        <w:t>either</w:t>
      </w:r>
      <w:r w:rsidRPr="00537FDF">
        <w:rPr>
          <w:rFonts w:ascii="Arial" w:hAnsi="Arial" w:cs="Arial"/>
          <w:szCs w:val="24"/>
        </w:rPr>
        <w:t xml:space="preserve"> by two Internal Examiners </w:t>
      </w:r>
      <w:r w:rsidRPr="00537FDF">
        <w:rPr>
          <w:rFonts w:ascii="Arial" w:hAnsi="Arial" w:cs="Arial"/>
          <w:b/>
          <w:szCs w:val="24"/>
        </w:rPr>
        <w:t>or</w:t>
      </w:r>
      <w:r w:rsidRPr="00537FDF">
        <w:rPr>
          <w:rFonts w:ascii="Arial" w:hAnsi="Arial" w:cs="Arial"/>
          <w:szCs w:val="24"/>
        </w:rPr>
        <w:t xml:space="preserve"> by one Internal Examiner subject to moderation by a second Internal Examiner in accordance with the </w:t>
      </w:r>
      <w:r w:rsidRPr="00537FDF">
        <w:rPr>
          <w:rFonts w:ascii="Arial" w:hAnsi="Arial" w:cs="Arial"/>
          <w:szCs w:val="24"/>
        </w:rPr>
        <w:lastRenderedPageBreak/>
        <w:t xml:space="preserve">requirements of section </w:t>
      </w:r>
      <w:r w:rsidR="002B25ED">
        <w:rPr>
          <w:rFonts w:ascii="Arial" w:hAnsi="Arial" w:cs="Arial"/>
          <w:szCs w:val="24"/>
        </w:rPr>
        <w:t>4</w:t>
      </w:r>
      <w:r w:rsidRPr="00537FDF">
        <w:rPr>
          <w:rFonts w:ascii="Arial" w:hAnsi="Arial" w:cs="Arial"/>
          <w:szCs w:val="24"/>
        </w:rPr>
        <w:t xml:space="preserve"> below. Marking arrangements shall be made explicit by Division or School.</w:t>
      </w:r>
    </w:p>
    <w:p w14:paraId="609D3B35" w14:textId="77777777" w:rsidR="004912B9" w:rsidRPr="00906E2A" w:rsidRDefault="004912B9" w:rsidP="004912B9">
      <w:pPr>
        <w:ind w:right="142"/>
        <w:jc w:val="both"/>
        <w:rPr>
          <w:szCs w:val="24"/>
        </w:rPr>
      </w:pPr>
    </w:p>
    <w:p w14:paraId="0AF54928" w14:textId="1A362001" w:rsidR="004912B9" w:rsidRDefault="00537FDF" w:rsidP="00EF2D64">
      <w:pPr>
        <w:pStyle w:val="Heading1"/>
      </w:pPr>
      <w:bookmarkStart w:id="3" w:name="_Toc84921489"/>
      <w:r w:rsidRPr="007D7F62">
        <w:t>Moderation</w:t>
      </w:r>
      <w:bookmarkEnd w:id="3"/>
    </w:p>
    <w:p w14:paraId="42EE92D8" w14:textId="563678B3" w:rsidR="0011144F" w:rsidRPr="0011144F" w:rsidRDefault="0011144F" w:rsidP="0011144F">
      <w:pPr>
        <w:pStyle w:val="ListParagraph"/>
        <w:spacing w:after="120" w:line="240" w:lineRule="auto"/>
        <w:ind w:left="567" w:right="142"/>
        <w:contextualSpacing w:val="0"/>
        <w:rPr>
          <w:rFonts w:ascii="Arial" w:hAnsi="Arial" w:cs="Arial"/>
          <w:szCs w:val="24"/>
        </w:rPr>
      </w:pPr>
      <w:r w:rsidRPr="00537FDF">
        <w:rPr>
          <w:rFonts w:ascii="Arial" w:hAnsi="Arial" w:cs="Arial"/>
          <w:szCs w:val="24"/>
        </w:rPr>
        <w:t xml:space="preserve">For each module, except for modules within Honours degree courses for which the marks obtained do not contribute to the Honours classification, and for each student, at least 80 per cent of the work required for assessment must be marked </w:t>
      </w:r>
      <w:r w:rsidRPr="00537FDF">
        <w:rPr>
          <w:rFonts w:ascii="Arial" w:hAnsi="Arial" w:cs="Arial"/>
          <w:b/>
          <w:szCs w:val="24"/>
        </w:rPr>
        <w:t>either</w:t>
      </w:r>
      <w:r w:rsidRPr="00537FDF">
        <w:rPr>
          <w:rFonts w:ascii="Arial" w:hAnsi="Arial" w:cs="Arial"/>
          <w:szCs w:val="24"/>
        </w:rPr>
        <w:t xml:space="preserve"> by two Internal Examiners </w:t>
      </w:r>
      <w:r w:rsidRPr="00537FDF">
        <w:rPr>
          <w:rFonts w:ascii="Arial" w:hAnsi="Arial" w:cs="Arial"/>
          <w:b/>
          <w:szCs w:val="24"/>
        </w:rPr>
        <w:t>or</w:t>
      </w:r>
      <w:r w:rsidRPr="00537FDF">
        <w:rPr>
          <w:rFonts w:ascii="Arial" w:hAnsi="Arial" w:cs="Arial"/>
          <w:szCs w:val="24"/>
        </w:rPr>
        <w:t xml:space="preserve"> by one Internal Examiner subject to moderation by a second Internal Examiner in accordance with the requirements of section</w:t>
      </w:r>
      <w:r w:rsidR="004645EA">
        <w:rPr>
          <w:rFonts w:ascii="Arial" w:hAnsi="Arial" w:cs="Arial"/>
          <w:szCs w:val="24"/>
        </w:rPr>
        <w:t>s</w:t>
      </w:r>
      <w:r w:rsidRPr="00537FDF">
        <w:rPr>
          <w:rFonts w:ascii="Arial" w:hAnsi="Arial" w:cs="Arial"/>
          <w:szCs w:val="24"/>
        </w:rPr>
        <w:t xml:space="preserve"> </w:t>
      </w:r>
      <w:r>
        <w:rPr>
          <w:rFonts w:ascii="Arial" w:hAnsi="Arial" w:cs="Arial"/>
          <w:szCs w:val="24"/>
        </w:rPr>
        <w:t>4</w:t>
      </w:r>
      <w:r>
        <w:rPr>
          <w:rFonts w:ascii="Arial" w:hAnsi="Arial" w:cs="Arial"/>
          <w:szCs w:val="24"/>
        </w:rPr>
        <w:t>.1</w:t>
      </w:r>
      <w:r w:rsidR="004645EA">
        <w:rPr>
          <w:rFonts w:ascii="Arial" w:hAnsi="Arial" w:cs="Arial"/>
          <w:szCs w:val="24"/>
        </w:rPr>
        <w:t>-4.6</w:t>
      </w:r>
      <w:r w:rsidRPr="00537FDF">
        <w:rPr>
          <w:rFonts w:ascii="Arial" w:hAnsi="Arial" w:cs="Arial"/>
          <w:szCs w:val="24"/>
        </w:rPr>
        <w:t xml:space="preserve"> below. Marking arrangements shall be made explicit by Division or School.</w:t>
      </w:r>
    </w:p>
    <w:p w14:paraId="3FCB0C0C" w14:textId="6A83EB92" w:rsidR="00D30CEE" w:rsidRDefault="00D30CEE" w:rsidP="00D30CEE">
      <w:pPr>
        <w:pStyle w:val="Heading2"/>
        <w:numPr>
          <w:ilvl w:val="1"/>
          <w:numId w:val="21"/>
        </w:numPr>
        <w:ind w:left="567" w:hanging="567"/>
      </w:pPr>
      <w:bookmarkStart w:id="4" w:name="_Toc84921490"/>
      <w:r>
        <w:t>Principles</w:t>
      </w:r>
      <w:bookmarkEnd w:id="4"/>
    </w:p>
    <w:p w14:paraId="7F044264" w14:textId="08F5264D" w:rsidR="004912B9" w:rsidRPr="00906E2A" w:rsidRDefault="004912B9" w:rsidP="00D30CEE">
      <w:pPr>
        <w:pStyle w:val="ListParagraph"/>
        <w:spacing w:after="120" w:line="240" w:lineRule="auto"/>
        <w:ind w:left="567" w:right="142"/>
        <w:contextualSpacing w:val="0"/>
        <w:rPr>
          <w:rFonts w:ascii="Arial" w:hAnsi="Arial" w:cs="Arial"/>
          <w:szCs w:val="24"/>
        </w:rPr>
      </w:pPr>
      <w:r w:rsidRPr="00906E2A">
        <w:rPr>
          <w:rFonts w:ascii="Arial" w:hAnsi="Arial" w:cs="Arial"/>
          <w:szCs w:val="24"/>
        </w:rPr>
        <w:t xml:space="preserve">Where work is subject to moderation, the moderation will be undertaken by a second Internal Examiner in accordance with the following: </w:t>
      </w:r>
    </w:p>
    <w:p w14:paraId="617405BD" w14:textId="77777777" w:rsidR="004912B9" w:rsidRPr="007841F0" w:rsidRDefault="004912B9" w:rsidP="007841F0">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moderator will review the marking of the work of ten per cent of the candidates, or of at least six candidates if there are fewer than sixty candidates in total or of all the candidates if there are fewer than six candidates in total. The scripts seen by the moderator should form a representative sample and should include those awarded the highest and the lowest marks. It is open to first markers to seek advice from the moderator on the marking of work by </w:t>
      </w:r>
      <w:proofErr w:type="gramStart"/>
      <w:r w:rsidRPr="007841F0">
        <w:rPr>
          <w:rFonts w:ascii="Arial" w:hAnsi="Arial" w:cs="Arial"/>
        </w:rPr>
        <w:t>particular candidates</w:t>
      </w:r>
      <w:proofErr w:type="gramEnd"/>
      <w:r w:rsidRPr="007841F0">
        <w:rPr>
          <w:rFonts w:ascii="Arial" w:hAnsi="Arial" w:cs="Arial"/>
        </w:rPr>
        <w:t>.</w:t>
      </w:r>
    </w:p>
    <w:p w14:paraId="3B0D16FA" w14:textId="77777777" w:rsidR="004912B9" w:rsidRPr="007841F0" w:rsidRDefault="004912B9" w:rsidP="007841F0">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moderator will vouch for the accuracy and consistency of marking. Where he or she cannot, the matter will be referred to the Chair of the Board of Examiners concerned. The Chair will arrange for all the work to be </w:t>
      </w:r>
      <w:proofErr w:type="gramStart"/>
      <w:r w:rsidRPr="007841F0">
        <w:rPr>
          <w:rFonts w:ascii="Arial" w:hAnsi="Arial" w:cs="Arial"/>
        </w:rPr>
        <w:t>double-marked</w:t>
      </w:r>
      <w:proofErr w:type="gramEnd"/>
      <w:r w:rsidRPr="007841F0">
        <w:rPr>
          <w:rFonts w:ascii="Arial" w:hAnsi="Arial" w:cs="Arial"/>
        </w:rPr>
        <w:t xml:space="preserve">, normally by the moderator, but, where the Chair deems there to be good reason, by a third party. </w:t>
      </w:r>
    </w:p>
    <w:p w14:paraId="00373D35" w14:textId="77777777" w:rsidR="004912B9" w:rsidRPr="007841F0" w:rsidRDefault="004912B9" w:rsidP="007841F0">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Where marking has been carried out by more than one marker, the sample of the scripts for moderation should be drawn from each marker. Should a concern be identified regarding the accuracy and consistency of marking undertaken by any particular marker, only that work need be referred to the Chair of the Board of Examiners for </w:t>
      </w:r>
      <w:proofErr w:type="gramStart"/>
      <w:r w:rsidRPr="007841F0">
        <w:rPr>
          <w:rFonts w:ascii="Arial" w:hAnsi="Arial" w:cs="Arial"/>
        </w:rPr>
        <w:t>double-marking</w:t>
      </w:r>
      <w:proofErr w:type="gramEnd"/>
      <w:r w:rsidRPr="007841F0">
        <w:rPr>
          <w:rFonts w:ascii="Arial" w:hAnsi="Arial" w:cs="Arial"/>
        </w:rPr>
        <w:t>.</w:t>
      </w:r>
    </w:p>
    <w:p w14:paraId="6233B933" w14:textId="77777777" w:rsidR="004912B9" w:rsidRPr="007841F0" w:rsidRDefault="004912B9" w:rsidP="007841F0">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Where differences of opinion between the first and second marker cannot in this circumstance be resolved, recourse should be made to the External Examiner.</w:t>
      </w:r>
    </w:p>
    <w:p w14:paraId="7554B40A" w14:textId="77777777" w:rsidR="004912B9" w:rsidRPr="007841F0" w:rsidRDefault="004912B9" w:rsidP="007841F0">
      <w:pPr>
        <w:pStyle w:val="ListParagraph"/>
        <w:numPr>
          <w:ilvl w:val="0"/>
          <w:numId w:val="15"/>
        </w:numPr>
        <w:spacing w:after="120" w:line="240" w:lineRule="auto"/>
        <w:ind w:left="992" w:hanging="425"/>
        <w:contextualSpacing w:val="0"/>
        <w:rPr>
          <w:rFonts w:ascii="Arial" w:hAnsi="Arial" w:cs="Arial"/>
        </w:rPr>
      </w:pPr>
      <w:r w:rsidRPr="007841F0">
        <w:rPr>
          <w:rFonts w:ascii="Arial" w:hAnsi="Arial" w:cs="Arial"/>
        </w:rPr>
        <w:t xml:space="preserve">The basis for the moderator's assessment of the accuracy and consistency of marking will be the </w:t>
      </w:r>
      <w:proofErr w:type="gramStart"/>
      <w:r w:rsidRPr="007841F0">
        <w:rPr>
          <w:rFonts w:ascii="Arial" w:hAnsi="Arial" w:cs="Arial"/>
        </w:rPr>
        <w:t>School</w:t>
      </w:r>
      <w:proofErr w:type="gramEnd"/>
      <w:r w:rsidRPr="007841F0">
        <w:rPr>
          <w:rFonts w:ascii="Arial" w:hAnsi="Arial" w:cs="Arial"/>
        </w:rPr>
        <w:t xml:space="preserve"> criteria for assessment alongside the detail of the learning objectives of the assessment modes contained in the module descriptor.</w:t>
      </w:r>
    </w:p>
    <w:p w14:paraId="298D39E6" w14:textId="5B6B777E" w:rsidR="006B3E58" w:rsidRDefault="006B3E58" w:rsidP="006B3E58">
      <w:pPr>
        <w:pStyle w:val="Heading2"/>
        <w:numPr>
          <w:ilvl w:val="1"/>
          <w:numId w:val="21"/>
        </w:numPr>
        <w:ind w:left="567" w:hanging="567"/>
      </w:pPr>
      <w:bookmarkStart w:id="5" w:name="_Toc84921491"/>
      <w:r>
        <w:lastRenderedPageBreak/>
        <w:t>Accuracy and Consistency</w:t>
      </w:r>
      <w:bookmarkEnd w:id="5"/>
      <w:r>
        <w:t xml:space="preserve"> </w:t>
      </w:r>
    </w:p>
    <w:p w14:paraId="4D8BDC0B" w14:textId="6AED2E26" w:rsidR="004912B9" w:rsidRPr="00906E2A" w:rsidRDefault="006B3E58" w:rsidP="006B3E58">
      <w:pPr>
        <w:pStyle w:val="ListParagraph"/>
        <w:spacing w:after="120" w:line="240" w:lineRule="auto"/>
        <w:ind w:left="567" w:right="142"/>
        <w:contextualSpacing w:val="0"/>
        <w:jc w:val="both"/>
        <w:rPr>
          <w:rFonts w:ascii="Arial" w:hAnsi="Arial" w:cs="Arial"/>
          <w:szCs w:val="24"/>
        </w:rPr>
      </w:pPr>
      <w:r>
        <w:rPr>
          <w:rFonts w:ascii="Arial" w:hAnsi="Arial" w:cs="Arial"/>
          <w:szCs w:val="24"/>
        </w:rPr>
        <w:t>T</w:t>
      </w:r>
      <w:r w:rsidR="004912B9" w:rsidRPr="00906E2A">
        <w:rPr>
          <w:rFonts w:ascii="Arial" w:hAnsi="Arial" w:cs="Arial"/>
          <w:szCs w:val="24"/>
        </w:rPr>
        <w:t xml:space="preserve">o ensure the accuracy and consistency of marking: </w:t>
      </w:r>
    </w:p>
    <w:p w14:paraId="098567F1" w14:textId="77777777" w:rsidR="004912B9" w:rsidRPr="007841F0" w:rsidRDefault="004912B9" w:rsidP="007841F0">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Moderation should normally be undertaken by experienced examiners. </w:t>
      </w:r>
    </w:p>
    <w:p w14:paraId="5DF14923" w14:textId="77777777" w:rsidR="004912B9" w:rsidRPr="007841F0" w:rsidRDefault="004912B9" w:rsidP="007841F0">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The </w:t>
      </w:r>
      <w:proofErr w:type="gramStart"/>
      <w:r w:rsidRPr="007841F0">
        <w:rPr>
          <w:rFonts w:ascii="Arial" w:hAnsi="Arial" w:cs="Arial"/>
        </w:rPr>
        <w:t>School</w:t>
      </w:r>
      <w:proofErr w:type="gramEnd"/>
      <w:r w:rsidRPr="007841F0">
        <w:rPr>
          <w:rFonts w:ascii="Arial" w:hAnsi="Arial" w:cs="Arial"/>
        </w:rPr>
        <w:t xml:space="preserve"> should determine whether students should be required to submit two copies of written coursework assignments. </w:t>
      </w:r>
    </w:p>
    <w:p w14:paraId="0C8FB396" w14:textId="77777777" w:rsidR="004912B9" w:rsidRPr="007841F0" w:rsidRDefault="004912B9" w:rsidP="007841F0">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Samples of work, including coursework, for all modules should be made available to the External Examiner in the subject as part of the regular examining procedure. </w:t>
      </w:r>
    </w:p>
    <w:p w14:paraId="7FE93C3B" w14:textId="77777777" w:rsidR="004912B9" w:rsidRPr="007841F0" w:rsidRDefault="004912B9" w:rsidP="007841F0">
      <w:pPr>
        <w:pStyle w:val="ListParagraph"/>
        <w:numPr>
          <w:ilvl w:val="0"/>
          <w:numId w:val="16"/>
        </w:numPr>
        <w:spacing w:after="120" w:line="240" w:lineRule="auto"/>
        <w:ind w:left="992" w:hanging="425"/>
        <w:contextualSpacing w:val="0"/>
        <w:rPr>
          <w:rFonts w:ascii="Arial" w:hAnsi="Arial" w:cs="Arial"/>
        </w:rPr>
      </w:pPr>
      <w:r w:rsidRPr="007841F0">
        <w:rPr>
          <w:rFonts w:ascii="Arial" w:hAnsi="Arial" w:cs="Arial"/>
        </w:rPr>
        <w:t xml:space="preserve">Chairs of Board of Examiners should ensure that statistical information on module marks is reviewed by the Board of Examiners to verify consistency of marking both between modules in any given year and between years. The Chair of the Board of Examiners will report to the Director of Division any instances of inconsistent marking. </w:t>
      </w:r>
    </w:p>
    <w:p w14:paraId="13DE1B3E" w14:textId="6FB13F12" w:rsidR="006B3E58" w:rsidRDefault="006B3E58" w:rsidP="006B3E58">
      <w:pPr>
        <w:pStyle w:val="Heading2"/>
        <w:numPr>
          <w:ilvl w:val="1"/>
          <w:numId w:val="21"/>
        </w:numPr>
        <w:ind w:left="567" w:hanging="567"/>
      </w:pPr>
      <w:bookmarkStart w:id="6" w:name="_Toc84921492"/>
      <w:r>
        <w:t>Adjustments to Marks</w:t>
      </w:r>
      <w:bookmarkEnd w:id="6"/>
      <w:r>
        <w:t xml:space="preserve"> </w:t>
      </w:r>
    </w:p>
    <w:p w14:paraId="15C05B11" w14:textId="28104970" w:rsidR="004912B9" w:rsidRPr="00906E2A" w:rsidRDefault="004912B9" w:rsidP="006B3E58">
      <w:pPr>
        <w:ind w:left="567" w:right="142" w:firstLine="0"/>
        <w:rPr>
          <w:szCs w:val="24"/>
        </w:rPr>
      </w:pPr>
      <w:r w:rsidRPr="00906E2A">
        <w:rPr>
          <w:szCs w:val="24"/>
        </w:rPr>
        <w:t xml:space="preserve">An External Examiner should only change a mark awarded to an individual candidate where (i) having seen all the scripts for the module in question, </w:t>
      </w:r>
      <w:r w:rsidR="007D7F62">
        <w:rPr>
          <w:szCs w:val="24"/>
        </w:rPr>
        <w:t xml:space="preserve">they have </w:t>
      </w:r>
      <w:r w:rsidRPr="00906E2A">
        <w:rPr>
          <w:szCs w:val="24"/>
        </w:rPr>
        <w:t xml:space="preserve">been invited by a Board of Examiners to consider a mark for an individual candidate, or (ii) where there is disagreement between two internal markers about the mark to be awarded. Alternatively, an External Examiner may ask that the marks for all candidates for a module be systematically adjusted where, having seen either all scripts or a sample of scripts, </w:t>
      </w:r>
      <w:r w:rsidR="007D7F62">
        <w:rPr>
          <w:szCs w:val="24"/>
        </w:rPr>
        <w:t>t</w:t>
      </w:r>
      <w:r w:rsidRPr="00906E2A">
        <w:rPr>
          <w:szCs w:val="24"/>
        </w:rPr>
        <w:t>he</w:t>
      </w:r>
      <w:r w:rsidR="007D7F62">
        <w:rPr>
          <w:szCs w:val="24"/>
        </w:rPr>
        <w:t>y</w:t>
      </w:r>
      <w:r w:rsidRPr="00906E2A">
        <w:rPr>
          <w:szCs w:val="24"/>
        </w:rPr>
        <w:t xml:space="preserve"> consider this to be appropriate.</w:t>
      </w:r>
    </w:p>
    <w:p w14:paraId="75026A1A" w14:textId="2F750575" w:rsidR="00F5581D" w:rsidRDefault="00F5581D" w:rsidP="00F5581D">
      <w:pPr>
        <w:pStyle w:val="Heading2"/>
        <w:numPr>
          <w:ilvl w:val="1"/>
          <w:numId w:val="21"/>
        </w:numPr>
        <w:ind w:left="567" w:hanging="567"/>
      </w:pPr>
      <w:bookmarkStart w:id="7" w:name="_Toc84921493"/>
      <w:r>
        <w:t xml:space="preserve">Disagreement of Mark to be </w:t>
      </w:r>
      <w:proofErr w:type="gramStart"/>
      <w:r>
        <w:t>Awarded</w:t>
      </w:r>
      <w:bookmarkEnd w:id="7"/>
      <w:proofErr w:type="gramEnd"/>
    </w:p>
    <w:p w14:paraId="2E4059DA" w14:textId="25D199B5" w:rsidR="004912B9" w:rsidRPr="00906E2A" w:rsidRDefault="004912B9" w:rsidP="00F5581D">
      <w:pPr>
        <w:ind w:left="567" w:right="142" w:firstLine="0"/>
        <w:rPr>
          <w:szCs w:val="24"/>
        </w:rPr>
      </w:pPr>
      <w:r w:rsidRPr="00906E2A">
        <w:rPr>
          <w:szCs w:val="24"/>
        </w:rPr>
        <w:t xml:space="preserve">In the case of a disagreement on the mark to be awarded for a particular module between two independent Internal Examiners, the dispute shall be referred to the appropriate Chief Examiner for resolution. Where it is still not possible to reach a resolution, the appropriate External Examiner will be the final arbiter on the matter. </w:t>
      </w:r>
    </w:p>
    <w:p w14:paraId="2D25A25C" w14:textId="3A1C5A5D" w:rsidR="00F5581D" w:rsidRDefault="00F5581D" w:rsidP="00F5581D">
      <w:pPr>
        <w:pStyle w:val="Heading2"/>
        <w:numPr>
          <w:ilvl w:val="1"/>
          <w:numId w:val="21"/>
        </w:numPr>
        <w:ind w:left="567" w:hanging="567"/>
      </w:pPr>
      <w:bookmarkStart w:id="8" w:name="_Toc84921494"/>
      <w:r>
        <w:t>External Examiner’s Right to See All Work</w:t>
      </w:r>
      <w:bookmarkEnd w:id="8"/>
      <w:r>
        <w:t xml:space="preserve"> </w:t>
      </w:r>
    </w:p>
    <w:p w14:paraId="72F85AD0" w14:textId="3486A99C" w:rsidR="004912B9" w:rsidRPr="00906E2A" w:rsidRDefault="004912B9" w:rsidP="00F5581D">
      <w:pPr>
        <w:ind w:left="567" w:right="142" w:firstLine="0"/>
        <w:rPr>
          <w:szCs w:val="24"/>
        </w:rPr>
      </w:pPr>
      <w:r w:rsidRPr="00906E2A">
        <w:rPr>
          <w:szCs w:val="24"/>
        </w:rPr>
        <w:t xml:space="preserve">The External Examiner has the right to see all work submitted for assessment except for work submitted for modules within Honours degree courses for which the marks obtained do not contribute to the Honours classification and should see at least a selection of such work. In those cases where it is agreed that the Chair of the Board of Examiners should </w:t>
      </w:r>
      <w:proofErr w:type="gramStart"/>
      <w:r w:rsidRPr="00906E2A">
        <w:rPr>
          <w:szCs w:val="24"/>
        </w:rPr>
        <w:t>make a selection of</w:t>
      </w:r>
      <w:proofErr w:type="gramEnd"/>
      <w:r w:rsidRPr="00906E2A">
        <w:rPr>
          <w:szCs w:val="24"/>
        </w:rPr>
        <w:t xml:space="preserve"> scripts to be seen by an External Examiner, the principles for such selection should be agreed in advance.</w:t>
      </w:r>
    </w:p>
    <w:p w14:paraId="470C98DE" w14:textId="33C0EDDE" w:rsidR="00F5581D" w:rsidRDefault="00F5581D" w:rsidP="00F5581D">
      <w:pPr>
        <w:pStyle w:val="Heading2"/>
        <w:numPr>
          <w:ilvl w:val="1"/>
          <w:numId w:val="21"/>
        </w:numPr>
        <w:ind w:left="567" w:hanging="567"/>
      </w:pPr>
      <w:bookmarkStart w:id="9" w:name="_Toc84921495"/>
      <w:r>
        <w:lastRenderedPageBreak/>
        <w:t>Selection of Work to be Seen</w:t>
      </w:r>
      <w:bookmarkEnd w:id="9"/>
      <w:r>
        <w:t xml:space="preserve"> </w:t>
      </w:r>
    </w:p>
    <w:p w14:paraId="4CE906E2" w14:textId="1D5E55C1" w:rsidR="004912B9" w:rsidRPr="00906E2A" w:rsidRDefault="004912B9" w:rsidP="00F5581D">
      <w:pPr>
        <w:ind w:left="567" w:right="142" w:firstLine="0"/>
        <w:rPr>
          <w:szCs w:val="24"/>
        </w:rPr>
      </w:pPr>
      <w:r w:rsidRPr="00906E2A">
        <w:rPr>
          <w:szCs w:val="24"/>
        </w:rPr>
        <w:t xml:space="preserve">Where a selection is made, External Examiners should normally see a reasonable sample of assessed work taken from each class band, and a reasonable sample of fails. </w:t>
      </w:r>
    </w:p>
    <w:p w14:paraId="0E9304BF" w14:textId="3615FF65" w:rsidR="00F5581D" w:rsidRDefault="00F5581D" w:rsidP="00F5581D">
      <w:pPr>
        <w:pStyle w:val="Heading2"/>
        <w:numPr>
          <w:ilvl w:val="1"/>
          <w:numId w:val="21"/>
        </w:numPr>
        <w:ind w:left="567" w:hanging="567"/>
      </w:pPr>
      <w:bookmarkStart w:id="10" w:name="_Toc84921496"/>
      <w:r>
        <w:t>Marks for Individual Modules</w:t>
      </w:r>
      <w:r w:rsidR="00AC04EB">
        <w:t xml:space="preserve"> – Percentages</w:t>
      </w:r>
      <w:bookmarkEnd w:id="10"/>
      <w:r w:rsidR="00AC04EB">
        <w:t xml:space="preserve"> </w:t>
      </w:r>
    </w:p>
    <w:p w14:paraId="5035C60B" w14:textId="40030691" w:rsidR="004912B9" w:rsidRDefault="004912B9" w:rsidP="00F5581D">
      <w:pPr>
        <w:ind w:left="567" w:right="142" w:firstLine="0"/>
        <w:rPr>
          <w:szCs w:val="24"/>
        </w:rPr>
      </w:pPr>
      <w:r w:rsidRPr="00906E2A">
        <w:rPr>
          <w:szCs w:val="24"/>
        </w:rPr>
        <w:t xml:space="preserve">The following percentage marks shall be used in relation to the marking of individual modules within Honours degree courses and for which the marks obtained contribute to the Honours classification except where it is agreed that a module is to be assessed on a Pass/Fail basis only (see </w:t>
      </w:r>
      <w:r w:rsidRPr="001965BE">
        <w:rPr>
          <w:szCs w:val="24"/>
        </w:rPr>
        <w:t>Note 3</w:t>
      </w:r>
      <w:r w:rsidR="00AC04EB">
        <w:rPr>
          <w:szCs w:val="24"/>
        </w:rPr>
        <w:t>, section 4.8 below</w:t>
      </w:r>
      <w:r w:rsidRPr="00906E2A">
        <w:rPr>
          <w:szCs w:val="24"/>
        </w:rPr>
        <w:t>):</w:t>
      </w:r>
    </w:p>
    <w:p w14:paraId="7784E7A5" w14:textId="74E827BE" w:rsidR="00B51CFF" w:rsidRDefault="00B51CFF" w:rsidP="00B51CFF">
      <w:pPr>
        <w:ind w:right="142" w:hanging="295"/>
        <w:jc w:val="both"/>
        <w:rPr>
          <w:szCs w:val="24"/>
        </w:rPr>
      </w:pPr>
      <w:r w:rsidRPr="00906E2A">
        <w:rPr>
          <w:szCs w:val="24"/>
        </w:rPr>
        <w:t>First Class Honours</w:t>
      </w:r>
      <w:r>
        <w:rPr>
          <w:szCs w:val="24"/>
        </w:rPr>
        <w:tab/>
      </w:r>
      <w:r>
        <w:rPr>
          <w:szCs w:val="24"/>
        </w:rPr>
        <w:tab/>
      </w:r>
      <w:r>
        <w:rPr>
          <w:szCs w:val="24"/>
        </w:rPr>
        <w:tab/>
      </w:r>
      <w:r w:rsidRPr="00906E2A">
        <w:rPr>
          <w:szCs w:val="24"/>
        </w:rPr>
        <w:t>70 and above</w:t>
      </w:r>
    </w:p>
    <w:p w14:paraId="3D77D45B" w14:textId="2047ED5A" w:rsidR="00B51CFF" w:rsidRDefault="00B51CFF" w:rsidP="00B51CFF">
      <w:pPr>
        <w:ind w:right="142" w:hanging="295"/>
        <w:jc w:val="both"/>
        <w:rPr>
          <w:szCs w:val="24"/>
        </w:rPr>
      </w:pPr>
      <w:r w:rsidRPr="00906E2A">
        <w:rPr>
          <w:szCs w:val="24"/>
        </w:rPr>
        <w:t>Upper Second Class Honours</w:t>
      </w:r>
      <w:r>
        <w:rPr>
          <w:szCs w:val="24"/>
        </w:rPr>
        <w:tab/>
      </w:r>
      <w:r w:rsidRPr="00906E2A">
        <w:rPr>
          <w:szCs w:val="24"/>
        </w:rPr>
        <w:t>60 – 69</w:t>
      </w:r>
    </w:p>
    <w:p w14:paraId="196C54CC" w14:textId="019E385F" w:rsidR="00B51CFF" w:rsidRDefault="00B51CFF" w:rsidP="00B51CFF">
      <w:pPr>
        <w:ind w:right="142" w:hanging="295"/>
        <w:jc w:val="both"/>
        <w:rPr>
          <w:szCs w:val="24"/>
        </w:rPr>
      </w:pPr>
      <w:r w:rsidRPr="00906E2A">
        <w:rPr>
          <w:szCs w:val="24"/>
        </w:rPr>
        <w:t>Lower Second Class Honours</w:t>
      </w:r>
      <w:r>
        <w:rPr>
          <w:szCs w:val="24"/>
        </w:rPr>
        <w:tab/>
      </w:r>
      <w:r w:rsidRPr="00906E2A">
        <w:rPr>
          <w:szCs w:val="24"/>
        </w:rPr>
        <w:t>50 - 59</w:t>
      </w:r>
    </w:p>
    <w:p w14:paraId="2ABFC993" w14:textId="3A83EB0D" w:rsidR="00B51CFF" w:rsidRDefault="00B51CFF" w:rsidP="00B51CFF">
      <w:pPr>
        <w:ind w:right="142" w:hanging="295"/>
        <w:jc w:val="both"/>
        <w:rPr>
          <w:szCs w:val="24"/>
        </w:rPr>
      </w:pPr>
      <w:r w:rsidRPr="00906E2A">
        <w:rPr>
          <w:szCs w:val="24"/>
        </w:rPr>
        <w:t>Third Class Honours</w:t>
      </w:r>
      <w:r>
        <w:rPr>
          <w:szCs w:val="24"/>
        </w:rPr>
        <w:tab/>
      </w:r>
      <w:r>
        <w:rPr>
          <w:szCs w:val="24"/>
        </w:rPr>
        <w:tab/>
      </w:r>
      <w:r>
        <w:rPr>
          <w:szCs w:val="24"/>
        </w:rPr>
        <w:tab/>
      </w:r>
      <w:r w:rsidRPr="00906E2A">
        <w:rPr>
          <w:szCs w:val="24"/>
        </w:rPr>
        <w:t>40 – 49</w:t>
      </w:r>
    </w:p>
    <w:p w14:paraId="67C7D9F4" w14:textId="5680580A" w:rsidR="00B51CFF" w:rsidRDefault="00B51CFF" w:rsidP="00B51CFF">
      <w:pPr>
        <w:ind w:right="142" w:hanging="295"/>
        <w:jc w:val="both"/>
        <w:rPr>
          <w:szCs w:val="24"/>
        </w:rPr>
      </w:pPr>
      <w:r w:rsidRPr="00906E2A">
        <w:rPr>
          <w:szCs w:val="24"/>
        </w:rPr>
        <w:t>Fail</w:t>
      </w:r>
      <w:r>
        <w:rPr>
          <w:szCs w:val="24"/>
        </w:rPr>
        <w:tab/>
      </w:r>
      <w:r>
        <w:rPr>
          <w:szCs w:val="24"/>
        </w:rPr>
        <w:tab/>
      </w:r>
      <w:r>
        <w:rPr>
          <w:szCs w:val="24"/>
        </w:rPr>
        <w:tab/>
      </w:r>
      <w:r>
        <w:rPr>
          <w:szCs w:val="24"/>
        </w:rPr>
        <w:tab/>
      </w:r>
      <w:r>
        <w:rPr>
          <w:szCs w:val="24"/>
        </w:rPr>
        <w:tab/>
      </w:r>
      <w:r w:rsidRPr="00906E2A">
        <w:rPr>
          <w:szCs w:val="24"/>
        </w:rPr>
        <w:t>Below 40</w:t>
      </w:r>
    </w:p>
    <w:p w14:paraId="7D0823AC" w14:textId="68B4712C" w:rsidR="00AC04EB" w:rsidRDefault="00AC04EB" w:rsidP="00AC04EB">
      <w:pPr>
        <w:pStyle w:val="Heading2"/>
        <w:numPr>
          <w:ilvl w:val="1"/>
          <w:numId w:val="21"/>
        </w:numPr>
        <w:ind w:left="567" w:hanging="567"/>
      </w:pPr>
      <w:bookmarkStart w:id="11" w:name="_Toc84921497"/>
      <w:r>
        <w:t>Marks for Individual Modules – Pass/Merit/Distinction</w:t>
      </w:r>
      <w:bookmarkEnd w:id="11"/>
    </w:p>
    <w:p w14:paraId="57D6EC23" w14:textId="0678F069" w:rsidR="004912B9" w:rsidRDefault="004912B9" w:rsidP="00AC04EB">
      <w:pPr>
        <w:ind w:left="567" w:right="142" w:firstLine="0"/>
        <w:rPr>
          <w:szCs w:val="24"/>
        </w:rPr>
      </w:pPr>
      <w:r w:rsidRPr="00906E2A">
        <w:rPr>
          <w:szCs w:val="24"/>
        </w:rPr>
        <w:t>Modules within courses for which the marks obtained contribute to qualifications</w:t>
      </w:r>
      <w:r w:rsidR="001965BE">
        <w:rPr>
          <w:szCs w:val="24"/>
        </w:rPr>
        <w:t xml:space="preserve"> that </w:t>
      </w:r>
      <w:r w:rsidRPr="00906E2A">
        <w:rPr>
          <w:szCs w:val="24"/>
        </w:rPr>
        <w:t xml:space="preserve">may be awarded with Merit and with Distinction except where it is agreed that a module is to be assessed on a Pass/Fail basis only (see </w:t>
      </w:r>
      <w:r w:rsidRPr="001965BE">
        <w:rPr>
          <w:szCs w:val="24"/>
        </w:rPr>
        <w:t>Note 3</w:t>
      </w:r>
      <w:r w:rsidR="00AC04EB">
        <w:rPr>
          <w:szCs w:val="24"/>
        </w:rPr>
        <w:t>, below</w:t>
      </w:r>
      <w:r w:rsidRPr="00906E2A">
        <w:rPr>
          <w:szCs w:val="24"/>
        </w:rPr>
        <w:t>):</w:t>
      </w:r>
    </w:p>
    <w:p w14:paraId="09C3C575" w14:textId="0D704E77" w:rsidR="00B51CFF" w:rsidRDefault="00B51CFF" w:rsidP="00B51CFF">
      <w:pPr>
        <w:ind w:right="142" w:hanging="295"/>
        <w:rPr>
          <w:szCs w:val="24"/>
        </w:rPr>
      </w:pPr>
      <w:r w:rsidRPr="00906E2A">
        <w:rPr>
          <w:szCs w:val="24"/>
        </w:rPr>
        <w:t>Distinction</w:t>
      </w:r>
      <w:r>
        <w:rPr>
          <w:szCs w:val="24"/>
        </w:rPr>
        <w:tab/>
      </w:r>
      <w:r w:rsidRPr="00906E2A">
        <w:rPr>
          <w:szCs w:val="24"/>
        </w:rPr>
        <w:t>70 and above</w:t>
      </w:r>
    </w:p>
    <w:p w14:paraId="73509253" w14:textId="69A923A7" w:rsidR="00B51CFF" w:rsidRDefault="00B51CFF" w:rsidP="00B51CFF">
      <w:pPr>
        <w:ind w:right="142" w:hanging="295"/>
        <w:rPr>
          <w:szCs w:val="24"/>
        </w:rPr>
      </w:pPr>
      <w:r w:rsidRPr="00906E2A">
        <w:rPr>
          <w:szCs w:val="24"/>
        </w:rPr>
        <w:t>Merit</w:t>
      </w:r>
      <w:r>
        <w:rPr>
          <w:szCs w:val="24"/>
        </w:rPr>
        <w:tab/>
      </w:r>
      <w:r>
        <w:rPr>
          <w:szCs w:val="24"/>
        </w:rPr>
        <w:tab/>
      </w:r>
      <w:r w:rsidRPr="00906E2A">
        <w:rPr>
          <w:szCs w:val="24"/>
        </w:rPr>
        <w:t>60 – 69</w:t>
      </w:r>
    </w:p>
    <w:p w14:paraId="4F61731B" w14:textId="743423C3" w:rsidR="00B51CFF" w:rsidRDefault="00B51CFF" w:rsidP="00B51CFF">
      <w:pPr>
        <w:ind w:right="142" w:hanging="295"/>
        <w:rPr>
          <w:szCs w:val="24"/>
        </w:rPr>
      </w:pPr>
      <w:r w:rsidRPr="00906E2A">
        <w:rPr>
          <w:szCs w:val="24"/>
        </w:rPr>
        <w:t>Pass</w:t>
      </w:r>
      <w:r>
        <w:rPr>
          <w:szCs w:val="24"/>
        </w:rPr>
        <w:tab/>
      </w:r>
      <w:r>
        <w:rPr>
          <w:szCs w:val="24"/>
        </w:rPr>
        <w:tab/>
      </w:r>
      <w:proofErr w:type="spellStart"/>
      <w:r w:rsidRPr="00906E2A">
        <w:rPr>
          <w:szCs w:val="24"/>
        </w:rPr>
        <w:t>Pass</w:t>
      </w:r>
      <w:proofErr w:type="spellEnd"/>
      <w:r w:rsidRPr="00906E2A">
        <w:rPr>
          <w:szCs w:val="24"/>
        </w:rPr>
        <w:t xml:space="preserve"> mark - 59</w:t>
      </w:r>
    </w:p>
    <w:p w14:paraId="1FB7F099" w14:textId="1E81C44B" w:rsidR="00B51CFF" w:rsidRDefault="00B51CFF" w:rsidP="00B51CFF">
      <w:pPr>
        <w:ind w:right="142" w:hanging="295"/>
        <w:rPr>
          <w:szCs w:val="24"/>
        </w:rPr>
      </w:pPr>
      <w:r w:rsidRPr="00906E2A">
        <w:rPr>
          <w:szCs w:val="24"/>
        </w:rPr>
        <w:t>Fail</w:t>
      </w:r>
      <w:r>
        <w:rPr>
          <w:szCs w:val="24"/>
        </w:rPr>
        <w:tab/>
      </w:r>
      <w:r>
        <w:rPr>
          <w:szCs w:val="24"/>
        </w:rPr>
        <w:tab/>
      </w:r>
      <w:r w:rsidRPr="00906E2A">
        <w:rPr>
          <w:szCs w:val="24"/>
        </w:rPr>
        <w:t xml:space="preserve">Below pass </w:t>
      </w:r>
      <w:proofErr w:type="gramStart"/>
      <w:r w:rsidRPr="00906E2A">
        <w:rPr>
          <w:szCs w:val="24"/>
        </w:rPr>
        <w:t>mark</w:t>
      </w:r>
      <w:proofErr w:type="gramEnd"/>
    </w:p>
    <w:p w14:paraId="099E420E" w14:textId="49012BE7" w:rsidR="004912B9" w:rsidRDefault="004912B9" w:rsidP="001965BE">
      <w:pPr>
        <w:autoSpaceDE w:val="0"/>
        <w:autoSpaceDN w:val="0"/>
        <w:adjustRightInd w:val="0"/>
        <w:ind w:left="567" w:right="142" w:firstLine="0"/>
        <w:rPr>
          <w:szCs w:val="24"/>
        </w:rPr>
      </w:pPr>
      <w:r w:rsidRPr="001965BE">
        <w:rPr>
          <w:szCs w:val="24"/>
        </w:rPr>
        <w:t>Note 3:</w:t>
      </w:r>
      <w:r w:rsidRPr="001965BE">
        <w:rPr>
          <w:b/>
          <w:szCs w:val="24"/>
        </w:rPr>
        <w:t xml:space="preserve"> </w:t>
      </w:r>
      <w:r w:rsidRPr="001965BE">
        <w:rPr>
          <w:szCs w:val="24"/>
        </w:rPr>
        <w:t>It may be appropriate for courses of study validated at other institutions by the University to operate alternative marking and classification schemes. Decisions to operate alternative marking schemes will normally require approval by the Working Group on Regulations and Conventions. The decision will be recorded in the course approval documentation. Where such a decision has been approved, courses may be exempt from the classification methods set out in this annex.</w:t>
      </w:r>
    </w:p>
    <w:p w14:paraId="4CFE08E5" w14:textId="284204C0" w:rsidR="001965BE" w:rsidRPr="001965BE" w:rsidRDefault="00B51CFF" w:rsidP="00B51CFF">
      <w:pPr>
        <w:pStyle w:val="Heading2"/>
        <w:numPr>
          <w:ilvl w:val="0"/>
          <w:numId w:val="0"/>
        </w:numPr>
        <w:ind w:left="567" w:hanging="567"/>
      </w:pPr>
      <w:bookmarkStart w:id="12" w:name="_Toc84921498"/>
      <w:r w:rsidRPr="00B51CFF">
        <w:rPr>
          <w:b w:val="0"/>
        </w:rPr>
        <w:t>4.9</w:t>
      </w:r>
      <w:r>
        <w:tab/>
      </w:r>
      <w:r w:rsidR="001965BE">
        <w:t>Special Conventions</w:t>
      </w:r>
      <w:bookmarkEnd w:id="12"/>
    </w:p>
    <w:p w14:paraId="459ADEE7" w14:textId="0AE28A86" w:rsidR="004912B9" w:rsidRDefault="004912B9" w:rsidP="00B51CFF">
      <w:pPr>
        <w:ind w:left="567" w:right="142" w:firstLine="0"/>
        <w:rPr>
          <w:szCs w:val="24"/>
        </w:rPr>
      </w:pPr>
      <w:r w:rsidRPr="00906E2A">
        <w:rPr>
          <w:szCs w:val="24"/>
        </w:rPr>
        <w:t xml:space="preserve">In the case of four-year degrees for which marks are received from other universities and used for the purpose of degree classification, Division Boards shall have Special Conventions relating to the conversion of such marks. </w:t>
      </w:r>
      <w:r w:rsidRPr="00906E2A">
        <w:rPr>
          <w:szCs w:val="24"/>
        </w:rPr>
        <w:lastRenderedPageBreak/>
        <w:t>Such special conventions should first be approved by the Working Group on Regulations and Conventions.</w:t>
      </w:r>
    </w:p>
    <w:p w14:paraId="2FE8FA91" w14:textId="6F0D1F8E" w:rsidR="007841B2" w:rsidRPr="00906E2A" w:rsidRDefault="00B51CFF" w:rsidP="00B51CFF">
      <w:pPr>
        <w:pStyle w:val="Heading2"/>
        <w:numPr>
          <w:ilvl w:val="0"/>
          <w:numId w:val="0"/>
        </w:numPr>
        <w:ind w:left="567" w:hanging="567"/>
      </w:pPr>
      <w:bookmarkStart w:id="13" w:name="_Toc84921499"/>
      <w:r w:rsidRPr="00B51CFF">
        <w:rPr>
          <w:b w:val="0"/>
        </w:rPr>
        <w:t>4.10</w:t>
      </w:r>
      <w:r w:rsidRPr="00B51CFF">
        <w:rPr>
          <w:b w:val="0"/>
        </w:rPr>
        <w:tab/>
      </w:r>
      <w:r w:rsidR="007841B2">
        <w:t>Pass Mark for Level 7 Taught Modules</w:t>
      </w:r>
      <w:bookmarkEnd w:id="13"/>
      <w:r w:rsidR="007841B2">
        <w:t xml:space="preserve"> </w:t>
      </w:r>
    </w:p>
    <w:p w14:paraId="2850AD77" w14:textId="77777777" w:rsidR="004912B9" w:rsidRPr="00906E2A" w:rsidRDefault="004912B9" w:rsidP="00B51CFF">
      <w:pPr>
        <w:pStyle w:val="ListParagraph"/>
        <w:spacing w:after="120"/>
        <w:ind w:left="567" w:right="142"/>
        <w:rPr>
          <w:rFonts w:ascii="Arial" w:hAnsi="Arial" w:cs="Arial"/>
          <w:szCs w:val="24"/>
        </w:rPr>
      </w:pPr>
      <w:r w:rsidRPr="00906E2A">
        <w:rPr>
          <w:rFonts w:ascii="Arial" w:hAnsi="Arial" w:cs="Arial"/>
          <w:szCs w:val="24"/>
        </w:rPr>
        <w:t>The pass mark</w:t>
      </w:r>
      <w:r>
        <w:rPr>
          <w:rStyle w:val="FootnoteReference"/>
          <w:rFonts w:ascii="Arial" w:hAnsi="Arial" w:cs="Arial"/>
          <w:szCs w:val="24"/>
        </w:rPr>
        <w:footnoteReference w:id="1"/>
      </w:r>
      <w:r w:rsidRPr="00906E2A">
        <w:rPr>
          <w:rFonts w:ascii="Arial" w:hAnsi="Arial" w:cs="Arial"/>
          <w:szCs w:val="24"/>
        </w:rPr>
        <w:t xml:space="preserve"> for all level 7 taught modules, regardless of course of study, </w:t>
      </w:r>
      <w:r>
        <w:rPr>
          <w:rFonts w:ascii="Arial" w:hAnsi="Arial" w:cs="Arial"/>
          <w:szCs w:val="24"/>
        </w:rPr>
        <w:t xml:space="preserve">is </w:t>
      </w:r>
      <w:r w:rsidRPr="00906E2A">
        <w:rPr>
          <w:rFonts w:ascii="Arial" w:hAnsi="Arial" w:cs="Arial"/>
          <w:szCs w:val="24"/>
        </w:rPr>
        <w:t>50</w:t>
      </w:r>
      <w:r w:rsidRPr="00906E2A">
        <w:rPr>
          <w:rStyle w:val="FootnoteReference"/>
          <w:rFonts w:ascii="Arial" w:hAnsi="Arial" w:cs="Arial"/>
          <w:szCs w:val="24"/>
        </w:rPr>
        <w:footnoteReference w:id="2"/>
      </w:r>
      <w:r w:rsidRPr="00906E2A">
        <w:rPr>
          <w:rFonts w:ascii="Arial" w:hAnsi="Arial" w:cs="Arial"/>
          <w:szCs w:val="24"/>
        </w:rPr>
        <w:t xml:space="preserve"> (refer to section 4.1.2 above</w:t>
      </w:r>
      <w:proofErr w:type="gramStart"/>
      <w:r w:rsidRPr="00906E2A">
        <w:rPr>
          <w:rFonts w:ascii="Arial" w:hAnsi="Arial" w:cs="Arial"/>
          <w:szCs w:val="24"/>
        </w:rPr>
        <w:t>) .</w:t>
      </w:r>
      <w:proofErr w:type="gramEnd"/>
      <w:r w:rsidRPr="00906E2A">
        <w:rPr>
          <w:rFonts w:ascii="Arial" w:hAnsi="Arial" w:cs="Arial"/>
          <w:szCs w:val="24"/>
        </w:rPr>
        <w:t xml:space="preserve"> </w:t>
      </w:r>
    </w:p>
    <w:p w14:paraId="3A1B7B68" w14:textId="77777777" w:rsidR="004912B9" w:rsidRPr="00906E2A" w:rsidRDefault="004912B9" w:rsidP="001965BE">
      <w:pPr>
        <w:ind w:left="567" w:right="142" w:firstLine="0"/>
        <w:rPr>
          <w:szCs w:val="24"/>
        </w:rPr>
      </w:pPr>
      <w:r w:rsidRPr="00906E2A">
        <w:rPr>
          <w:szCs w:val="24"/>
        </w:rPr>
        <w:t xml:space="preserve">The following algorithm </w:t>
      </w:r>
      <w:r>
        <w:rPr>
          <w:szCs w:val="24"/>
        </w:rPr>
        <w:t xml:space="preserve">is </w:t>
      </w:r>
      <w:r w:rsidRPr="00906E2A">
        <w:rPr>
          <w:szCs w:val="24"/>
        </w:rPr>
        <w:t xml:space="preserve">used for converting marks for level 7 modules in order that the marks map on to the 50+ marking scale in all cases where such marks </w:t>
      </w:r>
      <w:r>
        <w:rPr>
          <w:szCs w:val="24"/>
        </w:rPr>
        <w:t xml:space="preserve">were </w:t>
      </w:r>
      <w:r w:rsidRPr="00906E2A">
        <w:rPr>
          <w:szCs w:val="24"/>
        </w:rPr>
        <w:t xml:space="preserve">awarded prior to 2015-16, but will not </w:t>
      </w:r>
      <w:proofErr w:type="gramStart"/>
      <w:r w:rsidRPr="00906E2A">
        <w:rPr>
          <w:szCs w:val="24"/>
        </w:rPr>
        <w:t>make a contribution</w:t>
      </w:r>
      <w:proofErr w:type="gramEnd"/>
      <w:r w:rsidRPr="00906E2A">
        <w:rPr>
          <w:szCs w:val="24"/>
        </w:rPr>
        <w:t xml:space="preserve"> to the classification of an award until 2015-16 or thereafter: </w:t>
      </w:r>
    </w:p>
    <w:p w14:paraId="4B5A2211" w14:textId="77777777" w:rsidR="004912B9" w:rsidRPr="001965BE" w:rsidRDefault="004912B9" w:rsidP="001965BE">
      <w:pPr>
        <w:pStyle w:val="Default"/>
        <w:numPr>
          <w:ilvl w:val="0"/>
          <w:numId w:val="10"/>
        </w:numPr>
        <w:spacing w:after="120"/>
        <w:ind w:left="992" w:right="142" w:hanging="425"/>
        <w:rPr>
          <w:rFonts w:ascii="Arial" w:hAnsi="Arial" w:cs="Arial"/>
        </w:rPr>
      </w:pPr>
      <w:r w:rsidRPr="001965BE">
        <w:rPr>
          <w:rFonts w:ascii="Arial" w:hAnsi="Arial" w:cs="Arial"/>
        </w:rPr>
        <w:t xml:space="preserve">Any mark, as awarded </w:t>
      </w:r>
      <w:proofErr w:type="gramStart"/>
      <w:r w:rsidRPr="001965BE">
        <w:rPr>
          <w:rFonts w:ascii="Arial" w:hAnsi="Arial" w:cs="Arial"/>
        </w:rPr>
        <w:t>on the basis of</w:t>
      </w:r>
      <w:proofErr w:type="gramEnd"/>
      <w:r w:rsidRPr="001965BE">
        <w:rPr>
          <w:rFonts w:ascii="Arial" w:hAnsi="Arial" w:cs="Arial"/>
        </w:rPr>
        <w:t xml:space="preserve"> 40% pass, between 0% and 60% will be translated as follows: </w:t>
      </w:r>
    </w:p>
    <w:p w14:paraId="5BD9C57C" w14:textId="77777777" w:rsidR="004912B9" w:rsidRPr="001965BE" w:rsidRDefault="004912B9" w:rsidP="001965BE">
      <w:pPr>
        <w:pStyle w:val="Default"/>
        <w:numPr>
          <w:ilvl w:val="0"/>
          <w:numId w:val="10"/>
        </w:numPr>
        <w:spacing w:after="120"/>
        <w:ind w:left="992" w:right="142" w:hanging="425"/>
        <w:rPr>
          <w:rFonts w:ascii="Arial" w:hAnsi="Arial" w:cs="Arial"/>
        </w:rPr>
      </w:pPr>
      <w:r w:rsidRPr="001965BE">
        <w:rPr>
          <w:rFonts w:ascii="Arial" w:hAnsi="Arial" w:cs="Arial"/>
        </w:rPr>
        <w:t xml:space="preserve">An original mark in the range 0 to 40 will map to 0 to 50, the intermediate replacement mark will be calculated as the original mark x 5/4 </w:t>
      </w:r>
    </w:p>
    <w:p w14:paraId="4C7A01AF" w14:textId="77777777" w:rsidR="004912B9" w:rsidRPr="001965BE" w:rsidRDefault="004912B9" w:rsidP="001965BE">
      <w:pPr>
        <w:pStyle w:val="Default"/>
        <w:numPr>
          <w:ilvl w:val="0"/>
          <w:numId w:val="10"/>
        </w:numPr>
        <w:spacing w:after="120"/>
        <w:ind w:left="992" w:right="142" w:hanging="425"/>
        <w:rPr>
          <w:rFonts w:ascii="Arial" w:hAnsi="Arial" w:cs="Arial"/>
        </w:rPr>
      </w:pPr>
      <w:r w:rsidRPr="001965BE">
        <w:rPr>
          <w:rFonts w:ascii="Arial" w:hAnsi="Arial" w:cs="Arial"/>
        </w:rPr>
        <w:t xml:space="preserve">An original mark in the range 40+ to 60 will map to 50+ to 60, the intermediate replacement mark will be calculated as the (original mark)/2 + </w:t>
      </w:r>
      <w:proofErr w:type="gramStart"/>
      <w:r w:rsidRPr="001965BE">
        <w:rPr>
          <w:rFonts w:ascii="Arial" w:hAnsi="Arial" w:cs="Arial"/>
        </w:rPr>
        <w:t>30</w:t>
      </w:r>
      <w:proofErr w:type="gramEnd"/>
      <w:r w:rsidRPr="001965BE">
        <w:rPr>
          <w:rFonts w:ascii="Arial" w:hAnsi="Arial" w:cs="Arial"/>
        </w:rPr>
        <w:t xml:space="preserve"> </w:t>
      </w:r>
    </w:p>
    <w:p w14:paraId="7F9F7608" w14:textId="77777777" w:rsidR="004912B9" w:rsidRPr="001965BE" w:rsidRDefault="004912B9" w:rsidP="001965BE">
      <w:pPr>
        <w:pStyle w:val="Default"/>
        <w:numPr>
          <w:ilvl w:val="0"/>
          <w:numId w:val="10"/>
        </w:numPr>
        <w:spacing w:after="120"/>
        <w:ind w:left="992" w:right="142" w:hanging="425"/>
        <w:rPr>
          <w:rFonts w:ascii="Arial" w:hAnsi="Arial" w:cs="Arial"/>
        </w:rPr>
      </w:pPr>
      <w:r w:rsidRPr="001965BE">
        <w:rPr>
          <w:rFonts w:ascii="Arial" w:hAnsi="Arial" w:cs="Arial"/>
        </w:rPr>
        <w:t xml:space="preserve">The rounding rule (see paragraph 16 below) will be applied to the intermediate replacement mark to produce the final replacement mark. </w:t>
      </w:r>
    </w:p>
    <w:p w14:paraId="63599C4A" w14:textId="0C818E4C" w:rsidR="00425822" w:rsidRPr="00560899" w:rsidRDefault="004912B9" w:rsidP="00425822">
      <w:pPr>
        <w:pStyle w:val="Default"/>
        <w:numPr>
          <w:ilvl w:val="0"/>
          <w:numId w:val="10"/>
        </w:numPr>
        <w:spacing w:after="120"/>
        <w:ind w:left="992" w:right="142" w:hanging="425"/>
        <w:rPr>
          <w:rFonts w:ascii="Arial" w:hAnsi="Arial" w:cs="Arial"/>
        </w:rPr>
      </w:pPr>
      <w:r w:rsidRPr="00560899">
        <w:rPr>
          <w:rFonts w:ascii="Arial" w:hAnsi="Arial" w:cs="Arial"/>
        </w:rPr>
        <w:t>Final overall marks for a module that fell into the compensatable range when originally marked to a pass mark</w:t>
      </w:r>
      <w:r w:rsidRPr="00560899">
        <w:rPr>
          <w:rFonts w:ascii="Arial" w:hAnsi="Arial" w:cs="Arial"/>
          <w:i/>
        </w:rPr>
        <w:t xml:space="preserve"> </w:t>
      </w:r>
      <w:r w:rsidRPr="00560899">
        <w:rPr>
          <w:rFonts w:ascii="Arial" w:hAnsi="Arial" w:cs="Arial"/>
        </w:rPr>
        <w:t>of 40 (</w:t>
      </w:r>
      <w:proofErr w:type="gramStart"/>
      <w:r w:rsidRPr="00560899">
        <w:rPr>
          <w:rFonts w:ascii="Arial" w:hAnsi="Arial" w:cs="Arial"/>
        </w:rPr>
        <w:t>i.e.</w:t>
      </w:r>
      <w:proofErr w:type="gramEnd"/>
      <w:r w:rsidRPr="00560899">
        <w:rPr>
          <w:rFonts w:ascii="Arial" w:hAnsi="Arial" w:cs="Arial"/>
        </w:rPr>
        <w:t xml:space="preserve"> 30-39) will remain compensatable after the conversion above has been applied, even where the recalculated final replacement mark does not fall into the range 40-49. This is to ensure that no student is disadvantaged by the introduction of the higher pass mark of 50 at level 7.</w:t>
      </w:r>
    </w:p>
    <w:p w14:paraId="2BD840DB" w14:textId="77777777" w:rsidR="00425822" w:rsidRPr="001965BE" w:rsidRDefault="00425822" w:rsidP="00425822">
      <w:pPr>
        <w:pStyle w:val="Default"/>
        <w:spacing w:after="120"/>
        <w:ind w:right="142"/>
        <w:rPr>
          <w:rFonts w:ascii="Arial" w:hAnsi="Arial" w:cs="Arial"/>
          <w:i/>
        </w:rPr>
      </w:pPr>
    </w:p>
    <w:p w14:paraId="7AD99CBF" w14:textId="62D55DC3" w:rsidR="004912B9" w:rsidRPr="00906E2A" w:rsidRDefault="00B51CFF" w:rsidP="00B51CFF">
      <w:pPr>
        <w:pStyle w:val="Heading2"/>
        <w:numPr>
          <w:ilvl w:val="0"/>
          <w:numId w:val="0"/>
        </w:numPr>
        <w:ind w:left="567" w:hanging="567"/>
      </w:pPr>
      <w:bookmarkStart w:id="14" w:name="_Toc84921500"/>
      <w:r w:rsidRPr="00B51CFF">
        <w:rPr>
          <w:b w:val="0"/>
        </w:rPr>
        <w:t>4.11</w:t>
      </w:r>
      <w:r>
        <w:tab/>
      </w:r>
      <w:r w:rsidR="004912B9" w:rsidRPr="00906E2A">
        <w:t>Rounding and Display of Marks</w:t>
      </w:r>
      <w:bookmarkEnd w:id="14"/>
    </w:p>
    <w:p w14:paraId="095F3DCE" w14:textId="77777777" w:rsidR="004912B9" w:rsidRPr="00906E2A" w:rsidRDefault="004912B9" w:rsidP="00B51CFF">
      <w:pPr>
        <w:ind w:left="567" w:right="142" w:firstLine="0"/>
        <w:rPr>
          <w:szCs w:val="24"/>
        </w:rPr>
      </w:pPr>
      <w:r w:rsidRPr="00906E2A">
        <w:rPr>
          <w:szCs w:val="24"/>
        </w:rPr>
        <w:t>With respect to the rounding and display of marks, the University applies the following rubric (</w:t>
      </w:r>
      <w:proofErr w:type="gramStart"/>
      <w:r w:rsidRPr="00906E2A">
        <w:rPr>
          <w:szCs w:val="24"/>
        </w:rPr>
        <w:t>with the exception of</w:t>
      </w:r>
      <w:proofErr w:type="gramEnd"/>
      <w:r w:rsidRPr="00906E2A">
        <w:rPr>
          <w:szCs w:val="24"/>
        </w:rPr>
        <w:t xml:space="preserve"> marks recorded for HNC/D courses):</w:t>
      </w:r>
    </w:p>
    <w:p w14:paraId="5D36ABDD" w14:textId="77777777" w:rsidR="000E3C09" w:rsidRPr="000E3C09" w:rsidRDefault="000E3C09" w:rsidP="000E3C09">
      <w:pPr>
        <w:pStyle w:val="ListParagraph"/>
        <w:numPr>
          <w:ilvl w:val="0"/>
          <w:numId w:val="6"/>
        </w:numPr>
        <w:spacing w:after="120" w:line="240" w:lineRule="auto"/>
        <w:contextualSpacing w:val="0"/>
        <w:rPr>
          <w:rFonts w:ascii="Arial" w:eastAsiaTheme="minorEastAsia" w:hAnsi="Arial" w:cs="Arial"/>
        </w:rPr>
      </w:pPr>
      <w:r w:rsidRPr="000E3C09">
        <w:rPr>
          <w:rFonts w:ascii="Arial" w:eastAsia="Arial" w:hAnsi="Arial" w:cs="Arial"/>
        </w:rPr>
        <w:t xml:space="preserve">Each item of assessment for a module will make an unrounded weighted contribution to the calculation of the aggregated overall mark for the </w:t>
      </w:r>
      <w:proofErr w:type="gramStart"/>
      <w:r w:rsidRPr="000E3C09">
        <w:rPr>
          <w:rFonts w:ascii="Arial" w:eastAsia="Arial" w:hAnsi="Arial" w:cs="Arial"/>
        </w:rPr>
        <w:t>module;</w:t>
      </w:r>
      <w:proofErr w:type="gramEnd"/>
    </w:p>
    <w:p w14:paraId="156C175A" w14:textId="77777777" w:rsidR="000E3C09" w:rsidRPr="000E3C09" w:rsidRDefault="000E3C09" w:rsidP="000E3C09">
      <w:pPr>
        <w:pStyle w:val="ListParagraph"/>
        <w:numPr>
          <w:ilvl w:val="0"/>
          <w:numId w:val="6"/>
        </w:numPr>
        <w:spacing w:after="120" w:line="240" w:lineRule="auto"/>
        <w:contextualSpacing w:val="0"/>
        <w:rPr>
          <w:rFonts w:ascii="Arial" w:eastAsiaTheme="minorEastAsia" w:hAnsi="Arial" w:cs="Arial"/>
        </w:rPr>
      </w:pPr>
      <w:r w:rsidRPr="000E3C09">
        <w:rPr>
          <w:rFonts w:ascii="Arial" w:eastAsia="Arial" w:hAnsi="Arial" w:cs="Arial"/>
        </w:rPr>
        <w:t xml:space="preserve">The aggregated overall mark for the module will be rounded to the nearest </w:t>
      </w:r>
      <w:proofErr w:type="gramStart"/>
      <w:r w:rsidRPr="000E3C09">
        <w:rPr>
          <w:rFonts w:ascii="Arial" w:eastAsia="Arial" w:hAnsi="Arial" w:cs="Arial"/>
        </w:rPr>
        <w:t>integer;</w:t>
      </w:r>
      <w:proofErr w:type="gramEnd"/>
    </w:p>
    <w:p w14:paraId="6EC897E8" w14:textId="1F71217F" w:rsidR="000E3C09" w:rsidRPr="000E3C09" w:rsidRDefault="000E3C09" w:rsidP="000E3C09">
      <w:pPr>
        <w:pStyle w:val="ListParagraph"/>
        <w:numPr>
          <w:ilvl w:val="0"/>
          <w:numId w:val="6"/>
        </w:numPr>
        <w:spacing w:after="120" w:line="240" w:lineRule="auto"/>
        <w:contextualSpacing w:val="0"/>
        <w:rPr>
          <w:rFonts w:ascii="Arial" w:eastAsiaTheme="minorEastAsia" w:hAnsi="Arial" w:cs="Arial"/>
          <w:b/>
          <w:bCs/>
        </w:rPr>
      </w:pPr>
      <w:r w:rsidRPr="00560899">
        <w:rPr>
          <w:rFonts w:ascii="Arial" w:eastAsia="Arial" w:hAnsi="Arial" w:cs="Arial"/>
        </w:rPr>
        <w:lastRenderedPageBreak/>
        <w:t>Noting the exception to this rule given at point iv. below,</w:t>
      </w:r>
      <w:r w:rsidRPr="000E3C09">
        <w:rPr>
          <w:rFonts w:ascii="Arial" w:eastAsia="Arial" w:hAnsi="Arial" w:cs="Arial"/>
        </w:rPr>
        <w:t xml:space="preserve"> where the rounded aggregated overall mark for the module falls within one mark of the boundary for a </w:t>
      </w:r>
      <w:proofErr w:type="gramStart"/>
      <w:r w:rsidRPr="000E3C09">
        <w:rPr>
          <w:rFonts w:ascii="Arial" w:eastAsia="Arial" w:hAnsi="Arial" w:cs="Arial"/>
        </w:rPr>
        <w:t>higher class</w:t>
      </w:r>
      <w:proofErr w:type="gramEnd"/>
      <w:r w:rsidRPr="000E3C09">
        <w:rPr>
          <w:rFonts w:ascii="Arial" w:eastAsia="Arial" w:hAnsi="Arial" w:cs="Arial"/>
        </w:rPr>
        <w:t xml:space="preserve"> band (e.g. a rounded mark of 39, 49 [where applicable], 59, or 69), the mark will be rounded up to the nearest integer.</w:t>
      </w:r>
    </w:p>
    <w:p w14:paraId="207892AC" w14:textId="2B2D81FD" w:rsidR="000E3C09" w:rsidRPr="000E3C09" w:rsidRDefault="000E3C09" w:rsidP="000E3C09">
      <w:pPr>
        <w:pStyle w:val="ListParagraph"/>
        <w:numPr>
          <w:ilvl w:val="0"/>
          <w:numId w:val="6"/>
        </w:numPr>
        <w:spacing w:after="120" w:line="240" w:lineRule="auto"/>
        <w:contextualSpacing w:val="0"/>
        <w:rPr>
          <w:rFonts w:ascii="Arial" w:eastAsiaTheme="minorEastAsia" w:hAnsi="Arial" w:cs="Arial"/>
        </w:rPr>
      </w:pPr>
      <w:proofErr w:type="gramStart"/>
      <w:r w:rsidRPr="000E3C09">
        <w:rPr>
          <w:rFonts w:ascii="Arial" w:eastAsia="Arial" w:hAnsi="Arial" w:cs="Arial"/>
        </w:rPr>
        <w:t>With regard to</w:t>
      </w:r>
      <w:proofErr w:type="gramEnd"/>
      <w:r w:rsidRPr="000E3C09">
        <w:rPr>
          <w:rFonts w:ascii="Arial" w:eastAsia="Arial" w:hAnsi="Arial" w:cs="Arial"/>
        </w:rPr>
        <w:t xml:space="preserve"> calculating the overall mark awarded for the module as per point </w:t>
      </w:r>
      <w:r>
        <w:rPr>
          <w:rFonts w:ascii="Arial" w:eastAsia="Arial" w:hAnsi="Arial" w:cs="Arial"/>
        </w:rPr>
        <w:t>iii</w:t>
      </w:r>
      <w:r w:rsidRPr="000E3C09">
        <w:rPr>
          <w:rFonts w:ascii="Arial" w:eastAsia="Arial" w:hAnsi="Arial" w:cs="Arial"/>
        </w:rPr>
        <w:t xml:space="preserve">. above, in the scenarios where either (i) one or more elements of assessment in a module have been failed for which a pass is compulsory, or (ii) where the qualifying mark for a group of assessments that must be passed collectively has not been achieved, the module will be deemed to have been failed and the overall final mark for the module will be capped at the numerical value that is one mark lower than this pass mark and will not be rounded any further. </w:t>
      </w:r>
    </w:p>
    <w:p w14:paraId="4C9F9FD5" w14:textId="60CAD7E5" w:rsidR="000E3C09" w:rsidRPr="000E3C09" w:rsidRDefault="000E3C09" w:rsidP="000E3C09">
      <w:pPr>
        <w:pStyle w:val="ListParagraph"/>
        <w:numPr>
          <w:ilvl w:val="0"/>
          <w:numId w:val="6"/>
        </w:numPr>
        <w:spacing w:after="120" w:line="240" w:lineRule="auto"/>
        <w:contextualSpacing w:val="0"/>
        <w:rPr>
          <w:rFonts w:ascii="Arial" w:eastAsiaTheme="minorEastAsia" w:hAnsi="Arial" w:cs="Arial"/>
        </w:rPr>
      </w:pPr>
      <w:r w:rsidRPr="000E3C09">
        <w:rPr>
          <w:rFonts w:ascii="Arial" w:eastAsia="Arial" w:hAnsi="Arial" w:cs="Arial"/>
        </w:rPr>
        <w:t xml:space="preserve">The final rounded mark for the module arrived at though </w:t>
      </w:r>
      <w:r>
        <w:rPr>
          <w:rFonts w:ascii="Arial" w:eastAsia="Arial" w:hAnsi="Arial" w:cs="Arial"/>
        </w:rPr>
        <w:t xml:space="preserve">i </w:t>
      </w:r>
      <w:r w:rsidRPr="000E3C09">
        <w:rPr>
          <w:rFonts w:ascii="Arial" w:eastAsia="Arial" w:hAnsi="Arial" w:cs="Arial"/>
        </w:rPr>
        <w:t xml:space="preserve">- </w:t>
      </w:r>
      <w:r>
        <w:rPr>
          <w:rFonts w:ascii="Arial" w:eastAsia="Arial" w:hAnsi="Arial" w:cs="Arial"/>
        </w:rPr>
        <w:t>iii</w:t>
      </w:r>
      <w:r w:rsidRPr="000E3C09">
        <w:rPr>
          <w:rFonts w:ascii="Arial" w:eastAsia="Arial" w:hAnsi="Arial" w:cs="Arial"/>
        </w:rPr>
        <w:t xml:space="preserve"> above will </w:t>
      </w:r>
      <w:proofErr w:type="gramStart"/>
      <w:r w:rsidRPr="000E3C09">
        <w:rPr>
          <w:rFonts w:ascii="Arial" w:eastAsia="Arial" w:hAnsi="Arial" w:cs="Arial"/>
        </w:rPr>
        <w:t>make a contribution</w:t>
      </w:r>
      <w:proofErr w:type="gramEnd"/>
      <w:r w:rsidRPr="000E3C09">
        <w:rPr>
          <w:rFonts w:ascii="Arial" w:eastAsia="Arial" w:hAnsi="Arial" w:cs="Arial"/>
        </w:rPr>
        <w:t xml:space="preserve"> to the calculation of the final overall average course mark for classification purposes in line with the weighting allocated to the module and to the stage. </w:t>
      </w:r>
    </w:p>
    <w:p w14:paraId="0510E68B" w14:textId="139CE9C6" w:rsidR="00E1086E" w:rsidRPr="003F0CA2" w:rsidRDefault="00E1086E" w:rsidP="000E3C09">
      <w:pPr>
        <w:pStyle w:val="ListParagraph"/>
        <w:numPr>
          <w:ilvl w:val="0"/>
          <w:numId w:val="6"/>
        </w:numPr>
        <w:spacing w:after="120" w:line="240" w:lineRule="auto"/>
        <w:contextualSpacing w:val="0"/>
        <w:rPr>
          <w:rFonts w:ascii="Arial" w:eastAsiaTheme="minorEastAsia" w:hAnsi="Arial" w:cs="Arial"/>
        </w:rPr>
      </w:pPr>
      <w:r w:rsidRPr="00E1086E">
        <w:rPr>
          <w:rFonts w:ascii="Arial" w:eastAsia="Arial" w:hAnsi="Arial" w:cs="Arial"/>
        </w:rPr>
        <w:t>The final overall weighted average course mark for classification purposes should be calculated and displayed to two decimal places on composite mark screens.</w:t>
      </w:r>
    </w:p>
    <w:p w14:paraId="05C11352" w14:textId="5B0EE1B7" w:rsidR="003F0CA2" w:rsidRPr="00337065" w:rsidRDefault="003F0CA2" w:rsidP="000E3C09">
      <w:pPr>
        <w:pStyle w:val="ListParagraph"/>
        <w:numPr>
          <w:ilvl w:val="0"/>
          <w:numId w:val="6"/>
        </w:numPr>
        <w:spacing w:after="120" w:line="240" w:lineRule="auto"/>
        <w:contextualSpacing w:val="0"/>
        <w:rPr>
          <w:rFonts w:ascii="Arial" w:eastAsiaTheme="minorEastAsia" w:hAnsi="Arial" w:cs="Arial"/>
        </w:rPr>
      </w:pPr>
      <w:r w:rsidRPr="00337065">
        <w:rPr>
          <w:rFonts w:ascii="Arial" w:eastAsia="Arial" w:hAnsi="Arial" w:cs="Arial"/>
        </w:rPr>
        <w:t xml:space="preserve">Where the final overall weighted average course mark for classification purposes falls within 0.5% of the boundary for a </w:t>
      </w:r>
      <w:proofErr w:type="gramStart"/>
      <w:r w:rsidRPr="00337065">
        <w:rPr>
          <w:rFonts w:ascii="Arial" w:eastAsia="Arial" w:hAnsi="Arial" w:cs="Arial"/>
        </w:rPr>
        <w:t>higher class</w:t>
      </w:r>
      <w:proofErr w:type="gramEnd"/>
      <w:r w:rsidRPr="00337065">
        <w:rPr>
          <w:rFonts w:ascii="Arial" w:eastAsia="Arial" w:hAnsi="Arial" w:cs="Arial"/>
        </w:rPr>
        <w:t xml:space="preserve"> band (i.e. a mark that falls in the ranges of 39.50 - 39.99; 49.50 - 49.99</w:t>
      </w:r>
      <w:r w:rsidRPr="00337065">
        <w:rPr>
          <w:rStyle w:val="FootnoteReference"/>
          <w:rFonts w:ascii="Arial" w:eastAsia="Arial" w:hAnsi="Arial" w:cs="Arial"/>
        </w:rPr>
        <w:footnoteReference w:id="3"/>
      </w:r>
      <w:r w:rsidRPr="00337065">
        <w:rPr>
          <w:rFonts w:ascii="Arial" w:eastAsia="Arial" w:hAnsi="Arial" w:cs="Arial"/>
        </w:rPr>
        <w:t>; 59.50 - 59.99 or 69.50 - 69.99), it will be regarded as though rounded up to the nearest integer.</w:t>
      </w:r>
    </w:p>
    <w:p w14:paraId="38A9B39A" w14:textId="7586FA65" w:rsidR="004912B9" w:rsidRPr="00906E2A" w:rsidRDefault="004912B9" w:rsidP="000E3C09">
      <w:pPr>
        <w:pStyle w:val="ListParagraph"/>
        <w:spacing w:after="120" w:line="240" w:lineRule="auto"/>
        <w:ind w:left="993" w:right="142"/>
        <w:contextualSpacing w:val="0"/>
        <w:rPr>
          <w:rFonts w:ascii="Arial" w:hAnsi="Arial" w:cs="Arial"/>
          <w:szCs w:val="24"/>
        </w:rPr>
      </w:pPr>
      <w:r w:rsidRPr="00906E2A">
        <w:rPr>
          <w:rFonts w:ascii="Arial" w:hAnsi="Arial" w:cs="Arial"/>
          <w:szCs w:val="24"/>
        </w:rPr>
        <w:t xml:space="preserve"> </w:t>
      </w:r>
    </w:p>
    <w:p w14:paraId="1C60BC02" w14:textId="312AB006" w:rsidR="004912B9" w:rsidRPr="00906E2A" w:rsidRDefault="00B51CFF" w:rsidP="00B51CFF">
      <w:pPr>
        <w:pStyle w:val="Heading2"/>
        <w:numPr>
          <w:ilvl w:val="0"/>
          <w:numId w:val="0"/>
        </w:numPr>
        <w:ind w:left="567" w:hanging="567"/>
      </w:pPr>
      <w:bookmarkStart w:id="15" w:name="_Toc84921501"/>
      <w:r w:rsidRPr="00B51CFF">
        <w:rPr>
          <w:b w:val="0"/>
        </w:rPr>
        <w:t>4.12</w:t>
      </w:r>
      <w:r>
        <w:tab/>
      </w:r>
      <w:r w:rsidR="004912B9" w:rsidRPr="00906E2A">
        <w:t>Unfinished Examination Scripts</w:t>
      </w:r>
      <w:bookmarkEnd w:id="15"/>
    </w:p>
    <w:p w14:paraId="461964EE" w14:textId="3E0873F1" w:rsidR="004912B9" w:rsidRPr="00906E2A" w:rsidRDefault="003C516A" w:rsidP="003C516A">
      <w:pPr>
        <w:pStyle w:val="BodyText"/>
        <w:spacing w:after="120"/>
        <w:ind w:left="851" w:right="142" w:hanging="851"/>
        <w:rPr>
          <w:rFonts w:ascii="Arial" w:hAnsi="Arial" w:cs="Arial"/>
          <w:szCs w:val="24"/>
        </w:rPr>
      </w:pPr>
      <w:r w:rsidRPr="003C516A">
        <w:rPr>
          <w:rFonts w:ascii="Arial" w:hAnsi="Arial" w:cs="Arial"/>
          <w:sz w:val="22"/>
          <w:szCs w:val="24"/>
        </w:rPr>
        <w:t>4.12.1</w:t>
      </w:r>
      <w:r>
        <w:rPr>
          <w:rFonts w:ascii="Arial" w:hAnsi="Arial" w:cs="Arial"/>
          <w:szCs w:val="24"/>
        </w:rPr>
        <w:tab/>
      </w:r>
      <w:r w:rsidR="004912B9" w:rsidRPr="00906E2A">
        <w:rPr>
          <w:rFonts w:ascii="Arial" w:hAnsi="Arial" w:cs="Arial"/>
          <w:szCs w:val="24"/>
        </w:rPr>
        <w:t>Where the required number of questions on an examination paper has not been answered, the questions answered should be marked and the examiner should indicate how many questions have been answered. A mark of zero should be recorded for any missing answer and the overall mark for the paper determined in the normal way. The attention of the External Examiner, where appropriate, and the Board of Examiners should be drawn to such cases by the annotation of a ‘u’ (unfinished) against the mark given.</w:t>
      </w:r>
    </w:p>
    <w:p w14:paraId="128445A0" w14:textId="5C88C883" w:rsidR="004912B9" w:rsidRPr="00906E2A" w:rsidRDefault="003C516A" w:rsidP="003C516A">
      <w:pPr>
        <w:pStyle w:val="BodyText"/>
        <w:spacing w:after="120"/>
        <w:ind w:left="851" w:right="142" w:hanging="851"/>
        <w:rPr>
          <w:rFonts w:ascii="Arial" w:hAnsi="Arial" w:cs="Arial"/>
          <w:szCs w:val="24"/>
        </w:rPr>
      </w:pPr>
      <w:r w:rsidRPr="003C516A">
        <w:rPr>
          <w:rFonts w:ascii="Arial" w:hAnsi="Arial" w:cs="Arial"/>
          <w:sz w:val="22"/>
          <w:szCs w:val="24"/>
        </w:rPr>
        <w:t>4.12.2</w:t>
      </w:r>
      <w:r>
        <w:rPr>
          <w:rFonts w:ascii="Arial" w:hAnsi="Arial" w:cs="Arial"/>
          <w:szCs w:val="24"/>
        </w:rPr>
        <w:tab/>
      </w:r>
      <w:r w:rsidR="004912B9" w:rsidRPr="00906E2A">
        <w:rPr>
          <w:rFonts w:ascii="Arial" w:hAnsi="Arial" w:cs="Arial"/>
          <w:szCs w:val="24"/>
        </w:rPr>
        <w:t xml:space="preserve">Where a question has been started but not completed, the examiner should use discretion in judging whether the answer deserves to be marked. If the </w:t>
      </w:r>
      <w:r w:rsidR="004912B9" w:rsidRPr="00906E2A">
        <w:rPr>
          <w:rFonts w:ascii="Arial" w:hAnsi="Arial" w:cs="Arial"/>
          <w:szCs w:val="24"/>
        </w:rPr>
        <w:lastRenderedPageBreak/>
        <w:t>examiner does not award a mark, the p</w:t>
      </w:r>
      <w:r>
        <w:rPr>
          <w:rFonts w:ascii="Arial" w:hAnsi="Arial" w:cs="Arial"/>
          <w:szCs w:val="24"/>
        </w:rPr>
        <w:t>aper must be dealt with under 4.12.1</w:t>
      </w:r>
      <w:r w:rsidR="004912B9" w:rsidRPr="00906E2A">
        <w:rPr>
          <w:rFonts w:ascii="Arial" w:hAnsi="Arial" w:cs="Arial"/>
          <w:szCs w:val="24"/>
        </w:rPr>
        <w:t xml:space="preserve"> above; if a mark is awarded for the question, the mark should take account of the fact that the answer has not been completed and the overall mark for the paper should be determined in the normal way. Such a paper should not be distinguished by the annotation ’u’.</w:t>
      </w:r>
    </w:p>
    <w:p w14:paraId="147A10EC" w14:textId="6D28C2E8" w:rsidR="004912B9" w:rsidRPr="00906E2A" w:rsidRDefault="00B51CFF" w:rsidP="00B51CFF">
      <w:pPr>
        <w:pStyle w:val="Heading2"/>
        <w:numPr>
          <w:ilvl w:val="0"/>
          <w:numId w:val="0"/>
        </w:numPr>
        <w:ind w:left="567" w:hanging="567"/>
      </w:pPr>
      <w:bookmarkStart w:id="16" w:name="_Toc84921502"/>
      <w:r w:rsidRPr="00B51CFF">
        <w:rPr>
          <w:b w:val="0"/>
        </w:rPr>
        <w:t>4.13</w:t>
      </w:r>
      <w:r>
        <w:tab/>
      </w:r>
      <w:r w:rsidR="004912B9" w:rsidRPr="00906E2A">
        <w:t>Failure to Sit an Examination</w:t>
      </w:r>
      <w:bookmarkEnd w:id="16"/>
    </w:p>
    <w:p w14:paraId="29E7F059" w14:textId="77777777" w:rsidR="004912B9" w:rsidRPr="00906E2A" w:rsidRDefault="004912B9" w:rsidP="00B51CFF">
      <w:pPr>
        <w:pStyle w:val="BodyText"/>
        <w:spacing w:after="120"/>
        <w:ind w:left="567" w:right="142"/>
        <w:rPr>
          <w:rFonts w:ascii="Arial" w:hAnsi="Arial" w:cs="Arial"/>
          <w:szCs w:val="24"/>
        </w:rPr>
      </w:pPr>
      <w:r w:rsidRPr="00906E2A">
        <w:rPr>
          <w:rFonts w:ascii="Arial" w:hAnsi="Arial" w:cs="Arial"/>
          <w:szCs w:val="24"/>
        </w:rPr>
        <w:t>In the case of failure to sit an examination or submit an extended time examination paper or an extended essay which has the status of a full paper by the deadline notified, without due cause, the candidate shall be regarded as having missed the examination, and an examination mark of zero will be awarded.</w:t>
      </w:r>
    </w:p>
    <w:p w14:paraId="0702CC31" w14:textId="3260543B" w:rsidR="004912B9" w:rsidRPr="00906E2A" w:rsidRDefault="00B51CFF" w:rsidP="00B51CFF">
      <w:pPr>
        <w:pStyle w:val="Heading2"/>
        <w:numPr>
          <w:ilvl w:val="0"/>
          <w:numId w:val="0"/>
        </w:numPr>
        <w:ind w:left="567" w:hanging="567"/>
      </w:pPr>
      <w:bookmarkStart w:id="17" w:name="_Toc84921503"/>
      <w:r w:rsidRPr="00B51CFF">
        <w:rPr>
          <w:b w:val="0"/>
        </w:rPr>
        <w:t>4.14</w:t>
      </w:r>
      <w:r>
        <w:tab/>
      </w:r>
      <w:r w:rsidR="004912B9" w:rsidRPr="00906E2A">
        <w:t>Late Submission or Failure to Submit Work for Assessment</w:t>
      </w:r>
      <w:bookmarkEnd w:id="17"/>
    </w:p>
    <w:p w14:paraId="11601A9E" w14:textId="63FC91C2" w:rsidR="004912B9" w:rsidRPr="00906E2A" w:rsidRDefault="003C516A" w:rsidP="003C516A">
      <w:pPr>
        <w:ind w:left="851" w:right="142" w:hanging="851"/>
        <w:rPr>
          <w:szCs w:val="24"/>
        </w:rPr>
      </w:pPr>
      <w:r>
        <w:rPr>
          <w:szCs w:val="24"/>
        </w:rPr>
        <w:t>4.14.1</w:t>
      </w:r>
      <w:r>
        <w:rPr>
          <w:szCs w:val="24"/>
        </w:rPr>
        <w:tab/>
      </w:r>
      <w:r w:rsidR="004912B9" w:rsidRPr="00906E2A">
        <w:rPr>
          <w:szCs w:val="24"/>
        </w:rPr>
        <w:t xml:space="preserve">A deadline of the Monday of Week 28 shall be set as the deadline by which staff must return all marks for coursework. Module convenors, mindful of the institutional deadline for the return of marks and of the requirement in section 27 below to return work to students within three calendar weeks, shall be responsible for setting deadlines for the submission of items of coursework. </w:t>
      </w:r>
    </w:p>
    <w:p w14:paraId="5BCFE719" w14:textId="54A33FF6" w:rsidR="004912B9" w:rsidRPr="00906E2A" w:rsidRDefault="003C516A" w:rsidP="003C516A">
      <w:pPr>
        <w:ind w:left="851" w:right="142" w:hanging="851"/>
        <w:rPr>
          <w:szCs w:val="24"/>
        </w:rPr>
      </w:pPr>
      <w:r w:rsidRPr="003C516A">
        <w:rPr>
          <w:sz w:val="22"/>
          <w:szCs w:val="24"/>
        </w:rPr>
        <w:t>4.14.2</w:t>
      </w:r>
      <w:r w:rsidRPr="003C516A">
        <w:rPr>
          <w:sz w:val="22"/>
          <w:szCs w:val="24"/>
        </w:rPr>
        <w:tab/>
      </w:r>
      <w:r w:rsidR="004912B9" w:rsidRPr="00906E2A">
        <w:rPr>
          <w:szCs w:val="24"/>
        </w:rPr>
        <w:t>Candidates shall be required to submit work for assessment by the deadlines which shall have been notified to them.</w:t>
      </w:r>
    </w:p>
    <w:p w14:paraId="51E185B8" w14:textId="76C0E136" w:rsidR="004912B9" w:rsidRPr="007841B2" w:rsidRDefault="003C516A" w:rsidP="003C516A">
      <w:pPr>
        <w:pStyle w:val="Blockquote"/>
        <w:spacing w:before="0" w:after="120"/>
        <w:ind w:left="851" w:right="142" w:hanging="851"/>
        <w:rPr>
          <w:rStyle w:val="Emphasis"/>
          <w:rFonts w:ascii="Arial" w:hAnsi="Arial" w:cs="Arial"/>
          <w:i w:val="0"/>
          <w:szCs w:val="24"/>
        </w:rPr>
      </w:pPr>
      <w:r w:rsidRPr="003C516A">
        <w:rPr>
          <w:rStyle w:val="Emphasis"/>
          <w:rFonts w:ascii="Arial" w:hAnsi="Arial" w:cs="Arial"/>
          <w:i w:val="0"/>
          <w:sz w:val="22"/>
          <w:szCs w:val="24"/>
        </w:rPr>
        <w:t>4.14.3</w:t>
      </w:r>
      <w:r>
        <w:rPr>
          <w:rStyle w:val="Emphasis"/>
          <w:rFonts w:ascii="Arial" w:hAnsi="Arial" w:cs="Arial"/>
          <w:i w:val="0"/>
          <w:szCs w:val="24"/>
        </w:rPr>
        <w:tab/>
      </w:r>
      <w:r w:rsidR="004912B9" w:rsidRPr="007841B2">
        <w:rPr>
          <w:rStyle w:val="Emphasis"/>
          <w:rFonts w:ascii="Arial" w:hAnsi="Arial" w:cs="Arial"/>
          <w:i w:val="0"/>
          <w:szCs w:val="24"/>
        </w:rPr>
        <w:t>Note 4</w:t>
      </w:r>
      <w:r w:rsidR="004912B9" w:rsidRPr="007841B2">
        <w:rPr>
          <w:rStyle w:val="Emphasis"/>
          <w:rFonts w:ascii="Arial" w:hAnsi="Arial" w:cs="Arial"/>
          <w:b/>
          <w:i w:val="0"/>
          <w:szCs w:val="24"/>
        </w:rPr>
        <w:t>:</w:t>
      </w:r>
      <w:r w:rsidR="004912B9" w:rsidRPr="007841B2">
        <w:rPr>
          <w:rStyle w:val="Emphasis"/>
          <w:rFonts w:ascii="Arial" w:hAnsi="Arial" w:cs="Arial"/>
          <w:i w:val="0"/>
          <w:szCs w:val="24"/>
        </w:rPr>
        <w:t xml:space="preserve"> The Regulations state that if a student provides evidence of illness or other misfortune which prevented the submission of written work by the due date, the Board of the Division may extend the </w:t>
      </w:r>
      <w:proofErr w:type="gramStart"/>
      <w:r w:rsidR="004912B9" w:rsidRPr="007841B2">
        <w:rPr>
          <w:rStyle w:val="Emphasis"/>
          <w:rFonts w:ascii="Arial" w:hAnsi="Arial" w:cs="Arial"/>
          <w:i w:val="0"/>
          <w:szCs w:val="24"/>
        </w:rPr>
        <w:t>period of time</w:t>
      </w:r>
      <w:proofErr w:type="gramEnd"/>
      <w:r w:rsidR="004912B9" w:rsidRPr="007841B2">
        <w:rPr>
          <w:rStyle w:val="Emphasis"/>
          <w:rFonts w:ascii="Arial" w:hAnsi="Arial" w:cs="Arial"/>
          <w:i w:val="0"/>
          <w:szCs w:val="24"/>
        </w:rPr>
        <w:t xml:space="preserve"> for submission of the work by so long as it thinks fit.</w:t>
      </w:r>
    </w:p>
    <w:p w14:paraId="7DF84A8B" w14:textId="1087CA51" w:rsidR="004912B9" w:rsidRPr="00B51CFF" w:rsidRDefault="003C516A" w:rsidP="003C516A">
      <w:pPr>
        <w:ind w:left="851" w:right="142" w:hanging="851"/>
        <w:rPr>
          <w:szCs w:val="24"/>
        </w:rPr>
      </w:pPr>
      <w:r w:rsidRPr="003C516A">
        <w:rPr>
          <w:sz w:val="22"/>
          <w:szCs w:val="24"/>
        </w:rPr>
        <w:t>4.14.4</w:t>
      </w:r>
      <w:r>
        <w:rPr>
          <w:szCs w:val="24"/>
        </w:rPr>
        <w:tab/>
      </w:r>
      <w:r w:rsidR="004912B9" w:rsidRPr="00B51CFF">
        <w:rPr>
          <w:szCs w:val="24"/>
        </w:rPr>
        <w:t>In the case of late or non-submission of work without reasonable cause, candidates will forfeit the proportion of the total marks assigned to the piece or pieces of work in question. Where coursework is incomplete, it will be marked in accordance</w:t>
      </w:r>
      <w:r>
        <w:rPr>
          <w:szCs w:val="24"/>
        </w:rPr>
        <w:t xml:space="preserve"> with 4.12</w:t>
      </w:r>
      <w:r w:rsidR="004912B9" w:rsidRPr="00B51CFF">
        <w:rPr>
          <w:szCs w:val="24"/>
        </w:rPr>
        <w:t xml:space="preserve"> above.</w:t>
      </w:r>
    </w:p>
    <w:p w14:paraId="68192739" w14:textId="5E3C61B5" w:rsidR="004912B9" w:rsidRPr="003C516A" w:rsidRDefault="004912B9" w:rsidP="003C516A">
      <w:pPr>
        <w:pStyle w:val="ListParagraph"/>
        <w:numPr>
          <w:ilvl w:val="2"/>
          <w:numId w:val="19"/>
        </w:numPr>
        <w:spacing w:after="120" w:line="240" w:lineRule="auto"/>
        <w:ind w:left="851" w:right="142" w:hanging="851"/>
        <w:contextualSpacing w:val="0"/>
        <w:rPr>
          <w:rFonts w:ascii="Arial" w:hAnsi="Arial" w:cs="Arial"/>
          <w:szCs w:val="24"/>
        </w:rPr>
      </w:pPr>
      <w:r w:rsidRPr="003C516A">
        <w:rPr>
          <w:rFonts w:ascii="Arial" w:hAnsi="Arial" w:cs="Arial"/>
          <w:szCs w:val="24"/>
        </w:rPr>
        <w:t xml:space="preserve">In the case of failure to submit required </w:t>
      </w:r>
      <w:r w:rsidR="003C516A">
        <w:rPr>
          <w:rFonts w:ascii="Arial" w:hAnsi="Arial" w:cs="Arial"/>
          <w:szCs w:val="24"/>
        </w:rPr>
        <w:t>work</w:t>
      </w:r>
      <w:r w:rsidRPr="003C516A">
        <w:rPr>
          <w:rFonts w:ascii="Arial" w:hAnsi="Arial" w:cs="Arial"/>
          <w:szCs w:val="24"/>
        </w:rPr>
        <w:t xml:space="preserve">, a mark of zero will be recorded for that work. Where a concessionary plea is made the Concessionary Committee shall decide whether a case has been made and, if it so decides, shall proceed in accordance with </w:t>
      </w:r>
      <w:hyperlink r:id="rId12" w:anchor="annex-j" w:history="1">
        <w:r w:rsidRPr="003C516A">
          <w:rPr>
            <w:rStyle w:val="Hyperlink"/>
            <w:rFonts w:ascii="Arial" w:hAnsi="Arial" w:cs="Arial"/>
            <w:szCs w:val="24"/>
          </w:rPr>
          <w:t>Annex J</w:t>
        </w:r>
      </w:hyperlink>
      <w:r w:rsidRPr="003C516A">
        <w:rPr>
          <w:rFonts w:ascii="Arial" w:hAnsi="Arial" w:cs="Arial"/>
          <w:szCs w:val="24"/>
        </w:rPr>
        <w:t xml:space="preserve"> section 5.10.2 of the Code of Practice.</w:t>
      </w:r>
    </w:p>
    <w:p w14:paraId="0996AE01" w14:textId="1C2D4E8A" w:rsidR="004912B9" w:rsidRDefault="004912B9" w:rsidP="003C516A">
      <w:pPr>
        <w:pStyle w:val="ListParagraph"/>
        <w:numPr>
          <w:ilvl w:val="2"/>
          <w:numId w:val="19"/>
        </w:numPr>
        <w:spacing w:after="120" w:line="240" w:lineRule="auto"/>
        <w:ind w:left="851" w:right="142" w:hanging="851"/>
        <w:contextualSpacing w:val="0"/>
        <w:rPr>
          <w:rFonts w:ascii="Arial" w:hAnsi="Arial" w:cs="Arial"/>
          <w:szCs w:val="24"/>
        </w:rPr>
      </w:pPr>
      <w:r w:rsidRPr="003C516A">
        <w:rPr>
          <w:rFonts w:ascii="Arial" w:hAnsi="Arial" w:cs="Arial"/>
          <w:szCs w:val="24"/>
        </w:rPr>
        <w:t>In the case of failure to submit a required piece of coursework or a project due to illness or other reasonable cause, a mark of zero should be recorded for the missing piece of work and the final mark calculated in the normal manner. Evidence relating to the illness or other cause should be dealt with in the normal manner.</w:t>
      </w:r>
    </w:p>
    <w:p w14:paraId="112AD37C" w14:textId="77777777" w:rsidR="00365471" w:rsidRPr="003C516A" w:rsidRDefault="00365471" w:rsidP="00365471">
      <w:pPr>
        <w:pStyle w:val="ListParagraph"/>
        <w:spacing w:after="120" w:line="240" w:lineRule="auto"/>
        <w:ind w:left="851" w:right="142"/>
        <w:contextualSpacing w:val="0"/>
        <w:rPr>
          <w:rFonts w:ascii="Arial" w:hAnsi="Arial" w:cs="Arial"/>
          <w:szCs w:val="24"/>
        </w:rPr>
      </w:pPr>
    </w:p>
    <w:p w14:paraId="07796048" w14:textId="7CAC7C40" w:rsidR="00365471" w:rsidRDefault="00365471" w:rsidP="00365471">
      <w:pPr>
        <w:pStyle w:val="Heading1"/>
      </w:pPr>
      <w:bookmarkStart w:id="18" w:name="_Toc84921504"/>
      <w:r>
        <w:t>Mitigating Circumstances</w:t>
      </w:r>
      <w:bookmarkEnd w:id="18"/>
    </w:p>
    <w:p w14:paraId="6DEF66FE" w14:textId="2AA4C875" w:rsidR="004912B9" w:rsidRDefault="004912B9" w:rsidP="00365471">
      <w:pPr>
        <w:ind w:left="567" w:right="142" w:firstLine="0"/>
        <w:rPr>
          <w:szCs w:val="24"/>
        </w:rPr>
      </w:pPr>
      <w:r w:rsidRPr="00906E2A">
        <w:rPr>
          <w:szCs w:val="24"/>
        </w:rPr>
        <w:t>Where a student has failed to complete all assessment requirements for a module, for example by failing to attend an examination or failing to submit required work, but claims that this was due to illness or other mitigating circumstances, the Board of Examiners may adjust the student's overall mark for the module provided that it is satisfied that the adjusted mark properly represents the student's achievement in the module as a whole and that the student has submitted written medical or other evidence to substantiate any claim of illness or other mitigating circumstances. Marks will be adjusted normally according to objective criteria such as the exclusion of the piece or pieces of assessment affected by the illness or other mitigating circumstances from the calculation of the final module mark.</w:t>
      </w:r>
    </w:p>
    <w:p w14:paraId="0EAB08D9" w14:textId="02715923" w:rsidR="00365471" w:rsidRDefault="00365471" w:rsidP="00365471">
      <w:pPr>
        <w:ind w:left="567" w:right="142" w:firstLine="0"/>
        <w:rPr>
          <w:szCs w:val="24"/>
        </w:rPr>
      </w:pPr>
    </w:p>
    <w:p w14:paraId="51754996" w14:textId="78DE0C93" w:rsidR="00365471" w:rsidRPr="00906E2A" w:rsidRDefault="00365471" w:rsidP="00365471">
      <w:pPr>
        <w:pStyle w:val="Heading1"/>
      </w:pPr>
      <w:bookmarkStart w:id="19" w:name="_Toc84921505"/>
      <w:r>
        <w:t>Marking Late Submissions</w:t>
      </w:r>
      <w:bookmarkEnd w:id="19"/>
    </w:p>
    <w:p w14:paraId="374EA2BA" w14:textId="712D7203" w:rsidR="004912B9" w:rsidRDefault="004912B9" w:rsidP="00365471">
      <w:pPr>
        <w:ind w:left="567" w:right="142" w:firstLine="0"/>
        <w:rPr>
          <w:szCs w:val="24"/>
        </w:rPr>
      </w:pPr>
      <w:r w:rsidRPr="00906E2A">
        <w:rPr>
          <w:szCs w:val="24"/>
        </w:rPr>
        <w:t xml:space="preserve">Where a piece of coursework has been submitted late (but within a reasonable period of time, </w:t>
      </w:r>
      <w:proofErr w:type="gramStart"/>
      <w:r w:rsidRPr="00906E2A">
        <w:rPr>
          <w:szCs w:val="24"/>
        </w:rPr>
        <w:t>i.e.</w:t>
      </w:r>
      <w:proofErr w:type="gramEnd"/>
      <w:r w:rsidRPr="00906E2A">
        <w:rPr>
          <w:szCs w:val="24"/>
        </w:rPr>
        <w:t xml:space="preserve"> a week) the work in question should be marked in order for feedback to be provided to the student (as stated above, a mark of zero will be recorded for the work in question).   </w:t>
      </w:r>
    </w:p>
    <w:p w14:paraId="777BE24F" w14:textId="77777777" w:rsidR="00EF2D64" w:rsidRPr="00906E2A" w:rsidRDefault="00EF2D64" w:rsidP="00EF2D64">
      <w:pPr>
        <w:ind w:left="567" w:right="142" w:firstLine="0"/>
        <w:rPr>
          <w:szCs w:val="24"/>
        </w:rPr>
      </w:pPr>
    </w:p>
    <w:p w14:paraId="5C789788" w14:textId="2E6E6FCE" w:rsidR="004912B9" w:rsidRPr="00906E2A" w:rsidRDefault="004912B9" w:rsidP="00EF2D64">
      <w:pPr>
        <w:pStyle w:val="Heading1"/>
      </w:pPr>
      <w:bookmarkStart w:id="20" w:name="_Toc84921506"/>
      <w:r w:rsidRPr="00906E2A">
        <w:t>Return of Coursework</w:t>
      </w:r>
      <w:bookmarkEnd w:id="20"/>
      <w:r w:rsidRPr="00906E2A">
        <w:t xml:space="preserve"> </w:t>
      </w:r>
    </w:p>
    <w:p w14:paraId="195A1F9D" w14:textId="257C11B4" w:rsidR="004912B9" w:rsidRDefault="004912B9" w:rsidP="00EF2D64">
      <w:pPr>
        <w:ind w:left="567" w:right="142" w:firstLine="0"/>
        <w:rPr>
          <w:szCs w:val="24"/>
        </w:rPr>
      </w:pPr>
      <w:r w:rsidRPr="00906E2A">
        <w:rPr>
          <w:szCs w:val="24"/>
        </w:rPr>
        <w:t>Staff members will return written work that students have submitted in accordance with published requirements and deadlines unless the work is to be held for further examination as part of the assessment process. Work will normally be returned within three calendar</w:t>
      </w:r>
      <w:r w:rsidRPr="00906E2A" w:rsidDel="003130B7">
        <w:rPr>
          <w:szCs w:val="24"/>
        </w:rPr>
        <w:t xml:space="preserve"> </w:t>
      </w:r>
      <w:r w:rsidRPr="00906E2A">
        <w:rPr>
          <w:szCs w:val="24"/>
        </w:rPr>
        <w:t xml:space="preserve">weeks of the published deadline, except where this period is interrupted by the Winter or Spring vacations, in which circumstance the work in question will be returned by the end of the first week of the following term.  </w:t>
      </w:r>
    </w:p>
    <w:p w14:paraId="23BFEA34" w14:textId="77777777" w:rsidR="00EF2D64" w:rsidRPr="00906E2A" w:rsidRDefault="00EF2D64" w:rsidP="00EF2D64">
      <w:pPr>
        <w:ind w:left="567" w:right="142" w:firstLine="0"/>
        <w:rPr>
          <w:szCs w:val="24"/>
        </w:rPr>
      </w:pPr>
    </w:p>
    <w:p w14:paraId="799633F0" w14:textId="5053792F" w:rsidR="00EF2D64" w:rsidRDefault="00EF2D64" w:rsidP="00EF2D64">
      <w:pPr>
        <w:pStyle w:val="Heading1"/>
      </w:pPr>
      <w:bookmarkStart w:id="21" w:name="_Toc84921507"/>
      <w:r>
        <w:t>Variation to Deadline of Return of Marked Work</w:t>
      </w:r>
      <w:bookmarkEnd w:id="21"/>
    </w:p>
    <w:p w14:paraId="6C5F3BAB" w14:textId="598C61F1" w:rsidR="004912B9" w:rsidRPr="00906E2A" w:rsidRDefault="004912B9" w:rsidP="00EF2D64">
      <w:pPr>
        <w:ind w:left="567" w:right="142" w:firstLine="0"/>
        <w:rPr>
          <w:szCs w:val="24"/>
        </w:rPr>
      </w:pPr>
      <w:r w:rsidRPr="00906E2A">
        <w:rPr>
          <w:szCs w:val="24"/>
        </w:rPr>
        <w:t xml:space="preserve">Individual modules may be permitted a deadline for the return of marked work outside of the standard </w:t>
      </w:r>
      <w:proofErr w:type="gramStart"/>
      <w:r w:rsidRPr="00906E2A">
        <w:rPr>
          <w:szCs w:val="24"/>
        </w:rPr>
        <w:t>three week</w:t>
      </w:r>
      <w:proofErr w:type="gramEnd"/>
      <w:r w:rsidRPr="00906E2A">
        <w:rPr>
          <w:szCs w:val="24"/>
        </w:rPr>
        <w:t xml:space="preserve"> period, subject to the following:</w:t>
      </w:r>
    </w:p>
    <w:p w14:paraId="1C810C2E" w14:textId="77777777" w:rsidR="004912B9" w:rsidRPr="00906E2A" w:rsidRDefault="004912B9" w:rsidP="007841B2">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t xml:space="preserve">Any such variation will be on an exceptional basis only and must be agreed in advance by the Director of the relevant </w:t>
      </w:r>
      <w:proofErr w:type="gramStart"/>
      <w:r w:rsidRPr="00906E2A">
        <w:rPr>
          <w:rFonts w:ascii="Arial" w:hAnsi="Arial" w:cs="Arial"/>
          <w:szCs w:val="24"/>
        </w:rPr>
        <w:t>Division;</w:t>
      </w:r>
      <w:proofErr w:type="gramEnd"/>
    </w:p>
    <w:p w14:paraId="1DBCFA55" w14:textId="77777777" w:rsidR="004912B9" w:rsidRPr="00906E2A" w:rsidRDefault="004912B9" w:rsidP="007841B2">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t xml:space="preserve">The agreed variation for the return of marked work must not be excessively different from the </w:t>
      </w:r>
      <w:proofErr w:type="gramStart"/>
      <w:r w:rsidRPr="00906E2A">
        <w:rPr>
          <w:rFonts w:ascii="Arial" w:hAnsi="Arial" w:cs="Arial"/>
          <w:szCs w:val="24"/>
        </w:rPr>
        <w:t>norm;</w:t>
      </w:r>
      <w:proofErr w:type="gramEnd"/>
    </w:p>
    <w:p w14:paraId="75DC5C80" w14:textId="77777777" w:rsidR="004912B9" w:rsidRPr="00906E2A" w:rsidRDefault="004912B9" w:rsidP="007841B2">
      <w:pPr>
        <w:pStyle w:val="ListParagraph"/>
        <w:numPr>
          <w:ilvl w:val="0"/>
          <w:numId w:val="9"/>
        </w:numPr>
        <w:spacing w:after="120" w:line="240" w:lineRule="auto"/>
        <w:ind w:left="992" w:right="142" w:hanging="425"/>
        <w:contextualSpacing w:val="0"/>
        <w:rPr>
          <w:rFonts w:ascii="Arial" w:hAnsi="Arial" w:cs="Arial"/>
          <w:szCs w:val="24"/>
        </w:rPr>
      </w:pPr>
      <w:r w:rsidRPr="00906E2A">
        <w:rPr>
          <w:rFonts w:ascii="Arial" w:hAnsi="Arial" w:cs="Arial"/>
          <w:szCs w:val="24"/>
        </w:rPr>
        <w:lastRenderedPageBreak/>
        <w:t xml:space="preserve">The agreed variation for the return of marked work must be in place and students must be given clear notification of the new deadline at the commencement of the module in question. </w:t>
      </w:r>
    </w:p>
    <w:p w14:paraId="6A2C985C" w14:textId="77777777" w:rsidR="00EF2D64" w:rsidRDefault="00EF2D64" w:rsidP="007841B2">
      <w:pPr>
        <w:pStyle w:val="Heading2"/>
        <w:numPr>
          <w:ilvl w:val="0"/>
          <w:numId w:val="0"/>
        </w:numPr>
        <w:ind w:left="567"/>
      </w:pPr>
    </w:p>
    <w:p w14:paraId="08966D01" w14:textId="22D54108" w:rsidR="007841B2" w:rsidRDefault="004912B9" w:rsidP="00EF2D64">
      <w:pPr>
        <w:pStyle w:val="Heading1"/>
      </w:pPr>
      <w:bookmarkStart w:id="22" w:name="_Toc84921508"/>
      <w:r w:rsidRPr="00906E2A">
        <w:t>Examination Feedback Policy</w:t>
      </w:r>
      <w:bookmarkEnd w:id="22"/>
    </w:p>
    <w:p w14:paraId="7C9D9292" w14:textId="7168F77E" w:rsidR="004912B9" w:rsidRPr="00EF2D64" w:rsidRDefault="007841B2" w:rsidP="00EF2D64">
      <w:pPr>
        <w:pStyle w:val="ListParagraph"/>
        <w:spacing w:after="120"/>
        <w:ind w:left="567" w:right="142"/>
        <w:rPr>
          <w:rFonts w:ascii="Arial" w:hAnsi="Arial" w:cs="Arial"/>
          <w:b/>
          <w:szCs w:val="24"/>
        </w:rPr>
      </w:pPr>
      <w:r>
        <w:rPr>
          <w:rFonts w:ascii="Arial" w:hAnsi="Arial" w:cs="Arial"/>
          <w:szCs w:val="24"/>
        </w:rPr>
        <w:t>Refer to t</w:t>
      </w:r>
      <w:r w:rsidR="004912B9" w:rsidRPr="007841B2">
        <w:rPr>
          <w:rFonts w:ascii="Arial" w:hAnsi="Arial" w:cs="Arial"/>
          <w:szCs w:val="24"/>
        </w:rPr>
        <w:t xml:space="preserve">he University’s policy on </w:t>
      </w:r>
      <w:hyperlink r:id="rId13" w:history="1">
        <w:r w:rsidR="004912B9" w:rsidRPr="007841B2">
          <w:rPr>
            <w:rStyle w:val="Hyperlink"/>
            <w:rFonts w:ascii="Arial" w:hAnsi="Arial" w:cs="Arial"/>
            <w:szCs w:val="24"/>
          </w:rPr>
          <w:t>providing feedback to students on examination scripts</w:t>
        </w:r>
      </w:hyperlink>
      <w:r w:rsidR="004912B9" w:rsidRPr="007841B2">
        <w:rPr>
          <w:rFonts w:ascii="Arial" w:hAnsi="Arial" w:cs="Arial"/>
          <w:szCs w:val="24"/>
        </w:rPr>
        <w:t>.</w:t>
      </w:r>
    </w:p>
    <w:sectPr w:rsidR="004912B9" w:rsidRPr="00EF2D64"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49D2" w14:textId="77777777" w:rsidR="00586242" w:rsidRDefault="00586242" w:rsidP="002750C2">
      <w:pPr>
        <w:spacing w:after="0"/>
      </w:pPr>
      <w:r>
        <w:separator/>
      </w:r>
    </w:p>
  </w:endnote>
  <w:endnote w:type="continuationSeparator" w:id="0">
    <w:p w14:paraId="60512F40" w14:textId="77777777" w:rsidR="00586242" w:rsidRDefault="0058624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9AF1" w14:textId="15765401" w:rsidR="002750C2" w:rsidRDefault="002750C2" w:rsidP="002750C2">
    <w:pPr>
      <w:pStyle w:val="Header"/>
      <w:rPr>
        <w:noProof/>
        <w:sz w:val="20"/>
      </w:rPr>
    </w:pPr>
  </w:p>
  <w:p w14:paraId="22B5E45F" w14:textId="7432DEC9" w:rsidR="002750C2" w:rsidRDefault="002750C2" w:rsidP="002F7E36">
    <w:pPr>
      <w:pStyle w:val="Header"/>
      <w:rPr>
        <w:rStyle w:val="eop"/>
        <w:sz w:val="20"/>
        <w:szCs w:val="20"/>
      </w:rPr>
    </w:pPr>
    <w:r>
      <w:rPr>
        <w:rStyle w:val="normaltextrun"/>
        <w:sz w:val="20"/>
        <w:szCs w:val="20"/>
      </w:rPr>
      <w:t>Author: QACO</w:t>
    </w:r>
    <w:r>
      <w:rPr>
        <w:rStyle w:val="eop"/>
        <w:sz w:val="20"/>
        <w:szCs w:val="20"/>
      </w:rPr>
      <w:t> </w:t>
    </w:r>
  </w:p>
  <w:p w14:paraId="5E99A946" w14:textId="76C07E93" w:rsidR="00C64CA8" w:rsidRDefault="00C64CA8" w:rsidP="002F7E36">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D1331A">
      <w:rPr>
        <w:rStyle w:val="eop"/>
        <w:sz w:val="20"/>
        <w:szCs w:val="20"/>
      </w:rPr>
      <w:t>3</w:t>
    </w:r>
    <w:r>
      <w:rPr>
        <w:rStyle w:val="eop"/>
        <w:sz w:val="20"/>
        <w:szCs w:val="20"/>
      </w:rPr>
      <w:t>/2</w:t>
    </w:r>
    <w:r w:rsidR="00D1331A">
      <w:rPr>
        <w:rStyle w:val="eop"/>
        <w:sz w:val="20"/>
        <w:szCs w:val="20"/>
      </w:rPr>
      <w:t>4</w:t>
    </w:r>
  </w:p>
  <w:p w14:paraId="3706DBAA" w14:textId="1B5F58DD"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w:t>
    </w:r>
    <w:r w:rsidR="00D1331A">
      <w:rPr>
        <w:rStyle w:val="normaltextrun"/>
        <w:rFonts w:ascii="Arial" w:hAnsi="Arial" w:cs="Arial"/>
        <w:sz w:val="20"/>
        <w:szCs w:val="20"/>
      </w:rPr>
      <w:t>June 2023</w:t>
    </w:r>
  </w:p>
  <w:p w14:paraId="1D25E9B8" w14:textId="29BC982A" w:rsidR="002750C2" w:rsidRPr="002E0DA9" w:rsidRDefault="00B51CFF"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hyperlink r:id="rId1" w:history="1">
      <w:r w:rsidR="008D57B6">
        <w:rPr>
          <w:rStyle w:val="Hyperlink"/>
          <w:rFonts w:ascii="Arial" w:hAnsi="Arial" w:cs="Arial"/>
          <w:sz w:val="20"/>
          <w:szCs w:val="20"/>
        </w:rPr>
        <w:t>November</w:t>
      </w:r>
      <w:r w:rsidR="00D1331A" w:rsidRPr="00941788">
        <w:rPr>
          <w:rStyle w:val="Hyperlink"/>
          <w:rFonts w:ascii="Arial" w:hAnsi="Arial" w:cs="Arial"/>
          <w:sz w:val="20"/>
          <w:szCs w:val="20"/>
        </w:rPr>
        <w:t xml:space="preserve"> 2023</w:t>
      </w:r>
    </w:hyperlink>
    <w:r>
      <w:rPr>
        <w:rStyle w:val="normaltextrun"/>
        <w:rFonts w:ascii="Arial" w:hAnsi="Arial" w:cs="Arial"/>
        <w:sz w:val="20"/>
        <w:szCs w:val="20"/>
      </w:rPr>
      <w:t xml:space="preserve"> </w:t>
    </w:r>
  </w:p>
  <w:p w14:paraId="5283ECF8" w14:textId="4C5199EB" w:rsidR="002750C2" w:rsidRDefault="00B51CFF"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8D57B6">
      <w:rPr>
        <w:rStyle w:val="normaltextrun"/>
        <w:rFonts w:ascii="Arial" w:hAnsi="Arial" w:cs="Arial"/>
        <w:sz w:val="20"/>
        <w:szCs w:val="20"/>
      </w:rPr>
      <w:t>4</w:t>
    </w:r>
  </w:p>
  <w:p w14:paraId="2A26B79E" w14:textId="2D769B8A"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F07239">
      <w:rPr>
        <w:rStyle w:val="PageNumber"/>
        <w:noProof/>
        <w:sz w:val="20"/>
      </w:rPr>
      <w:t>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F07239">
      <w:rPr>
        <w:rStyle w:val="PageNumber"/>
        <w:noProof/>
        <w:sz w:val="20"/>
      </w:rPr>
      <w:t>13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A4194" w14:textId="77777777" w:rsidR="00586242" w:rsidRDefault="00586242" w:rsidP="002750C2">
      <w:pPr>
        <w:spacing w:after="0"/>
      </w:pPr>
      <w:r>
        <w:separator/>
      </w:r>
    </w:p>
  </w:footnote>
  <w:footnote w:type="continuationSeparator" w:id="0">
    <w:p w14:paraId="3F462080" w14:textId="77777777" w:rsidR="00586242" w:rsidRDefault="00586242" w:rsidP="002750C2">
      <w:pPr>
        <w:spacing w:after="0"/>
      </w:pPr>
      <w:r>
        <w:continuationSeparator/>
      </w:r>
    </w:p>
  </w:footnote>
  <w:footnote w:id="1">
    <w:p w14:paraId="70451DA9" w14:textId="77777777" w:rsidR="004912B9" w:rsidRPr="002C5D5A" w:rsidRDefault="004912B9" w:rsidP="004912B9">
      <w:pPr>
        <w:pStyle w:val="FootnoteText"/>
        <w:spacing w:before="60" w:after="60"/>
        <w:rPr>
          <w:rFonts w:ascii="Arial" w:hAnsi="Arial" w:cs="Arial"/>
          <w:sz w:val="22"/>
          <w:szCs w:val="22"/>
        </w:rPr>
      </w:pPr>
      <w:r w:rsidRPr="002C5D5A">
        <w:rPr>
          <w:rStyle w:val="FootnoteReference"/>
          <w:rFonts w:ascii="Arial" w:hAnsi="Arial" w:cs="Arial"/>
          <w:sz w:val="22"/>
          <w:szCs w:val="22"/>
        </w:rPr>
        <w:footnoteRef/>
      </w:r>
      <w:r w:rsidRPr="002C5D5A">
        <w:rPr>
          <w:rFonts w:ascii="Arial" w:hAnsi="Arial" w:cs="Arial"/>
          <w:sz w:val="22"/>
          <w:szCs w:val="22"/>
        </w:rPr>
        <w:t xml:space="preserve"> Since 2015-16</w:t>
      </w:r>
    </w:p>
  </w:footnote>
  <w:footnote w:id="2">
    <w:p w14:paraId="268FBDCE" w14:textId="77777777" w:rsidR="004912B9" w:rsidRPr="002C5D5A" w:rsidRDefault="004912B9" w:rsidP="004912B9">
      <w:pPr>
        <w:pStyle w:val="FootnoteText"/>
        <w:spacing w:before="60" w:after="60"/>
        <w:rPr>
          <w:rFonts w:ascii="Arial" w:hAnsi="Arial" w:cs="Arial"/>
          <w:sz w:val="22"/>
          <w:szCs w:val="22"/>
        </w:rPr>
      </w:pPr>
      <w:r w:rsidRPr="002C5D5A">
        <w:rPr>
          <w:rStyle w:val="FootnoteReference"/>
          <w:rFonts w:ascii="Arial" w:hAnsi="Arial" w:cs="Arial"/>
          <w:sz w:val="22"/>
          <w:szCs w:val="22"/>
        </w:rPr>
        <w:footnoteRef/>
      </w:r>
      <w:r w:rsidRPr="002C5D5A">
        <w:rPr>
          <w:rFonts w:ascii="Arial" w:hAnsi="Arial" w:cs="Arial"/>
          <w:sz w:val="22"/>
          <w:szCs w:val="22"/>
        </w:rPr>
        <w:t xml:space="preserve"> For all other taught modules (</w:t>
      </w:r>
      <w:proofErr w:type="gramStart"/>
      <w:r w:rsidRPr="002C5D5A">
        <w:rPr>
          <w:rFonts w:ascii="Arial" w:hAnsi="Arial" w:cs="Arial"/>
          <w:sz w:val="22"/>
          <w:szCs w:val="22"/>
        </w:rPr>
        <w:t>i.e.</w:t>
      </w:r>
      <w:proofErr w:type="gramEnd"/>
      <w:r w:rsidRPr="002C5D5A">
        <w:rPr>
          <w:rFonts w:ascii="Arial" w:hAnsi="Arial" w:cs="Arial"/>
          <w:sz w:val="22"/>
          <w:szCs w:val="22"/>
        </w:rPr>
        <w:t xml:space="preserve"> to level 6) the pass mark is 40. </w:t>
      </w:r>
    </w:p>
  </w:footnote>
  <w:footnote w:id="3">
    <w:p w14:paraId="64F61AC5" w14:textId="77777777" w:rsidR="003F0CA2" w:rsidRPr="00C82C16" w:rsidRDefault="003F0CA2" w:rsidP="003F0CA2">
      <w:pPr>
        <w:rPr>
          <w:sz w:val="22"/>
        </w:rPr>
      </w:pPr>
      <w:r w:rsidRPr="00C82C16">
        <w:rPr>
          <w:rStyle w:val="FootnoteReference"/>
          <w:sz w:val="22"/>
        </w:rPr>
        <w:footnoteRef/>
      </w:r>
      <w:r w:rsidRPr="00C82C16">
        <w:rPr>
          <w:sz w:val="22"/>
        </w:rPr>
        <w:t xml:space="preserve"> </w:t>
      </w:r>
      <w:r w:rsidRPr="00C82C16">
        <w:rPr>
          <w:rFonts w:eastAsia="Calibri"/>
          <w:sz w:val="22"/>
          <w:lang w:val="en-US"/>
        </w:rPr>
        <w:t xml:space="preserve">Except where a mark in the 49.5 - 49.9 range does not fall close to the boundary for an award in the higher class </w:t>
      </w:r>
      <w:proofErr w:type="gramStart"/>
      <w:r w:rsidRPr="00C82C16">
        <w:rPr>
          <w:rFonts w:eastAsia="Calibri"/>
          <w:sz w:val="22"/>
          <w:lang w:val="en-US"/>
        </w:rPr>
        <w:t>band;</w:t>
      </w:r>
      <w:proofErr w:type="gramEnd"/>
      <w:r w:rsidRPr="00C82C16">
        <w:rPr>
          <w:rFonts w:eastAsia="Calibri"/>
          <w:sz w:val="22"/>
          <w:lang w:val="en-US"/>
        </w:rPr>
        <w:t xml:space="preserve"> e.g. with respect to the classification of Stage 1 undergraduate degree courses</w:t>
      </w:r>
      <w:r>
        <w:rPr>
          <w:rFonts w:eastAsia="Calibri"/>
          <w:sz w:val="22"/>
          <w:lang w:val="en-US"/>
        </w:rPr>
        <w:t xml:space="preserve"> or for PGT awards</w:t>
      </w:r>
      <w:r w:rsidRPr="00C82C16">
        <w:rPr>
          <w:rFonts w:eastAsia="Calibri"/>
          <w:sz w:val="22"/>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2772" w14:textId="170B8954" w:rsidR="002750C2" w:rsidRDefault="000C76AE" w:rsidP="002750C2">
    <w:pPr>
      <w:pStyle w:val="Header"/>
      <w:jc w:val="right"/>
    </w:pPr>
    <w:r>
      <w:rPr>
        <w:noProof/>
      </w:rPr>
      <w:drawing>
        <wp:anchor distT="0" distB="0" distL="114300" distR="114300" simplePos="0" relativeHeight="251658240" behindDoc="0" locked="0" layoutInCell="1" allowOverlap="1" wp14:anchorId="30A01EF4" wp14:editId="6E71081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14:paraId="2139F2AE" w14:textId="4B4631FC" w:rsidR="005F4147" w:rsidRPr="00D1331A" w:rsidRDefault="00D1331A" w:rsidP="00D1331A">
    <w:pPr>
      <w:jc w:val="center"/>
      <w:rPr>
        <w:b/>
        <w:bCs/>
      </w:rPr>
    </w:pPr>
    <w:r w:rsidRPr="00D1331A">
      <w:rPr>
        <w:b/>
        <w:bCs/>
      </w:rPr>
      <w:t>Assessment Regulations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C7097"/>
    <w:multiLevelType w:val="hybridMultilevel"/>
    <w:tmpl w:val="502ACE2A"/>
    <w:lvl w:ilvl="0" w:tplc="DBBC6B40">
      <w:start w:val="1"/>
      <w:numFmt w:val="decimal"/>
      <w:lvlText w:val="%1."/>
      <w:lvlJc w:val="left"/>
      <w:pPr>
        <w:ind w:left="720" w:hanging="360"/>
      </w:pPr>
      <w:rPr>
        <w:rFonts w:ascii="Arial" w:hAnsi="Arial" w:cs="Arial" w:hint="default"/>
        <w:b/>
      </w:rPr>
    </w:lvl>
    <w:lvl w:ilvl="1" w:tplc="18E421B6">
      <w:start w:val="1"/>
      <w:numFmt w:val="lowerLetter"/>
      <w:lvlText w:val="%2."/>
      <w:lvlJc w:val="left"/>
      <w:pPr>
        <w:ind w:left="1440" w:hanging="360"/>
      </w:pPr>
    </w:lvl>
    <w:lvl w:ilvl="2" w:tplc="95020158">
      <w:start w:val="1"/>
      <w:numFmt w:val="lowerRoman"/>
      <w:lvlText w:val="%3."/>
      <w:lvlJc w:val="right"/>
      <w:pPr>
        <w:ind w:left="2160" w:hanging="180"/>
      </w:pPr>
    </w:lvl>
    <w:lvl w:ilvl="3" w:tplc="C48251FE">
      <w:start w:val="1"/>
      <w:numFmt w:val="decimal"/>
      <w:lvlText w:val="%4."/>
      <w:lvlJc w:val="left"/>
      <w:pPr>
        <w:ind w:left="2880" w:hanging="360"/>
      </w:pPr>
    </w:lvl>
    <w:lvl w:ilvl="4" w:tplc="10388CFA">
      <w:start w:val="1"/>
      <w:numFmt w:val="lowerLetter"/>
      <w:lvlText w:val="%5."/>
      <w:lvlJc w:val="left"/>
      <w:pPr>
        <w:ind w:left="3600" w:hanging="360"/>
      </w:pPr>
    </w:lvl>
    <w:lvl w:ilvl="5" w:tplc="F112D532">
      <w:start w:val="1"/>
      <w:numFmt w:val="lowerRoman"/>
      <w:lvlText w:val="%6."/>
      <w:lvlJc w:val="right"/>
      <w:pPr>
        <w:ind w:left="4320" w:hanging="180"/>
      </w:pPr>
    </w:lvl>
    <w:lvl w:ilvl="6" w:tplc="72D6D708">
      <w:start w:val="1"/>
      <w:numFmt w:val="decimal"/>
      <w:lvlText w:val="%7."/>
      <w:lvlJc w:val="left"/>
      <w:pPr>
        <w:ind w:left="5040" w:hanging="360"/>
      </w:pPr>
    </w:lvl>
    <w:lvl w:ilvl="7" w:tplc="D30C0736">
      <w:start w:val="1"/>
      <w:numFmt w:val="lowerLetter"/>
      <w:lvlText w:val="%8."/>
      <w:lvlJc w:val="left"/>
      <w:pPr>
        <w:ind w:left="5760" w:hanging="360"/>
      </w:pPr>
    </w:lvl>
    <w:lvl w:ilvl="8" w:tplc="1AA81CEA">
      <w:start w:val="1"/>
      <w:numFmt w:val="lowerRoman"/>
      <w:lvlText w:val="%9."/>
      <w:lvlJc w:val="right"/>
      <w:pPr>
        <w:ind w:left="6480" w:hanging="180"/>
      </w:pPr>
    </w:lvl>
  </w:abstractNum>
  <w:abstractNum w:abstractNumId="2" w15:restartNumberingAfterBreak="0">
    <w:nsid w:val="007822F2"/>
    <w:multiLevelType w:val="multilevel"/>
    <w:tmpl w:val="F6024E94"/>
    <w:lvl w:ilvl="0">
      <w:start w:val="1"/>
      <w:numFmt w:val="decimal"/>
      <w:lvlText w:val="1%1"/>
      <w:lvlJc w:val="left"/>
      <w:pPr>
        <w:tabs>
          <w:tab w:val="num" w:pos="720"/>
        </w:tabs>
        <w:ind w:left="720" w:hanging="720"/>
      </w:pPr>
      <w:rPr>
        <w:rFonts w:hint="default"/>
        <w:b w:val="0"/>
        <w:i w:val="0"/>
        <w:sz w:val="20"/>
        <w:szCs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F2111F8"/>
    <w:multiLevelType w:val="hybridMultilevel"/>
    <w:tmpl w:val="7C94DB3C"/>
    <w:lvl w:ilvl="0" w:tplc="3042DA8E">
      <w:start w:val="1"/>
      <w:numFmt w:val="decimal"/>
      <w:lvlText w:val="2.%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20996"/>
    <w:multiLevelType w:val="hybridMultilevel"/>
    <w:tmpl w:val="4D7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0336C"/>
    <w:multiLevelType w:val="multilevel"/>
    <w:tmpl w:val="07A6E97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2F8376F"/>
    <w:multiLevelType w:val="hybridMultilevel"/>
    <w:tmpl w:val="C846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2FB9"/>
    <w:multiLevelType w:val="hybridMultilevel"/>
    <w:tmpl w:val="BACA4FEC"/>
    <w:lvl w:ilvl="0" w:tplc="5FC4437C">
      <w:start w:val="1"/>
      <w:numFmt w:val="decimal"/>
      <w:lvlText w:val="4.%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0335F"/>
    <w:multiLevelType w:val="hybridMultilevel"/>
    <w:tmpl w:val="FD681738"/>
    <w:lvl w:ilvl="0" w:tplc="5122FF36">
      <w:start w:val="1"/>
      <w:numFmt w:val="decimal"/>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6421DB"/>
    <w:multiLevelType w:val="hybridMultilevel"/>
    <w:tmpl w:val="21E2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63256"/>
    <w:multiLevelType w:val="hybridMultilevel"/>
    <w:tmpl w:val="9DFA2CE2"/>
    <w:lvl w:ilvl="0" w:tplc="FFFFFFFF">
      <w:numFmt w:val="bullet"/>
      <w:lvlText w:val=""/>
      <w:legacy w:legacy="1" w:legacySpace="0" w:legacyIndent="360"/>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3C246665"/>
    <w:multiLevelType w:val="hybridMultilevel"/>
    <w:tmpl w:val="E87A1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7373A84"/>
    <w:multiLevelType w:val="multilevel"/>
    <w:tmpl w:val="216EEE7C"/>
    <w:lvl w:ilvl="0">
      <w:start w:val="1"/>
      <w:numFmt w:val="decimal"/>
      <w:lvlText w:val="4.%1"/>
      <w:lvlJc w:val="left"/>
      <w:pPr>
        <w:tabs>
          <w:tab w:val="num" w:pos="720"/>
        </w:tabs>
        <w:ind w:left="720" w:hanging="720"/>
      </w:pPr>
      <w:rPr>
        <w:rFonts w:hint="default"/>
        <w:b w:val="0"/>
        <w:i w:val="0"/>
        <w:sz w:val="20"/>
        <w:szCs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B6234DB"/>
    <w:multiLevelType w:val="multilevel"/>
    <w:tmpl w:val="1408FCE6"/>
    <w:lvl w:ilvl="0">
      <w:start w:val="1"/>
      <w:numFmt w:val="decimal"/>
      <w:lvlText w:val="%1."/>
      <w:lvlJc w:val="left"/>
      <w:pPr>
        <w:ind w:left="566" w:firstLine="0"/>
      </w:pPr>
      <w:rPr>
        <w:rFonts w:ascii="Arial" w:eastAsiaTheme="majorEastAsia" w:hAnsi="Arial" w:cstheme="majorBidi" w:hint="default"/>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firstLine="0"/>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firstLine="0"/>
      </w:pPr>
      <w:rPr>
        <w:rFonts w:ascii="Arial" w:eastAsia="Arial" w:hAnsi="Arial" w:cs="Arial" w:hint="default"/>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firstLine="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DF509B"/>
    <w:multiLevelType w:val="hybridMultilevel"/>
    <w:tmpl w:val="5352D548"/>
    <w:lvl w:ilvl="0" w:tplc="29B8D162">
      <w:start w:val="4"/>
      <w:numFmt w:val="decimal"/>
      <w:pStyle w:val="Heading2"/>
      <w:lvlText w:val="2.%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1437E"/>
    <w:multiLevelType w:val="multilevel"/>
    <w:tmpl w:val="48D21C52"/>
    <w:lvl w:ilvl="0">
      <w:start w:val="1"/>
      <w:numFmt w:val="decimal"/>
      <w:pStyle w:val="Heading1"/>
      <w:lvlText w:val="%1"/>
      <w:lvlJc w:val="left"/>
      <w:pPr>
        <w:ind w:left="1020" w:hanging="360"/>
      </w:pPr>
      <w:rPr>
        <w:rFonts w:hint="default"/>
      </w:rPr>
    </w:lvl>
    <w:lvl w:ilvl="1">
      <w:start w:val="1"/>
      <w:numFmt w:val="decimal"/>
      <w:isLgl/>
      <w:lvlText w:val="%1.%2"/>
      <w:lvlJc w:val="left"/>
      <w:pPr>
        <w:ind w:left="1020" w:hanging="360"/>
      </w:pPr>
      <w:rPr>
        <w:rFonts w:hint="default"/>
        <w:b w:val="0"/>
        <w:bCs/>
      </w:rPr>
    </w:lvl>
    <w:lvl w:ilvl="2">
      <w:start w:val="1"/>
      <w:numFmt w:val="decimal"/>
      <w:isLgl/>
      <w:lvlText w:val="%1.%2.%3"/>
      <w:lvlJc w:val="left"/>
      <w:pPr>
        <w:ind w:left="138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460" w:hanging="1800"/>
      </w:pPr>
      <w:rPr>
        <w:rFonts w:hint="default"/>
      </w:rPr>
    </w:lvl>
    <w:lvl w:ilvl="8">
      <w:start w:val="1"/>
      <w:numFmt w:val="decimal"/>
      <w:isLgl/>
      <w:lvlText w:val="%1.%2.%3.%4.%5.%6.%7.%8.%9"/>
      <w:lvlJc w:val="left"/>
      <w:pPr>
        <w:ind w:left="2460" w:hanging="1800"/>
      </w:pPr>
      <w:rPr>
        <w:rFonts w:hint="default"/>
      </w:rPr>
    </w:lvl>
  </w:abstractNum>
  <w:abstractNum w:abstractNumId="17" w15:restartNumberingAfterBreak="0">
    <w:nsid w:val="5AD67C78"/>
    <w:multiLevelType w:val="hybridMultilevel"/>
    <w:tmpl w:val="A0FEAC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4731D"/>
    <w:multiLevelType w:val="multilevel"/>
    <w:tmpl w:val="516E3FA4"/>
    <w:lvl w:ilvl="0">
      <w:start w:val="4"/>
      <w:numFmt w:val="decimal"/>
      <w:lvlText w:val="%1"/>
      <w:lvlJc w:val="left"/>
      <w:pPr>
        <w:ind w:left="660" w:hanging="660"/>
      </w:pPr>
      <w:rPr>
        <w:rFonts w:hint="default"/>
        <w:b/>
      </w:rPr>
    </w:lvl>
    <w:lvl w:ilvl="1">
      <w:start w:val="14"/>
      <w:numFmt w:val="decimal"/>
      <w:lvlText w:val="%1.%2"/>
      <w:lvlJc w:val="left"/>
      <w:pPr>
        <w:ind w:left="943" w:hanging="660"/>
      </w:pPr>
      <w:rPr>
        <w:rFonts w:hint="default"/>
      </w:rPr>
    </w:lvl>
    <w:lvl w:ilvl="2">
      <w:start w:val="5"/>
      <w:numFmt w:val="decimal"/>
      <w:lvlText w:val="%1.%2.%3"/>
      <w:lvlJc w:val="left"/>
      <w:pPr>
        <w:ind w:left="1286" w:hanging="720"/>
      </w:pPr>
      <w:rPr>
        <w:rFonts w:hint="default"/>
        <w:sz w:val="22"/>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66BE608D"/>
    <w:multiLevelType w:val="multilevel"/>
    <w:tmpl w:val="8DA4761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29049A5"/>
    <w:multiLevelType w:val="multilevel"/>
    <w:tmpl w:val="ABD47360"/>
    <w:lvl w:ilvl="0">
      <w:start w:val="3"/>
      <w:numFmt w:val="decimal"/>
      <w:lvlText w:val="4.%1"/>
      <w:lvlJc w:val="left"/>
      <w:pPr>
        <w:tabs>
          <w:tab w:val="num" w:pos="720"/>
        </w:tabs>
        <w:ind w:left="720" w:hanging="720"/>
      </w:pPr>
      <w:rPr>
        <w:rFonts w:hint="default"/>
        <w:b w:val="0"/>
        <w:i w:val="0"/>
        <w:sz w:val="24"/>
        <w:szCs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624386641">
    <w:abstractNumId w:val="13"/>
  </w:num>
  <w:num w:numId="2" w16cid:durableId="25566983">
    <w:abstractNumId w:val="14"/>
  </w:num>
  <w:num w:numId="3" w16cid:durableId="1084037429">
    <w:abstractNumId w:val="15"/>
  </w:num>
  <w:num w:numId="4" w16cid:durableId="8791739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16cid:durableId="1013186828">
    <w:abstractNumId w:val="2"/>
  </w:num>
  <w:num w:numId="6" w16cid:durableId="1793091862">
    <w:abstractNumId w:val="17"/>
  </w:num>
  <w:num w:numId="7" w16cid:durableId="427586144">
    <w:abstractNumId w:val="7"/>
  </w:num>
  <w:num w:numId="8" w16cid:durableId="2030371107">
    <w:abstractNumId w:val="10"/>
  </w:num>
  <w:num w:numId="9" w16cid:durableId="1422532666">
    <w:abstractNumId w:val="4"/>
  </w:num>
  <w:num w:numId="10" w16cid:durableId="1312445751">
    <w:abstractNumId w:val="11"/>
  </w:num>
  <w:num w:numId="11" w16cid:durableId="581839804">
    <w:abstractNumId w:val="12"/>
  </w:num>
  <w:num w:numId="12" w16cid:durableId="1177354817">
    <w:abstractNumId w:val="19"/>
  </w:num>
  <w:num w:numId="13" w16cid:durableId="1995835477">
    <w:abstractNumId w:val="5"/>
  </w:num>
  <w:num w:numId="14" w16cid:durableId="1070691637">
    <w:abstractNumId w:val="20"/>
  </w:num>
  <w:num w:numId="15" w16cid:durableId="1085493088">
    <w:abstractNumId w:val="6"/>
  </w:num>
  <w:num w:numId="16" w16cid:durableId="1721173504">
    <w:abstractNumId w:val="9"/>
  </w:num>
  <w:num w:numId="17" w16cid:durableId="955722839">
    <w:abstractNumId w:val="8"/>
  </w:num>
  <w:num w:numId="18" w16cid:durableId="1347294918">
    <w:abstractNumId w:val="3"/>
  </w:num>
  <w:num w:numId="19" w16cid:durableId="985860872">
    <w:abstractNumId w:val="18"/>
  </w:num>
  <w:num w:numId="20" w16cid:durableId="149325826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53524463">
    <w:abstractNumId w:val="16"/>
  </w:num>
  <w:num w:numId="22" w16cid:durableId="64285547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21AA"/>
    <w:rsid w:val="0003627F"/>
    <w:rsid w:val="000C76AE"/>
    <w:rsid w:val="000D64FC"/>
    <w:rsid w:val="000E3C09"/>
    <w:rsid w:val="0011144F"/>
    <w:rsid w:val="001379B8"/>
    <w:rsid w:val="00146B68"/>
    <w:rsid w:val="001965BE"/>
    <w:rsid w:val="002750C2"/>
    <w:rsid w:val="002B25ED"/>
    <w:rsid w:val="002B490C"/>
    <w:rsid w:val="002E2660"/>
    <w:rsid w:val="002F7E36"/>
    <w:rsid w:val="00337065"/>
    <w:rsid w:val="00365471"/>
    <w:rsid w:val="003A0781"/>
    <w:rsid w:val="003A70DC"/>
    <w:rsid w:val="003C516A"/>
    <w:rsid w:val="003D7ABD"/>
    <w:rsid w:val="003F0CA2"/>
    <w:rsid w:val="003F45A0"/>
    <w:rsid w:val="00425822"/>
    <w:rsid w:val="004645EA"/>
    <w:rsid w:val="00467FFD"/>
    <w:rsid w:val="004912B9"/>
    <w:rsid w:val="004C61B6"/>
    <w:rsid w:val="00516BB0"/>
    <w:rsid w:val="00537FDF"/>
    <w:rsid w:val="00560899"/>
    <w:rsid w:val="00577A60"/>
    <w:rsid w:val="00586242"/>
    <w:rsid w:val="005A66C7"/>
    <w:rsid w:val="005F4147"/>
    <w:rsid w:val="00603FDB"/>
    <w:rsid w:val="006B3E58"/>
    <w:rsid w:val="006F60A4"/>
    <w:rsid w:val="007716D9"/>
    <w:rsid w:val="007841B2"/>
    <w:rsid w:val="007841F0"/>
    <w:rsid w:val="007B322C"/>
    <w:rsid w:val="007B615B"/>
    <w:rsid w:val="007D7F62"/>
    <w:rsid w:val="008716F9"/>
    <w:rsid w:val="008D37C2"/>
    <w:rsid w:val="008D57B6"/>
    <w:rsid w:val="00922C93"/>
    <w:rsid w:val="00941788"/>
    <w:rsid w:val="009D76F8"/>
    <w:rsid w:val="00A33598"/>
    <w:rsid w:val="00A72DC8"/>
    <w:rsid w:val="00A85535"/>
    <w:rsid w:val="00AC04EB"/>
    <w:rsid w:val="00AE465E"/>
    <w:rsid w:val="00B1150F"/>
    <w:rsid w:val="00B51CFF"/>
    <w:rsid w:val="00BE2B73"/>
    <w:rsid w:val="00C64CA8"/>
    <w:rsid w:val="00C90749"/>
    <w:rsid w:val="00CE4E2F"/>
    <w:rsid w:val="00D1331A"/>
    <w:rsid w:val="00D30CEE"/>
    <w:rsid w:val="00D64818"/>
    <w:rsid w:val="00DB0F85"/>
    <w:rsid w:val="00E1086E"/>
    <w:rsid w:val="00E9753A"/>
    <w:rsid w:val="00EA3ACA"/>
    <w:rsid w:val="00ED0751"/>
    <w:rsid w:val="00EE7692"/>
    <w:rsid w:val="00EF2D64"/>
    <w:rsid w:val="00F07239"/>
    <w:rsid w:val="00F558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2E308"/>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EF2D64"/>
    <w:pPr>
      <w:keepNext/>
      <w:keepLines/>
      <w:numPr>
        <w:numId w:val="21"/>
      </w:numPr>
      <w:tabs>
        <w:tab w:val="left" w:pos="567"/>
      </w:tabs>
      <w:ind w:hanging="10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D64"/>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
    <w:name w:val="Body Text"/>
    <w:basedOn w:val="Normal"/>
    <w:link w:val="BodyTextChar"/>
    <w:rsid w:val="004912B9"/>
    <w:pPr>
      <w:spacing w:after="0"/>
      <w:ind w:left="0" w:firstLine="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rsid w:val="004912B9"/>
    <w:rPr>
      <w:rFonts w:ascii="Times New Roman" w:eastAsia="Times New Roman" w:hAnsi="Times New Roman" w:cs="Times New Roman"/>
      <w:sz w:val="24"/>
      <w:szCs w:val="20"/>
    </w:rPr>
  </w:style>
  <w:style w:type="paragraph" w:customStyle="1" w:styleId="Blockquote">
    <w:name w:val="Blockquote"/>
    <w:basedOn w:val="Normal"/>
    <w:rsid w:val="004912B9"/>
    <w:pPr>
      <w:spacing w:before="100" w:after="100"/>
      <w:ind w:left="360" w:right="360" w:firstLine="0"/>
    </w:pPr>
    <w:rPr>
      <w:rFonts w:ascii="Times New Roman" w:eastAsia="Times New Roman" w:hAnsi="Times New Roman" w:cs="Times New Roman"/>
      <w:snapToGrid w:val="0"/>
      <w:color w:val="auto"/>
      <w:szCs w:val="20"/>
      <w:lang w:eastAsia="en-US"/>
    </w:rPr>
  </w:style>
  <w:style w:type="character" w:styleId="Strong">
    <w:name w:val="Strong"/>
    <w:basedOn w:val="DefaultParagraphFont"/>
    <w:uiPriority w:val="22"/>
    <w:qFormat/>
    <w:rsid w:val="004912B9"/>
    <w:rPr>
      <w:b/>
    </w:rPr>
  </w:style>
  <w:style w:type="paragraph" w:styleId="BodyText3">
    <w:name w:val="Body Text 3"/>
    <w:basedOn w:val="Normal"/>
    <w:link w:val="BodyText3Char"/>
    <w:rsid w:val="004912B9"/>
    <w:pPr>
      <w:spacing w:after="0"/>
      <w:ind w:left="0" w:firstLine="0"/>
    </w:pPr>
    <w:rPr>
      <w:rFonts w:ascii="Times New Roman" w:eastAsia="Times New Roman" w:hAnsi="Times New Roman" w:cs="Times New Roman"/>
      <w:b/>
      <w:color w:val="auto"/>
      <w:sz w:val="28"/>
      <w:szCs w:val="20"/>
      <w:lang w:eastAsia="en-US"/>
    </w:rPr>
  </w:style>
  <w:style w:type="character" w:customStyle="1" w:styleId="BodyText3Char">
    <w:name w:val="Body Text 3 Char"/>
    <w:basedOn w:val="DefaultParagraphFont"/>
    <w:link w:val="BodyText3"/>
    <w:rsid w:val="004912B9"/>
    <w:rPr>
      <w:rFonts w:ascii="Times New Roman" w:eastAsia="Times New Roman" w:hAnsi="Times New Roman" w:cs="Times New Roman"/>
      <w:b/>
      <w:sz w:val="28"/>
      <w:szCs w:val="20"/>
    </w:rPr>
  </w:style>
  <w:style w:type="paragraph" w:styleId="PlainText">
    <w:name w:val="Plain Text"/>
    <w:basedOn w:val="Normal"/>
    <w:link w:val="PlainTextChar"/>
    <w:uiPriority w:val="99"/>
    <w:unhideWhenUsed/>
    <w:rsid w:val="004912B9"/>
    <w:pPr>
      <w:spacing w:after="0"/>
      <w:ind w:left="0" w:firstLine="0"/>
    </w:pPr>
    <w:rPr>
      <w:rFonts w:ascii="Consolas" w:eastAsiaTheme="minorEastAsia" w:hAnsi="Consolas" w:cstheme="minorBidi"/>
      <w:color w:val="auto"/>
      <w:sz w:val="21"/>
      <w:szCs w:val="21"/>
      <w:lang w:eastAsia="zh-CN"/>
    </w:rPr>
  </w:style>
  <w:style w:type="character" w:customStyle="1" w:styleId="PlainTextChar">
    <w:name w:val="Plain Text Char"/>
    <w:basedOn w:val="DefaultParagraphFont"/>
    <w:link w:val="PlainText"/>
    <w:uiPriority w:val="99"/>
    <w:rsid w:val="004912B9"/>
    <w:rPr>
      <w:rFonts w:ascii="Consolas" w:eastAsiaTheme="minorEastAsia" w:hAnsi="Consolas"/>
      <w:sz w:val="21"/>
      <w:szCs w:val="21"/>
      <w:lang w:eastAsia="zh-CN"/>
    </w:rPr>
  </w:style>
  <w:style w:type="character" w:styleId="UnresolvedMention">
    <w:name w:val="Unresolved Mention"/>
    <w:basedOn w:val="DefaultParagraphFont"/>
    <w:uiPriority w:val="99"/>
    <w:semiHidden/>
    <w:unhideWhenUsed/>
    <w:rsid w:val="000C7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education/documents/policies-procedures-examination-guidance/examination-feedback-polic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education/regulatory-framework/codes-of-practice-for-taught-c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education/regulatory-framework/codes-of-practice-for-taught-cour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ogs.kent.ac.uk/qaco/category/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44a565-d903-479b-8f5d-e7c9db0d7e7d">
      <Terms xmlns="http://schemas.microsoft.com/office/infopath/2007/PartnerControls"/>
    </lcf76f155ced4ddcb4097134ff3c332f>
    <TaxCatchAll xmlns="1fdcc210-6ef1-468c-b14e-f77be65fdea8" xsi:nil="true"/>
    <Document_x0020_Status xmlns="4844a565-d903-479b-8f5d-e7c9db0d7e7d" xsi:nil="true"/>
  </documentManagement>
</p:properties>
</file>

<file path=customXml/itemProps1.xml><?xml version="1.0" encoding="utf-8"?>
<ds:datastoreItem xmlns:ds="http://schemas.openxmlformats.org/officeDocument/2006/customXml" ds:itemID="{9DD75BC8-112C-4425-B485-43315BA64003}">
  <ds:schemaRefs>
    <ds:schemaRef ds:uri="http://schemas.openxmlformats.org/officeDocument/2006/bibliography"/>
  </ds:schemaRefs>
</ds:datastoreItem>
</file>

<file path=customXml/itemProps2.xml><?xml version="1.0" encoding="utf-8"?>
<ds:datastoreItem xmlns:ds="http://schemas.openxmlformats.org/officeDocument/2006/customXml" ds:itemID="{FD3DC8DF-6F64-4B29-A0DE-7CBB71EA4DF9}"/>
</file>

<file path=customXml/itemProps3.xml><?xml version="1.0" encoding="utf-8"?>
<ds:datastoreItem xmlns:ds="http://schemas.openxmlformats.org/officeDocument/2006/customXml" ds:itemID="{25955472-A48D-449D-A86D-460DF85DD45F}">
  <ds:schemaRefs>
    <ds:schemaRef ds:uri="http://schemas.microsoft.com/sharepoint/v3/contenttype/forms"/>
  </ds:schemaRefs>
</ds:datastoreItem>
</file>

<file path=customXml/itemProps4.xml><?xml version="1.0" encoding="utf-8"?>
<ds:datastoreItem xmlns:ds="http://schemas.openxmlformats.org/officeDocument/2006/customXml" ds:itemID="{8A1C0A51-C25F-4772-A239-82B47C852EFA}">
  <ds:schemaRefs>
    <ds:schemaRef ds:uri="http://schemas.microsoft.com/office/2006/metadata/properties"/>
    <ds:schemaRef ds:uri="http://schemas.microsoft.com/office/infopath/2007/PartnerControls"/>
    <ds:schemaRef ds:uri="4844a565-d903-479b-8f5d-e7c9db0d7e7d"/>
    <ds:schemaRef ds:uri="1fdcc210-6ef1-468c-b14e-f77be65fdea8"/>
    <ds:schemaRef ds:uri="c2b8e455-f901-47f3-b8e8-fcb399ca0bfc"/>
    <ds:schemaRef ds:uri="54db404c-c500-43d8-b0ff-721ff10d90be"/>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4</TotalTime>
  <Pages>13</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6</cp:revision>
  <cp:lastPrinted>2022-05-11T14:51:00Z</cp:lastPrinted>
  <dcterms:created xsi:type="dcterms:W3CDTF">2023-07-02T00:25:00Z</dcterms:created>
  <dcterms:modified xsi:type="dcterms:W3CDTF">2023-11-03T15:13:00Z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