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C2A3"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D78A495" w14:textId="04378B1D" w:rsidR="00546754" w:rsidRDefault="002E2825" w:rsidP="00546754">
      <w:pPr>
        <w:spacing w:after="120" w:line="240" w:lineRule="auto"/>
        <w:ind w:left="567" w:right="260"/>
        <w:jc w:val="both"/>
        <w:rPr>
          <w:rFonts w:ascii="Verdana" w:hAnsi="Verdana" w:cs="Arial"/>
        </w:rPr>
      </w:pPr>
      <w:r>
        <w:rPr>
          <w:rFonts w:ascii="Verdana" w:hAnsi="Verdana" w:cs="Arial"/>
        </w:rPr>
        <w:t xml:space="preserve">UELT8310 (UN831) </w:t>
      </w:r>
      <w:r w:rsidR="00857328" w:rsidRPr="00C20C52">
        <w:rPr>
          <w:rFonts w:ascii="Verdana" w:hAnsi="Verdana" w:cs="Arial"/>
        </w:rPr>
        <w:t xml:space="preserve">Contextualising </w:t>
      </w:r>
      <w:r>
        <w:rPr>
          <w:rFonts w:ascii="Verdana" w:hAnsi="Verdana" w:cs="Arial"/>
        </w:rPr>
        <w:t>H</w:t>
      </w:r>
      <w:r w:rsidR="00C20C52" w:rsidRPr="00C20C52">
        <w:rPr>
          <w:rFonts w:ascii="Verdana" w:hAnsi="Verdana" w:cs="Arial"/>
        </w:rPr>
        <w:t xml:space="preserve">igher </w:t>
      </w:r>
      <w:r>
        <w:rPr>
          <w:rFonts w:ascii="Verdana" w:hAnsi="Verdana" w:cs="Arial"/>
        </w:rPr>
        <w:t>Education T</w:t>
      </w:r>
      <w:r w:rsidR="00C20C52" w:rsidRPr="00C20C52">
        <w:rPr>
          <w:rFonts w:ascii="Verdana" w:hAnsi="Verdana" w:cs="Arial"/>
        </w:rPr>
        <w:t>eaching and</w:t>
      </w:r>
      <w:r>
        <w:rPr>
          <w:rFonts w:ascii="Verdana" w:hAnsi="Verdana" w:cs="Arial"/>
        </w:rPr>
        <w:t xml:space="preserve"> L</w:t>
      </w:r>
      <w:r w:rsidR="00C20C52" w:rsidRPr="00C20C52">
        <w:rPr>
          <w:rFonts w:ascii="Verdana" w:hAnsi="Verdana" w:cs="Arial"/>
        </w:rPr>
        <w:t>earning</w:t>
      </w:r>
      <w:r w:rsidR="00BA3514" w:rsidRPr="00C20C52">
        <w:rPr>
          <w:rFonts w:ascii="Verdana" w:hAnsi="Verdana" w:cs="Arial"/>
        </w:rPr>
        <w:t xml:space="preserve"> </w:t>
      </w:r>
    </w:p>
    <w:p w14:paraId="61E07B0D" w14:textId="77777777" w:rsidR="00AE052E" w:rsidRPr="00C20C52" w:rsidRDefault="00AE052E" w:rsidP="00546754">
      <w:pPr>
        <w:spacing w:after="120" w:line="240" w:lineRule="auto"/>
        <w:ind w:left="567" w:right="260"/>
        <w:jc w:val="both"/>
        <w:rPr>
          <w:rFonts w:ascii="Verdana" w:hAnsi="Verdana" w:cs="Arial"/>
        </w:rPr>
      </w:pPr>
    </w:p>
    <w:p w14:paraId="584EB8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F18486A" w14:textId="77777777" w:rsidR="009A2D37" w:rsidRPr="00C20C52" w:rsidRDefault="00546754" w:rsidP="00546754">
      <w:pPr>
        <w:spacing w:after="120" w:line="240" w:lineRule="auto"/>
        <w:ind w:left="567" w:right="260"/>
        <w:rPr>
          <w:rFonts w:ascii="Verdana" w:hAnsi="Verdana" w:cs="Arial"/>
          <w:iCs/>
        </w:rPr>
      </w:pPr>
      <w:r w:rsidRPr="00C20C52">
        <w:rPr>
          <w:rFonts w:ascii="Verdana" w:hAnsi="Verdana" w:cs="Arial"/>
          <w:iCs/>
        </w:rPr>
        <w:t>Centre for the Study of Higher Education</w:t>
      </w:r>
    </w:p>
    <w:p w14:paraId="0B8BE169" w14:textId="77777777" w:rsidR="00AE052E" w:rsidRDefault="00AE052E" w:rsidP="00AE052E">
      <w:pPr>
        <w:spacing w:after="120" w:line="240" w:lineRule="auto"/>
        <w:ind w:left="567" w:right="260"/>
        <w:jc w:val="both"/>
        <w:rPr>
          <w:rFonts w:ascii="Arial" w:hAnsi="Arial" w:cs="Arial"/>
          <w:b/>
        </w:rPr>
      </w:pPr>
    </w:p>
    <w:p w14:paraId="419EE3D3" w14:textId="415596ED"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796DCEA" w14:textId="77777777" w:rsidR="009A2D37" w:rsidRPr="00546754" w:rsidRDefault="00546754" w:rsidP="00546754">
      <w:pPr>
        <w:spacing w:after="120" w:line="240" w:lineRule="auto"/>
        <w:ind w:left="567" w:right="260"/>
        <w:jc w:val="both"/>
        <w:rPr>
          <w:rFonts w:ascii="Arial" w:hAnsi="Arial" w:cs="Arial"/>
        </w:rPr>
      </w:pPr>
      <w:r w:rsidRPr="00546754">
        <w:rPr>
          <w:rFonts w:ascii="Arial" w:hAnsi="Arial" w:cs="Arial"/>
        </w:rPr>
        <w:t xml:space="preserve">Level </w:t>
      </w:r>
      <w:proofErr w:type="gramStart"/>
      <w:r w:rsidRPr="00546754">
        <w:rPr>
          <w:rFonts w:ascii="Arial" w:hAnsi="Arial" w:cs="Arial"/>
        </w:rPr>
        <w:t>7</w:t>
      </w:r>
      <w:proofErr w:type="gramEnd"/>
    </w:p>
    <w:p w14:paraId="4D97510C" w14:textId="77777777" w:rsidR="00AE052E" w:rsidRDefault="00AE052E" w:rsidP="00AE052E">
      <w:pPr>
        <w:spacing w:after="120" w:line="240" w:lineRule="auto"/>
        <w:ind w:left="567" w:right="260"/>
        <w:jc w:val="both"/>
        <w:rPr>
          <w:rFonts w:ascii="Arial" w:hAnsi="Arial" w:cs="Arial"/>
          <w:b/>
        </w:rPr>
      </w:pPr>
    </w:p>
    <w:p w14:paraId="41A5A685" w14:textId="726CA8DE"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AF207EC" w14:textId="77777777" w:rsidR="009A2D37" w:rsidRPr="00546754" w:rsidRDefault="009A2D37" w:rsidP="00546754">
      <w:pPr>
        <w:pStyle w:val="NormalWeb"/>
        <w:spacing w:before="0" w:beforeAutospacing="0" w:after="120" w:afterAutospacing="0"/>
        <w:ind w:left="567" w:right="260"/>
        <w:rPr>
          <w:rFonts w:ascii="Arial" w:hAnsi="Arial" w:cs="Arial"/>
          <w:sz w:val="22"/>
          <w:szCs w:val="22"/>
        </w:rPr>
      </w:pPr>
      <w:r w:rsidRPr="00546754">
        <w:rPr>
          <w:rFonts w:ascii="Arial" w:hAnsi="Arial" w:cs="Arial"/>
          <w:sz w:val="22"/>
          <w:szCs w:val="22"/>
        </w:rPr>
        <w:t>15 credits (7.5 ECTS)</w:t>
      </w:r>
    </w:p>
    <w:p w14:paraId="45DD0C7B" w14:textId="77777777" w:rsidR="00AE052E" w:rsidRDefault="00AE052E" w:rsidP="00AE052E">
      <w:pPr>
        <w:spacing w:after="120" w:line="240" w:lineRule="auto"/>
        <w:ind w:left="567" w:right="260"/>
        <w:jc w:val="both"/>
        <w:rPr>
          <w:rFonts w:ascii="Arial" w:hAnsi="Arial" w:cs="Arial"/>
          <w:b/>
        </w:rPr>
      </w:pPr>
    </w:p>
    <w:p w14:paraId="0226A6C7" w14:textId="1477755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FD8E30E" w14:textId="77777777" w:rsidR="00BA3514" w:rsidRPr="00C20C52" w:rsidRDefault="00BA3514" w:rsidP="00BA3514">
      <w:pPr>
        <w:spacing w:after="120" w:line="240" w:lineRule="auto"/>
        <w:ind w:left="567" w:right="260"/>
        <w:jc w:val="both"/>
        <w:rPr>
          <w:rFonts w:ascii="Verdana" w:hAnsi="Verdana" w:cs="Arial"/>
          <w:iCs/>
        </w:rPr>
      </w:pPr>
      <w:r w:rsidRPr="00C20C52">
        <w:rPr>
          <w:rFonts w:ascii="Verdana" w:hAnsi="Verdana" w:cs="Arial"/>
          <w:iCs/>
        </w:rPr>
        <w:t xml:space="preserve">Taught in multiple iterations during the year to maintain a maximum cohort size of 30. Typically taught twice in </w:t>
      </w:r>
      <w:proofErr w:type="gramStart"/>
      <w:r w:rsidRPr="00C20C52">
        <w:rPr>
          <w:rFonts w:ascii="Verdana" w:hAnsi="Verdana" w:cs="Arial"/>
          <w:iCs/>
        </w:rPr>
        <w:t>Autumn</w:t>
      </w:r>
      <w:proofErr w:type="gramEnd"/>
      <w:r w:rsidRPr="00C20C52">
        <w:rPr>
          <w:rFonts w:ascii="Verdana" w:hAnsi="Verdana" w:cs="Arial"/>
          <w:iCs/>
        </w:rPr>
        <w:t xml:space="preserve"> term, twice in Spring term and once in Summer term. </w:t>
      </w:r>
    </w:p>
    <w:p w14:paraId="78B8C63E" w14:textId="77777777" w:rsidR="00AE052E" w:rsidRDefault="00AE052E" w:rsidP="00AE052E">
      <w:pPr>
        <w:pStyle w:val="ListParagraph"/>
        <w:spacing w:after="120" w:line="240" w:lineRule="auto"/>
        <w:ind w:left="567" w:right="260"/>
        <w:jc w:val="both"/>
        <w:rPr>
          <w:rFonts w:ascii="Arial" w:hAnsi="Arial" w:cs="Arial"/>
          <w:b/>
        </w:rPr>
      </w:pPr>
    </w:p>
    <w:p w14:paraId="5E8B63DB" w14:textId="23A47F6A" w:rsidR="009A2D37" w:rsidRPr="00D95FC9" w:rsidRDefault="009A2D37" w:rsidP="00D95FC9">
      <w:pPr>
        <w:pStyle w:val="ListParagraph"/>
        <w:numPr>
          <w:ilvl w:val="0"/>
          <w:numId w:val="1"/>
        </w:numPr>
        <w:spacing w:after="120" w:line="240" w:lineRule="auto"/>
        <w:ind w:left="567" w:right="260" w:hanging="567"/>
        <w:jc w:val="both"/>
        <w:rPr>
          <w:rFonts w:ascii="Arial" w:hAnsi="Arial" w:cs="Arial"/>
          <w:b/>
        </w:rPr>
      </w:pPr>
      <w:r w:rsidRPr="00D95FC9">
        <w:rPr>
          <w:rFonts w:ascii="Arial" w:hAnsi="Arial" w:cs="Arial"/>
          <w:b/>
        </w:rPr>
        <w:t>Prerequisite and co-requisite modules</w:t>
      </w:r>
    </w:p>
    <w:p w14:paraId="2482BC40" w14:textId="0C333295" w:rsidR="009A2D37" w:rsidRPr="00C20C52" w:rsidRDefault="00546754" w:rsidP="00AE052E">
      <w:pPr>
        <w:spacing w:after="120" w:line="240" w:lineRule="auto"/>
        <w:ind w:left="567" w:right="260"/>
        <w:rPr>
          <w:rFonts w:ascii="Verdana" w:hAnsi="Verdana" w:cs="Arial"/>
          <w:iCs/>
        </w:rPr>
      </w:pPr>
      <w:r w:rsidRPr="00C20C52">
        <w:rPr>
          <w:rFonts w:ascii="Verdana" w:hAnsi="Verdana" w:cs="Arial"/>
          <w:iCs/>
        </w:rPr>
        <w:t xml:space="preserve">Participants </w:t>
      </w:r>
      <w:proofErr w:type="gramStart"/>
      <w:r w:rsidRPr="00C20C52">
        <w:rPr>
          <w:rFonts w:ascii="Verdana" w:hAnsi="Verdana" w:cs="Arial"/>
          <w:iCs/>
        </w:rPr>
        <w:t xml:space="preserve">would normally </w:t>
      </w:r>
      <w:r w:rsidR="00BA3514" w:rsidRPr="00C20C52">
        <w:rPr>
          <w:rFonts w:ascii="Verdana" w:hAnsi="Verdana" w:cs="Arial"/>
          <w:iCs/>
        </w:rPr>
        <w:t>be</w:t>
      </w:r>
      <w:r w:rsidRPr="00C20C52">
        <w:rPr>
          <w:rFonts w:ascii="Verdana" w:hAnsi="Verdana" w:cs="Arial"/>
          <w:iCs/>
        </w:rPr>
        <w:t xml:space="preserve"> expected</w:t>
      </w:r>
      <w:proofErr w:type="gramEnd"/>
      <w:r w:rsidRPr="00C20C52">
        <w:rPr>
          <w:rFonts w:ascii="Verdana" w:hAnsi="Verdana" w:cs="Arial"/>
          <w:iCs/>
        </w:rPr>
        <w:t xml:space="preserve"> to have</w:t>
      </w:r>
      <w:r w:rsidR="00BA3514" w:rsidRPr="00C20C52">
        <w:rPr>
          <w:rFonts w:ascii="Verdana" w:hAnsi="Verdana" w:cs="Arial"/>
          <w:iCs/>
        </w:rPr>
        <w:t xml:space="preserve"> completed </w:t>
      </w:r>
      <w:r w:rsidRPr="00C20C52">
        <w:rPr>
          <w:rFonts w:ascii="Verdana" w:hAnsi="Verdana" w:cs="Arial"/>
          <w:iCs/>
        </w:rPr>
        <w:t>U</w:t>
      </w:r>
      <w:r w:rsidR="00AE052E">
        <w:rPr>
          <w:rFonts w:ascii="Verdana" w:hAnsi="Verdana" w:cs="Arial"/>
          <w:iCs/>
        </w:rPr>
        <w:t>ELT</w:t>
      </w:r>
      <w:r w:rsidRPr="00C20C52">
        <w:rPr>
          <w:rFonts w:ascii="Verdana" w:hAnsi="Verdana" w:cs="Arial"/>
          <w:iCs/>
        </w:rPr>
        <w:t>819</w:t>
      </w:r>
      <w:r w:rsidR="00AE052E">
        <w:rPr>
          <w:rFonts w:ascii="Verdana" w:hAnsi="Verdana" w:cs="Arial"/>
          <w:iCs/>
        </w:rPr>
        <w:t>0</w:t>
      </w:r>
      <w:r w:rsidRPr="00C20C52">
        <w:rPr>
          <w:rFonts w:ascii="Verdana" w:hAnsi="Verdana" w:cs="Arial"/>
          <w:iCs/>
        </w:rPr>
        <w:t xml:space="preserve"> or demonstrated equivalent knowledge and experience. </w:t>
      </w:r>
    </w:p>
    <w:p w14:paraId="4D777E34" w14:textId="77777777" w:rsidR="00AE052E" w:rsidRDefault="00AE052E" w:rsidP="00AE052E">
      <w:pPr>
        <w:spacing w:after="120" w:line="240" w:lineRule="auto"/>
        <w:ind w:left="567" w:right="260"/>
        <w:jc w:val="both"/>
        <w:rPr>
          <w:rFonts w:ascii="Arial" w:hAnsi="Arial" w:cs="Arial"/>
          <w:b/>
        </w:rPr>
      </w:pPr>
    </w:p>
    <w:p w14:paraId="467CA81C" w14:textId="1106D07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74A113D" w14:textId="580B8B31" w:rsidR="009A2D37" w:rsidRPr="00546754" w:rsidRDefault="00BA3514" w:rsidP="00E8330A">
      <w:pPr>
        <w:pStyle w:val="ListParagraph"/>
        <w:spacing w:after="120" w:line="240" w:lineRule="auto"/>
        <w:ind w:left="567" w:right="260"/>
        <w:rPr>
          <w:rFonts w:ascii="Arial" w:hAnsi="Arial" w:cs="Arial"/>
          <w:iCs/>
        </w:rPr>
      </w:pPr>
      <w:r>
        <w:rPr>
          <w:rFonts w:ascii="Arial" w:hAnsi="Arial" w:cs="Arial"/>
          <w:iCs/>
        </w:rPr>
        <w:t xml:space="preserve">PGCHE </w:t>
      </w:r>
      <w:r w:rsidR="00546754" w:rsidRPr="00546754">
        <w:rPr>
          <w:rFonts w:ascii="Arial" w:hAnsi="Arial" w:cs="Arial"/>
          <w:iCs/>
        </w:rPr>
        <w:t>(See appendix 1 for the program</w:t>
      </w:r>
      <w:r>
        <w:rPr>
          <w:rFonts w:ascii="Arial" w:hAnsi="Arial" w:cs="Arial"/>
          <w:iCs/>
        </w:rPr>
        <w:t>me outcomes for the PGCHE</w:t>
      </w:r>
      <w:r w:rsidR="00546754" w:rsidRPr="00546754">
        <w:rPr>
          <w:rFonts w:ascii="Arial" w:hAnsi="Arial" w:cs="Arial"/>
          <w:iCs/>
        </w:rPr>
        <w:t>.  In section</w:t>
      </w:r>
      <w:r w:rsidR="00CA4014">
        <w:rPr>
          <w:rFonts w:ascii="Arial" w:hAnsi="Arial" w:cs="Arial"/>
          <w:iCs/>
        </w:rPr>
        <w:t>s</w:t>
      </w:r>
      <w:r w:rsidR="00546754" w:rsidRPr="00546754">
        <w:rPr>
          <w:rFonts w:ascii="Arial" w:hAnsi="Arial" w:cs="Arial"/>
          <w:iCs/>
        </w:rPr>
        <w:t xml:space="preserve"> 8</w:t>
      </w:r>
      <w:r w:rsidR="00CA4014">
        <w:rPr>
          <w:rFonts w:ascii="Arial" w:hAnsi="Arial" w:cs="Arial"/>
          <w:iCs/>
        </w:rPr>
        <w:t xml:space="preserve"> and 9</w:t>
      </w:r>
      <w:r w:rsidR="00546754" w:rsidRPr="00546754">
        <w:rPr>
          <w:rFonts w:ascii="Arial" w:hAnsi="Arial" w:cs="Arial"/>
          <w:iCs/>
        </w:rPr>
        <w:t xml:space="preserve">, the module objectives </w:t>
      </w:r>
      <w:proofErr w:type="gramStart"/>
      <w:r w:rsidR="00546754" w:rsidRPr="00546754">
        <w:rPr>
          <w:rFonts w:ascii="Arial" w:hAnsi="Arial" w:cs="Arial"/>
          <w:iCs/>
        </w:rPr>
        <w:t>are mapped</w:t>
      </w:r>
      <w:proofErr w:type="gramEnd"/>
      <w:r w:rsidR="00546754" w:rsidRPr="00546754">
        <w:rPr>
          <w:rFonts w:ascii="Arial" w:hAnsi="Arial" w:cs="Arial"/>
          <w:iCs/>
        </w:rPr>
        <w:t xml:space="preserve"> against the programme outcomes for </w:t>
      </w:r>
      <w:r w:rsidR="00CA4014">
        <w:rPr>
          <w:rFonts w:ascii="Arial" w:hAnsi="Arial" w:cs="Arial"/>
          <w:iCs/>
        </w:rPr>
        <w:t>the PGCHE in parentheses</w:t>
      </w:r>
      <w:r w:rsidR="00546754" w:rsidRPr="00546754">
        <w:rPr>
          <w:rFonts w:ascii="Arial" w:hAnsi="Arial" w:cs="Arial"/>
          <w:iCs/>
        </w:rPr>
        <w:t>.)</w:t>
      </w:r>
    </w:p>
    <w:p w14:paraId="4847B67D" w14:textId="77777777" w:rsidR="00AE052E" w:rsidRDefault="00AE052E" w:rsidP="00AE052E">
      <w:pPr>
        <w:spacing w:after="120" w:line="240" w:lineRule="auto"/>
        <w:ind w:left="567" w:right="260"/>
        <w:rPr>
          <w:rFonts w:ascii="Arial" w:hAnsi="Arial" w:cs="Arial"/>
          <w:b/>
        </w:rPr>
      </w:pPr>
    </w:p>
    <w:p w14:paraId="2F842D8C" w14:textId="07CFC1BA"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t>
      </w:r>
      <w:r w:rsidR="00E224F4">
        <w:rPr>
          <w:rFonts w:ascii="Arial" w:hAnsi="Arial" w:cs="Arial"/>
          <w:b/>
        </w:rPr>
        <w:t xml:space="preserve">(called “participants” here) </w:t>
      </w:r>
      <w:r w:rsidR="00C729D7" w:rsidRPr="00302082">
        <w:rPr>
          <w:rFonts w:ascii="Arial" w:hAnsi="Arial" w:cs="Arial"/>
          <w:b/>
        </w:rPr>
        <w:t>will be able to:</w:t>
      </w:r>
    </w:p>
    <w:p w14:paraId="098AE0A5" w14:textId="77777777" w:rsidR="00E8330A" w:rsidRDefault="00820802" w:rsidP="00E8330A">
      <w:pPr>
        <w:pStyle w:val="ListParagraph"/>
        <w:numPr>
          <w:ilvl w:val="1"/>
          <w:numId w:val="20"/>
        </w:numPr>
        <w:spacing w:after="240" w:line="240" w:lineRule="auto"/>
        <w:ind w:left="1287"/>
        <w:rPr>
          <w:rFonts w:ascii="Verdana" w:hAnsi="Verdana"/>
        </w:rPr>
      </w:pPr>
      <w:r>
        <w:rPr>
          <w:rFonts w:ascii="Verdana" w:hAnsi="Verdana"/>
        </w:rPr>
        <w:t>Adapt</w:t>
      </w:r>
      <w:r w:rsidRPr="00AC77E7">
        <w:rPr>
          <w:rFonts w:ascii="Verdana" w:hAnsi="Verdana"/>
        </w:rPr>
        <w:t xml:space="preserve"> your teaching </w:t>
      </w:r>
      <w:r>
        <w:rPr>
          <w:rFonts w:ascii="Verdana" w:hAnsi="Verdana"/>
        </w:rPr>
        <w:t>to</w:t>
      </w:r>
      <w:r w:rsidRPr="00AC77E7">
        <w:rPr>
          <w:rFonts w:ascii="Verdana" w:hAnsi="Verdana"/>
        </w:rPr>
        <w:t xml:space="preserve"> </w:t>
      </w:r>
      <w:r>
        <w:rPr>
          <w:rFonts w:ascii="Verdana" w:hAnsi="Verdana"/>
        </w:rPr>
        <w:t>the particular challenges students have with learning your</w:t>
      </w:r>
      <w:r w:rsidRPr="00AC77E7">
        <w:rPr>
          <w:rFonts w:ascii="Verdana" w:hAnsi="Verdana"/>
        </w:rPr>
        <w:t xml:space="preserve"> subject (e.g. discipline/field). </w:t>
      </w:r>
      <w:r w:rsidR="00E224F4">
        <w:rPr>
          <w:rFonts w:ascii="Verdana" w:hAnsi="Verdana"/>
        </w:rPr>
        <w:t>(</w:t>
      </w:r>
      <w:r w:rsidR="00CA4014">
        <w:rPr>
          <w:rFonts w:ascii="Verdana" w:hAnsi="Verdana"/>
        </w:rPr>
        <w:t>PGCHE 1, 2, 4)</w:t>
      </w:r>
    </w:p>
    <w:p w14:paraId="5FD28CAE" w14:textId="77777777" w:rsidR="00E8330A" w:rsidRDefault="00820802" w:rsidP="00E8330A">
      <w:pPr>
        <w:pStyle w:val="ListParagraph"/>
        <w:numPr>
          <w:ilvl w:val="1"/>
          <w:numId w:val="20"/>
        </w:numPr>
        <w:spacing w:after="240" w:line="240" w:lineRule="auto"/>
        <w:ind w:left="1287"/>
        <w:rPr>
          <w:rFonts w:ascii="Verdana" w:hAnsi="Verdana"/>
        </w:rPr>
      </w:pPr>
      <w:r w:rsidRPr="00E8330A">
        <w:rPr>
          <w:rFonts w:ascii="Verdana" w:hAnsi="Verdana"/>
        </w:rPr>
        <w:t>Articulate and justify your own purposes/values/aims in teaching.</w:t>
      </w:r>
      <w:r w:rsidR="00CA4014" w:rsidRPr="00E8330A">
        <w:rPr>
          <w:rFonts w:ascii="Verdana" w:hAnsi="Verdana"/>
        </w:rPr>
        <w:t xml:space="preserve"> (PGCHE 4, 6)</w:t>
      </w:r>
    </w:p>
    <w:p w14:paraId="0202C353" w14:textId="77777777" w:rsidR="00E8330A" w:rsidRDefault="00820802" w:rsidP="00E8330A">
      <w:pPr>
        <w:pStyle w:val="ListParagraph"/>
        <w:numPr>
          <w:ilvl w:val="1"/>
          <w:numId w:val="20"/>
        </w:numPr>
        <w:spacing w:after="240" w:line="240" w:lineRule="auto"/>
        <w:ind w:left="1287"/>
        <w:rPr>
          <w:rFonts w:ascii="Verdana" w:hAnsi="Verdana"/>
        </w:rPr>
      </w:pPr>
      <w:r w:rsidRPr="00E8330A">
        <w:rPr>
          <w:rFonts w:ascii="Verdana" w:hAnsi="Verdana"/>
        </w:rPr>
        <w:t xml:space="preserve">Critically analyse the impact of key policy and technology developments in UK higher education on students, academics and universities. </w:t>
      </w:r>
      <w:r w:rsidR="00CA4014" w:rsidRPr="00E8330A">
        <w:rPr>
          <w:rFonts w:ascii="Verdana" w:hAnsi="Verdana"/>
        </w:rPr>
        <w:t>(PGCHE 3, 5)</w:t>
      </w:r>
    </w:p>
    <w:p w14:paraId="3029F096" w14:textId="19BCFB56" w:rsidR="009A2D37" w:rsidRPr="00E8330A" w:rsidRDefault="00820802" w:rsidP="00E8330A">
      <w:pPr>
        <w:pStyle w:val="ListParagraph"/>
        <w:numPr>
          <w:ilvl w:val="1"/>
          <w:numId w:val="20"/>
        </w:numPr>
        <w:spacing w:after="240" w:line="240" w:lineRule="auto"/>
        <w:ind w:left="1287"/>
        <w:rPr>
          <w:rFonts w:ascii="Verdana" w:hAnsi="Verdana"/>
        </w:rPr>
      </w:pPr>
      <w:r w:rsidRPr="00E8330A">
        <w:rPr>
          <w:rFonts w:ascii="Verdana" w:hAnsi="Verdana"/>
        </w:rPr>
        <w:t>Critically engage with ethical issues and values in teaching and evaluate various resolutions to dilemmas you face.</w:t>
      </w:r>
      <w:r w:rsidR="00CA4014" w:rsidRPr="00E8330A">
        <w:rPr>
          <w:rFonts w:ascii="Verdana" w:hAnsi="Verdana"/>
        </w:rPr>
        <w:t xml:space="preserve"> (PGCHE 1, 4, 5)</w:t>
      </w:r>
    </w:p>
    <w:p w14:paraId="2D9FBF0F" w14:textId="77777777" w:rsidR="00AE052E" w:rsidRDefault="00AE052E" w:rsidP="00AE052E">
      <w:pPr>
        <w:spacing w:after="120" w:line="240" w:lineRule="auto"/>
        <w:ind w:left="567" w:right="260"/>
        <w:rPr>
          <w:rFonts w:ascii="Arial" w:hAnsi="Arial" w:cs="Arial"/>
          <w:b/>
        </w:rPr>
      </w:pPr>
    </w:p>
    <w:p w14:paraId="53FF7A97" w14:textId="50E2F36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E224F4">
        <w:rPr>
          <w:rFonts w:ascii="Arial" w:hAnsi="Arial" w:cs="Arial"/>
          <w:b/>
        </w:rPr>
        <w:t>,</w:t>
      </w:r>
      <w:r w:rsidR="00C729D7" w:rsidRPr="00302082">
        <w:rPr>
          <w:rFonts w:ascii="Arial" w:hAnsi="Arial" w:cs="Arial"/>
          <w:b/>
        </w:rPr>
        <w:t xml:space="preserve"> students </w:t>
      </w:r>
      <w:r w:rsidR="00E224F4">
        <w:rPr>
          <w:rFonts w:ascii="Arial" w:hAnsi="Arial" w:cs="Arial"/>
          <w:b/>
        </w:rPr>
        <w:t xml:space="preserve">(called “participants”) </w:t>
      </w:r>
      <w:r w:rsidR="00C729D7" w:rsidRPr="00302082">
        <w:rPr>
          <w:rFonts w:ascii="Arial" w:hAnsi="Arial" w:cs="Arial"/>
          <w:b/>
        </w:rPr>
        <w:t>will be able to:</w:t>
      </w:r>
    </w:p>
    <w:p w14:paraId="631A3A86" w14:textId="77777777" w:rsidR="00E8330A" w:rsidRDefault="00AB5CD1" w:rsidP="00E8330A">
      <w:pPr>
        <w:pStyle w:val="ListParagraph"/>
        <w:numPr>
          <w:ilvl w:val="1"/>
          <w:numId w:val="19"/>
        </w:numPr>
        <w:spacing w:after="240" w:line="240" w:lineRule="auto"/>
        <w:rPr>
          <w:rFonts w:ascii="Verdana" w:hAnsi="Verdana"/>
        </w:rPr>
      </w:pPr>
      <w:r w:rsidRPr="00E8330A">
        <w:rPr>
          <w:rFonts w:ascii="Verdana" w:hAnsi="Verdana"/>
        </w:rPr>
        <w:t>E</w:t>
      </w:r>
      <w:r w:rsidR="001D2C46" w:rsidRPr="00E8330A">
        <w:rPr>
          <w:rFonts w:ascii="Verdana" w:hAnsi="Verdana"/>
        </w:rPr>
        <w:t>xercise initiative and personal responsibility in ide</w:t>
      </w:r>
      <w:r w:rsidR="00E8330A" w:rsidRPr="00E8330A">
        <w:rPr>
          <w:rFonts w:ascii="Verdana" w:hAnsi="Verdana"/>
        </w:rPr>
        <w:t xml:space="preserve">ntifying ways to better </w:t>
      </w:r>
      <w:proofErr w:type="gramStart"/>
      <w:r w:rsidR="00E8330A" w:rsidRPr="00E8330A">
        <w:rPr>
          <w:rFonts w:ascii="Verdana" w:hAnsi="Verdana"/>
        </w:rPr>
        <w:t xml:space="preserve">support  </w:t>
      </w:r>
      <w:r w:rsidR="001D2C46" w:rsidRPr="00E8330A">
        <w:rPr>
          <w:rFonts w:ascii="Verdana" w:hAnsi="Verdana"/>
        </w:rPr>
        <w:t>student</w:t>
      </w:r>
      <w:proofErr w:type="gramEnd"/>
      <w:r w:rsidR="001D2C46" w:rsidRPr="00E8330A">
        <w:rPr>
          <w:rFonts w:ascii="Verdana" w:hAnsi="Verdana"/>
        </w:rPr>
        <w:t xml:space="preserve"> learning</w:t>
      </w:r>
      <w:r w:rsidR="00820802" w:rsidRPr="00E8330A">
        <w:rPr>
          <w:rFonts w:ascii="Verdana" w:hAnsi="Verdana"/>
        </w:rPr>
        <w:t xml:space="preserve">. </w:t>
      </w:r>
      <w:r w:rsidR="001D2C46" w:rsidRPr="00E8330A">
        <w:rPr>
          <w:rFonts w:ascii="Verdana" w:hAnsi="Verdana"/>
        </w:rPr>
        <w:t xml:space="preserve"> </w:t>
      </w:r>
      <w:r w:rsidR="00CA4014" w:rsidRPr="00E8330A">
        <w:rPr>
          <w:rFonts w:ascii="Verdana" w:hAnsi="Verdana"/>
        </w:rPr>
        <w:t>(PGCHE 1, 2, 6)</w:t>
      </w:r>
    </w:p>
    <w:p w14:paraId="30C674A4" w14:textId="77777777" w:rsidR="00E8330A" w:rsidRDefault="00AB5CD1" w:rsidP="00E8330A">
      <w:pPr>
        <w:pStyle w:val="ListParagraph"/>
        <w:numPr>
          <w:ilvl w:val="1"/>
          <w:numId w:val="19"/>
        </w:numPr>
        <w:spacing w:after="240" w:line="240" w:lineRule="auto"/>
        <w:rPr>
          <w:rFonts w:ascii="Verdana" w:hAnsi="Verdana"/>
        </w:rPr>
      </w:pPr>
      <w:r w:rsidRPr="00E8330A">
        <w:rPr>
          <w:rFonts w:ascii="Verdana" w:hAnsi="Verdana"/>
        </w:rPr>
        <w:t>M</w:t>
      </w:r>
      <w:r w:rsidR="001D2C46" w:rsidRPr="00E8330A">
        <w:rPr>
          <w:rFonts w:ascii="Verdana" w:hAnsi="Verdana"/>
        </w:rPr>
        <w:t xml:space="preserve">ake decisions in complex and unpredictable </w:t>
      </w:r>
      <w:r w:rsidR="00820802" w:rsidRPr="00E8330A">
        <w:rPr>
          <w:rFonts w:ascii="Verdana" w:hAnsi="Verdana"/>
        </w:rPr>
        <w:t xml:space="preserve">teaching and learning </w:t>
      </w:r>
      <w:r w:rsidR="001D2C46" w:rsidRPr="00E8330A">
        <w:rPr>
          <w:rFonts w:ascii="Verdana" w:hAnsi="Verdana"/>
        </w:rPr>
        <w:t xml:space="preserve">situations that take into account </w:t>
      </w:r>
      <w:r w:rsidR="00820802" w:rsidRPr="00E8330A">
        <w:rPr>
          <w:rFonts w:ascii="Verdana" w:hAnsi="Verdana"/>
        </w:rPr>
        <w:t xml:space="preserve">the demands of </w:t>
      </w:r>
      <w:r w:rsidR="00CA4014" w:rsidRPr="00E8330A">
        <w:rPr>
          <w:rFonts w:ascii="Verdana" w:hAnsi="Verdana"/>
        </w:rPr>
        <w:t>your</w:t>
      </w:r>
      <w:r w:rsidR="00820802" w:rsidRPr="00E8330A">
        <w:rPr>
          <w:rFonts w:ascii="Verdana" w:hAnsi="Verdana"/>
        </w:rPr>
        <w:t xml:space="preserve"> context and </w:t>
      </w:r>
      <w:r w:rsidR="00CA4014" w:rsidRPr="00E8330A">
        <w:rPr>
          <w:rFonts w:ascii="Verdana" w:hAnsi="Verdana"/>
        </w:rPr>
        <w:t>your</w:t>
      </w:r>
      <w:r w:rsidR="00820802" w:rsidRPr="00E8330A">
        <w:rPr>
          <w:rFonts w:ascii="Verdana" w:hAnsi="Verdana"/>
        </w:rPr>
        <w:t xml:space="preserve"> own goals and values.</w:t>
      </w:r>
      <w:r w:rsidR="00CA4014" w:rsidRPr="00E8330A">
        <w:rPr>
          <w:rFonts w:ascii="Verdana" w:hAnsi="Verdana"/>
        </w:rPr>
        <w:t xml:space="preserve"> (PGCHE 1, 4)</w:t>
      </w:r>
    </w:p>
    <w:p w14:paraId="7ADB7EE6" w14:textId="25044B38" w:rsidR="001D2C46" w:rsidRPr="00E8330A" w:rsidRDefault="00AB5CD1" w:rsidP="00E8330A">
      <w:pPr>
        <w:pStyle w:val="ListParagraph"/>
        <w:numPr>
          <w:ilvl w:val="1"/>
          <w:numId w:val="19"/>
        </w:numPr>
        <w:spacing w:after="240" w:line="240" w:lineRule="auto"/>
        <w:rPr>
          <w:rFonts w:ascii="Verdana" w:hAnsi="Verdana"/>
        </w:rPr>
      </w:pPr>
      <w:r w:rsidRPr="00E8330A">
        <w:rPr>
          <w:rFonts w:ascii="Verdana" w:hAnsi="Verdana"/>
        </w:rPr>
        <w:t>I</w:t>
      </w:r>
      <w:r w:rsidR="001D2C46" w:rsidRPr="00E8330A">
        <w:rPr>
          <w:rFonts w:ascii="Verdana" w:hAnsi="Verdana"/>
        </w:rPr>
        <w:t>ndependently continue their professional developmen</w:t>
      </w:r>
      <w:r w:rsidR="00820802" w:rsidRPr="00E8330A">
        <w:rPr>
          <w:rFonts w:ascii="Verdana" w:hAnsi="Verdana"/>
        </w:rPr>
        <w:t xml:space="preserve">t and learning related to teaching in </w:t>
      </w:r>
      <w:r w:rsidR="00CA4014" w:rsidRPr="00E8330A">
        <w:rPr>
          <w:rFonts w:ascii="Verdana" w:hAnsi="Verdana"/>
        </w:rPr>
        <w:t>your</w:t>
      </w:r>
      <w:r w:rsidR="00820802" w:rsidRPr="00E8330A">
        <w:rPr>
          <w:rFonts w:ascii="Verdana" w:hAnsi="Verdana"/>
        </w:rPr>
        <w:t xml:space="preserve"> own discipline</w:t>
      </w:r>
      <w:r w:rsidR="001D2C46" w:rsidRPr="00E8330A">
        <w:rPr>
          <w:rFonts w:ascii="Verdana" w:hAnsi="Verdana"/>
        </w:rPr>
        <w:t xml:space="preserve">. </w:t>
      </w:r>
      <w:r w:rsidR="00CA4014" w:rsidRPr="00E8330A">
        <w:rPr>
          <w:rFonts w:ascii="Verdana" w:hAnsi="Verdana"/>
        </w:rPr>
        <w:t>(PGCHE 6)</w:t>
      </w:r>
    </w:p>
    <w:p w14:paraId="51A02D1F" w14:textId="26EF57E6" w:rsidR="009A2D37" w:rsidRPr="00302082" w:rsidRDefault="00E8330A" w:rsidP="00E8330A">
      <w:pPr>
        <w:numPr>
          <w:ilvl w:val="0"/>
          <w:numId w:val="1"/>
        </w:numPr>
        <w:spacing w:after="120" w:line="240" w:lineRule="auto"/>
        <w:ind w:left="360" w:right="260"/>
        <w:jc w:val="both"/>
        <w:rPr>
          <w:rFonts w:ascii="Arial" w:hAnsi="Arial" w:cs="Arial"/>
          <w:b/>
        </w:rPr>
      </w:pPr>
      <w:r>
        <w:rPr>
          <w:rFonts w:ascii="Arial" w:hAnsi="Arial" w:cs="Arial"/>
          <w:b/>
        </w:rPr>
        <w:lastRenderedPageBreak/>
        <w:t xml:space="preserve"> </w:t>
      </w:r>
      <w:r w:rsidR="009A2D37" w:rsidRPr="00302082">
        <w:rPr>
          <w:rFonts w:ascii="Arial" w:hAnsi="Arial" w:cs="Arial"/>
          <w:b/>
        </w:rPr>
        <w:t>A synopsis of the curriculum</w:t>
      </w:r>
    </w:p>
    <w:p w14:paraId="08EFE9F0" w14:textId="77777777" w:rsidR="00820802" w:rsidRPr="00820802" w:rsidRDefault="00820802" w:rsidP="00E8330A">
      <w:pPr>
        <w:pStyle w:val="ListParagraph"/>
        <w:spacing w:before="20" w:after="20"/>
        <w:ind w:left="360"/>
        <w:rPr>
          <w:rFonts w:ascii="Verdana" w:hAnsi="Verdana"/>
        </w:rPr>
      </w:pPr>
      <w:r w:rsidRPr="00820802">
        <w:rPr>
          <w:rFonts w:ascii="Verdana" w:hAnsi="Verdana"/>
        </w:rPr>
        <w:t xml:space="preserve">This module </w:t>
      </w:r>
      <w:proofErr w:type="gramStart"/>
      <w:r w:rsidRPr="00820802">
        <w:rPr>
          <w:rFonts w:ascii="Verdana" w:hAnsi="Verdana"/>
        </w:rPr>
        <w:t>is intended</w:t>
      </w:r>
      <w:proofErr w:type="gramEnd"/>
      <w:r w:rsidRPr="00820802">
        <w:rPr>
          <w:rFonts w:ascii="Verdana" w:hAnsi="Verdana"/>
        </w:rPr>
        <w:t xml:space="preserve"> to help participants situate their teaching within the discipline they teach and within national and institutional higher education policies. The overall aim is to help participants clarify their own values related to their teaching through critical examination of the values embedded in those contexts and the UK Professional Standards Framework for University Teaching (UKPSF).  To that end, we will start with dilemmas participants encounter in their teaching practice and analyse them in relation to the responsibilities of and accountabilities on academics in the current context.  With support, participants will</w:t>
      </w:r>
      <w:r>
        <w:rPr>
          <w:rFonts w:ascii="Verdana" w:hAnsi="Verdana"/>
        </w:rPr>
        <w:t xml:space="preserve"> also</w:t>
      </w:r>
      <w:r w:rsidRPr="00820802">
        <w:rPr>
          <w:rFonts w:ascii="Verdana" w:hAnsi="Verdana"/>
        </w:rPr>
        <w:t xml:space="preserve"> individually investigate issues particular to teaching in their own subject area.  </w:t>
      </w:r>
    </w:p>
    <w:p w14:paraId="119C7CFD" w14:textId="77777777" w:rsidR="00E8330A" w:rsidRDefault="00E8330A" w:rsidP="00E8330A">
      <w:pPr>
        <w:spacing w:after="120" w:line="240" w:lineRule="auto"/>
        <w:ind w:right="260"/>
        <w:jc w:val="both"/>
        <w:rPr>
          <w:rFonts w:ascii="Arial" w:hAnsi="Arial" w:cs="Arial"/>
          <w:i/>
          <w:iCs/>
        </w:rPr>
      </w:pPr>
    </w:p>
    <w:p w14:paraId="2F8CDD44" w14:textId="1E69D27D" w:rsidR="009A2D37" w:rsidRPr="00E8330A" w:rsidRDefault="00883204" w:rsidP="00E8330A">
      <w:pPr>
        <w:numPr>
          <w:ilvl w:val="0"/>
          <w:numId w:val="1"/>
        </w:numPr>
        <w:spacing w:after="120" w:line="240" w:lineRule="auto"/>
        <w:ind w:left="360" w:right="260"/>
        <w:jc w:val="both"/>
        <w:rPr>
          <w:rFonts w:ascii="Arial" w:hAnsi="Arial" w:cs="Arial"/>
          <w:b/>
        </w:rPr>
      </w:pPr>
      <w:r w:rsidRPr="00E8330A">
        <w:rPr>
          <w:rFonts w:ascii="Arial" w:hAnsi="Arial" w:cs="Arial"/>
          <w:b/>
        </w:rPr>
        <w:t>Reading l</w:t>
      </w:r>
      <w:r w:rsidR="009A2D37" w:rsidRPr="00E8330A">
        <w:rPr>
          <w:rFonts w:ascii="Arial" w:hAnsi="Arial" w:cs="Arial"/>
          <w:b/>
        </w:rPr>
        <w:t xml:space="preserve">ist </w:t>
      </w:r>
      <w:r w:rsidR="00274ED7" w:rsidRPr="00E8330A">
        <w:rPr>
          <w:rFonts w:ascii="Arial" w:hAnsi="Arial" w:cs="Arial"/>
          <w:b/>
        </w:rPr>
        <w:t>(Indicative list, current at time of publication. Reading lists will be published annually)</w:t>
      </w:r>
    </w:p>
    <w:p w14:paraId="4A115471" w14:textId="77777777" w:rsidR="00820802" w:rsidRPr="00E8330A" w:rsidRDefault="00820802" w:rsidP="00E8330A">
      <w:pPr>
        <w:spacing w:after="120" w:line="240" w:lineRule="auto"/>
        <w:ind w:left="360" w:right="260"/>
        <w:jc w:val="both"/>
        <w:rPr>
          <w:rFonts w:ascii="Arial" w:hAnsi="Arial" w:cs="Arial"/>
        </w:rPr>
      </w:pPr>
      <w:r w:rsidRPr="00E8330A">
        <w:rPr>
          <w:rFonts w:ascii="Arial" w:hAnsi="Arial" w:cs="Arial"/>
        </w:rPr>
        <w:t xml:space="preserve">Fry, H., </w:t>
      </w:r>
      <w:proofErr w:type="spellStart"/>
      <w:r w:rsidRPr="00E8330A">
        <w:rPr>
          <w:rFonts w:ascii="Arial" w:hAnsi="Arial" w:cs="Arial"/>
        </w:rPr>
        <w:t>Ketteridge</w:t>
      </w:r>
      <w:proofErr w:type="spellEnd"/>
      <w:r w:rsidRPr="00E8330A">
        <w:rPr>
          <w:rFonts w:ascii="Arial" w:hAnsi="Arial" w:cs="Arial"/>
        </w:rPr>
        <w:t>, S., and Marshall, S, (</w:t>
      </w:r>
      <w:proofErr w:type="spellStart"/>
      <w:r w:rsidRPr="00E8330A">
        <w:rPr>
          <w:rFonts w:ascii="Arial" w:hAnsi="Arial" w:cs="Arial"/>
        </w:rPr>
        <w:t>Eds</w:t>
      </w:r>
      <w:proofErr w:type="spellEnd"/>
      <w:r w:rsidRPr="00E8330A">
        <w:rPr>
          <w:rFonts w:ascii="Arial" w:hAnsi="Arial" w:cs="Arial"/>
        </w:rPr>
        <w:t>) (2015).  A Handbook for Teaching and Learning in</w:t>
      </w:r>
      <w:r w:rsidRPr="00E8330A">
        <w:rPr>
          <w:rFonts w:ascii="Arial" w:hAnsi="Arial" w:cs="Arial"/>
          <w:b/>
        </w:rPr>
        <w:t xml:space="preserve"> </w:t>
      </w:r>
      <w:r w:rsidRPr="00E8330A">
        <w:rPr>
          <w:rFonts w:ascii="Arial" w:hAnsi="Arial" w:cs="Arial"/>
        </w:rPr>
        <w:t xml:space="preserve">Higher Education: </w:t>
      </w:r>
      <w:proofErr w:type="gramStart"/>
      <w:r w:rsidRPr="00E8330A">
        <w:rPr>
          <w:rFonts w:ascii="Arial" w:hAnsi="Arial" w:cs="Arial"/>
        </w:rPr>
        <w:t>4th</w:t>
      </w:r>
      <w:proofErr w:type="gramEnd"/>
      <w:r w:rsidRPr="00E8330A">
        <w:rPr>
          <w:rFonts w:ascii="Arial" w:hAnsi="Arial" w:cs="Arial"/>
        </w:rPr>
        <w:t xml:space="preserve"> Edition. London: Routledge.</w:t>
      </w:r>
    </w:p>
    <w:p w14:paraId="58ED37BF" w14:textId="1ECB7AAB" w:rsidR="00A57BEF" w:rsidRPr="00E8330A" w:rsidRDefault="00A57BEF" w:rsidP="00E8330A">
      <w:pPr>
        <w:spacing w:after="120" w:line="240" w:lineRule="auto"/>
        <w:ind w:left="360" w:right="260"/>
        <w:jc w:val="both"/>
        <w:rPr>
          <w:rFonts w:ascii="Arial" w:hAnsi="Arial" w:cs="Arial"/>
        </w:rPr>
      </w:pPr>
      <w:proofErr w:type="spellStart"/>
      <w:r w:rsidRPr="00E8330A">
        <w:rPr>
          <w:rFonts w:ascii="Arial" w:hAnsi="Arial" w:cs="Arial"/>
        </w:rPr>
        <w:t>Gurung</w:t>
      </w:r>
      <w:proofErr w:type="spellEnd"/>
      <w:r w:rsidRPr="00E8330A">
        <w:rPr>
          <w:rFonts w:ascii="Arial" w:hAnsi="Arial" w:cs="Arial"/>
        </w:rPr>
        <w:t xml:space="preserve">, R. A. R., Chick, N. L., </w:t>
      </w:r>
      <w:r w:rsidR="00A4746E" w:rsidRPr="00E8330A">
        <w:rPr>
          <w:rFonts w:ascii="Arial" w:hAnsi="Arial" w:cs="Arial"/>
        </w:rPr>
        <w:t xml:space="preserve">and </w:t>
      </w:r>
      <w:proofErr w:type="spellStart"/>
      <w:r w:rsidRPr="00E8330A">
        <w:rPr>
          <w:rFonts w:ascii="Arial" w:hAnsi="Arial" w:cs="Arial"/>
        </w:rPr>
        <w:t>Haynie</w:t>
      </w:r>
      <w:proofErr w:type="spellEnd"/>
      <w:r w:rsidRPr="00E8330A">
        <w:rPr>
          <w:rFonts w:ascii="Arial" w:hAnsi="Arial" w:cs="Arial"/>
        </w:rPr>
        <w:t>, A. (2009). Exploring signature pedagogies: approaches to teaching disciplinary habits of mind. Sterling, VA: Stylus.</w:t>
      </w:r>
    </w:p>
    <w:p w14:paraId="1F80889C" w14:textId="2A9E9F73" w:rsidR="00A57BEF" w:rsidRPr="00E8330A" w:rsidRDefault="00A57BEF" w:rsidP="00E8330A">
      <w:pPr>
        <w:spacing w:after="120" w:line="240" w:lineRule="auto"/>
        <w:ind w:left="360" w:right="260"/>
        <w:jc w:val="both"/>
        <w:rPr>
          <w:rFonts w:ascii="Arial" w:hAnsi="Arial" w:cs="Arial"/>
        </w:rPr>
      </w:pPr>
      <w:r w:rsidRPr="00E8330A">
        <w:rPr>
          <w:rFonts w:ascii="Arial" w:hAnsi="Arial" w:cs="Arial"/>
        </w:rPr>
        <w:t>Kirkwood</w:t>
      </w:r>
      <w:r w:rsidR="00A4746E" w:rsidRPr="00E8330A">
        <w:rPr>
          <w:rFonts w:ascii="Arial" w:hAnsi="Arial" w:cs="Arial"/>
        </w:rPr>
        <w:t>, A.</w:t>
      </w:r>
      <w:r w:rsidRPr="00E8330A">
        <w:rPr>
          <w:rFonts w:ascii="Arial" w:hAnsi="Arial" w:cs="Arial"/>
        </w:rPr>
        <w:t xml:space="preserve"> &amp; Price</w:t>
      </w:r>
      <w:r w:rsidR="00A4746E" w:rsidRPr="00E8330A">
        <w:rPr>
          <w:rFonts w:ascii="Arial" w:hAnsi="Arial" w:cs="Arial"/>
        </w:rPr>
        <w:t>, L.</w:t>
      </w:r>
      <w:r w:rsidRPr="00E8330A">
        <w:rPr>
          <w:rFonts w:ascii="Arial" w:hAnsi="Arial" w:cs="Arial"/>
        </w:rPr>
        <w:t xml:space="preserve"> (2014). Technology-enhanced learning and teaching in higher education: what is ‘enhanced’ and how do we know? A critical literature review</w:t>
      </w:r>
      <w:r w:rsidR="00C33C1E" w:rsidRPr="00E8330A">
        <w:rPr>
          <w:rFonts w:ascii="Arial" w:hAnsi="Arial" w:cs="Arial"/>
        </w:rPr>
        <w:t>.</w:t>
      </w:r>
      <w:r w:rsidRPr="00E8330A">
        <w:rPr>
          <w:rFonts w:ascii="Arial" w:hAnsi="Arial" w:cs="Arial"/>
        </w:rPr>
        <w:t xml:space="preserve"> Learning, Media and Technology, 39:1, 6-36. </w:t>
      </w:r>
    </w:p>
    <w:p w14:paraId="21058391" w14:textId="6A474B06" w:rsidR="00A57BEF" w:rsidRPr="00E8330A" w:rsidRDefault="00A57BEF" w:rsidP="00E8330A">
      <w:pPr>
        <w:spacing w:after="120" w:line="240" w:lineRule="auto"/>
        <w:ind w:left="360" w:right="260"/>
        <w:jc w:val="both"/>
        <w:rPr>
          <w:rFonts w:ascii="Arial" w:hAnsi="Arial" w:cs="Arial"/>
        </w:rPr>
      </w:pPr>
      <w:r w:rsidRPr="00E8330A">
        <w:rPr>
          <w:rFonts w:ascii="Arial" w:hAnsi="Arial" w:cs="Arial"/>
        </w:rPr>
        <w:t xml:space="preserve">Henderson, </w:t>
      </w:r>
      <w:r w:rsidR="00A4746E" w:rsidRPr="00E8330A">
        <w:rPr>
          <w:rFonts w:ascii="Arial" w:hAnsi="Arial" w:cs="Arial"/>
        </w:rPr>
        <w:t xml:space="preserve">M., </w:t>
      </w:r>
      <w:r w:rsidRPr="00E8330A">
        <w:rPr>
          <w:rFonts w:ascii="Arial" w:hAnsi="Arial" w:cs="Arial"/>
        </w:rPr>
        <w:t>Selwyn</w:t>
      </w:r>
      <w:r w:rsidR="00A4746E" w:rsidRPr="00E8330A">
        <w:rPr>
          <w:rFonts w:ascii="Arial" w:hAnsi="Arial" w:cs="Arial"/>
        </w:rPr>
        <w:t>, N.</w:t>
      </w:r>
      <w:r w:rsidRPr="00E8330A">
        <w:rPr>
          <w:rFonts w:ascii="Arial" w:hAnsi="Arial" w:cs="Arial"/>
        </w:rPr>
        <w:t xml:space="preserve"> &amp; Aston</w:t>
      </w:r>
      <w:r w:rsidR="00A4746E" w:rsidRPr="00E8330A">
        <w:rPr>
          <w:rFonts w:ascii="Arial" w:hAnsi="Arial" w:cs="Arial"/>
        </w:rPr>
        <w:t>, R.</w:t>
      </w:r>
      <w:r w:rsidRPr="00E8330A">
        <w:rPr>
          <w:rFonts w:ascii="Arial" w:hAnsi="Arial" w:cs="Arial"/>
        </w:rPr>
        <w:t xml:space="preserve"> (201</w:t>
      </w:r>
      <w:r w:rsidR="00A4746E" w:rsidRPr="00E8330A">
        <w:rPr>
          <w:rFonts w:ascii="Arial" w:hAnsi="Arial" w:cs="Arial"/>
        </w:rPr>
        <w:t>7</w:t>
      </w:r>
      <w:r w:rsidRPr="00E8330A">
        <w:rPr>
          <w:rFonts w:ascii="Arial" w:hAnsi="Arial" w:cs="Arial"/>
        </w:rPr>
        <w:t>). What works and why? Student perceptions of ‘useful’ digital technology in university teaching and learning</w:t>
      </w:r>
      <w:r w:rsidR="00C33C1E" w:rsidRPr="00E8330A">
        <w:rPr>
          <w:rFonts w:ascii="Arial" w:hAnsi="Arial" w:cs="Arial"/>
        </w:rPr>
        <w:t>.</w:t>
      </w:r>
      <w:r w:rsidRPr="00E8330A">
        <w:rPr>
          <w:rFonts w:ascii="Arial" w:hAnsi="Arial" w:cs="Arial"/>
        </w:rPr>
        <w:t xml:space="preserve"> Studies in Higher Education.</w:t>
      </w:r>
      <w:r w:rsidR="00A4746E" w:rsidRPr="00E8330A">
        <w:rPr>
          <w:rFonts w:ascii="Arial" w:hAnsi="Arial" w:cs="Arial"/>
        </w:rPr>
        <w:t xml:space="preserve"> 42:8, 1567-1579.</w:t>
      </w:r>
    </w:p>
    <w:p w14:paraId="5B7C2C18" w14:textId="40B9CCFF" w:rsidR="00AE052E" w:rsidRPr="00E8330A" w:rsidRDefault="00A57BEF" w:rsidP="00E8330A">
      <w:pPr>
        <w:spacing w:after="120" w:line="240" w:lineRule="auto"/>
        <w:ind w:left="360" w:right="260"/>
        <w:jc w:val="both"/>
        <w:rPr>
          <w:rFonts w:ascii="Arial" w:hAnsi="Arial" w:cs="Arial"/>
        </w:rPr>
      </w:pPr>
      <w:r w:rsidRPr="00E8330A">
        <w:rPr>
          <w:rFonts w:ascii="Arial" w:hAnsi="Arial" w:cs="Arial"/>
        </w:rPr>
        <w:t xml:space="preserve">Macfarlane, B (2002) </w:t>
      </w:r>
      <w:proofErr w:type="gramStart"/>
      <w:r w:rsidRPr="00E8330A">
        <w:rPr>
          <w:rFonts w:ascii="Arial" w:hAnsi="Arial" w:cs="Arial"/>
        </w:rPr>
        <w:t>Dealing</w:t>
      </w:r>
      <w:proofErr w:type="gramEnd"/>
      <w:r w:rsidRPr="00E8330A">
        <w:rPr>
          <w:rFonts w:ascii="Arial" w:hAnsi="Arial" w:cs="Arial"/>
        </w:rPr>
        <w:t xml:space="preserve"> with Dave’s dilemmas: exploring the ethics of pedagogic practice’</w:t>
      </w:r>
      <w:r w:rsidR="00C33C1E" w:rsidRPr="00E8330A">
        <w:rPr>
          <w:rFonts w:ascii="Arial" w:hAnsi="Arial" w:cs="Arial"/>
        </w:rPr>
        <w:t>.</w:t>
      </w:r>
      <w:r w:rsidRPr="00E8330A">
        <w:rPr>
          <w:rFonts w:ascii="Arial" w:hAnsi="Arial" w:cs="Arial"/>
        </w:rPr>
        <w:t xml:space="preserve"> Teaching in Higher Education, 7, 2,</w:t>
      </w:r>
      <w:r w:rsidR="00C33C1E" w:rsidRPr="00E8330A">
        <w:rPr>
          <w:rFonts w:ascii="Arial" w:hAnsi="Arial" w:cs="Arial"/>
        </w:rPr>
        <w:t xml:space="preserve"> </w:t>
      </w:r>
      <w:r w:rsidRPr="00E8330A">
        <w:rPr>
          <w:rFonts w:ascii="Arial" w:hAnsi="Arial" w:cs="Arial"/>
        </w:rPr>
        <w:t>167-178.</w:t>
      </w:r>
    </w:p>
    <w:p w14:paraId="32FA25A9" w14:textId="77777777" w:rsidR="00AE052E" w:rsidRPr="00A57BEF" w:rsidRDefault="00AE052E" w:rsidP="00E8330A">
      <w:pPr>
        <w:autoSpaceDE w:val="0"/>
        <w:autoSpaceDN w:val="0"/>
        <w:adjustRightInd w:val="0"/>
        <w:ind w:left="207"/>
        <w:contextualSpacing/>
        <w:rPr>
          <w:rFonts w:ascii="Verdana" w:hAnsi="Verdana"/>
        </w:rPr>
      </w:pPr>
    </w:p>
    <w:p w14:paraId="536007E2" w14:textId="77777777" w:rsidR="00883204" w:rsidRPr="00883204" w:rsidRDefault="009A2D37" w:rsidP="00E8330A">
      <w:pPr>
        <w:numPr>
          <w:ilvl w:val="0"/>
          <w:numId w:val="1"/>
        </w:numPr>
        <w:spacing w:after="120" w:line="240" w:lineRule="auto"/>
        <w:ind w:left="360"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34B2EE" w14:textId="62434E5F" w:rsidR="002850D6" w:rsidRDefault="002850D6" w:rsidP="00E8330A">
      <w:pPr>
        <w:pStyle w:val="ListParagraph"/>
        <w:spacing w:after="120" w:line="240" w:lineRule="auto"/>
        <w:ind w:left="360"/>
        <w:rPr>
          <w:rFonts w:ascii="Verdana" w:hAnsi="Verdana" w:cs="Arial"/>
          <w:iCs/>
        </w:rPr>
      </w:pPr>
      <w:r>
        <w:rPr>
          <w:rFonts w:ascii="Verdana" w:hAnsi="Verdana" w:cs="Arial"/>
          <w:iCs/>
        </w:rPr>
        <w:t>Contact hours: 15.5</w:t>
      </w:r>
    </w:p>
    <w:p w14:paraId="0AC109E3" w14:textId="1E7868A1" w:rsidR="002850D6" w:rsidRDefault="002850D6" w:rsidP="00E8330A">
      <w:pPr>
        <w:pStyle w:val="ListParagraph"/>
        <w:spacing w:after="120" w:line="240" w:lineRule="auto"/>
        <w:ind w:left="360"/>
        <w:rPr>
          <w:rFonts w:ascii="Verdana" w:hAnsi="Verdana" w:cs="Arial"/>
          <w:iCs/>
        </w:rPr>
      </w:pPr>
      <w:r>
        <w:rPr>
          <w:rFonts w:ascii="Verdana" w:hAnsi="Verdana" w:cs="Arial"/>
          <w:iCs/>
        </w:rPr>
        <w:t>Private study hours: 134.5</w:t>
      </w:r>
    </w:p>
    <w:p w14:paraId="1976B979" w14:textId="0E87CAB5" w:rsidR="002850D6" w:rsidRDefault="002850D6" w:rsidP="00E8330A">
      <w:pPr>
        <w:pStyle w:val="ListParagraph"/>
        <w:spacing w:after="120" w:line="240" w:lineRule="auto"/>
        <w:ind w:left="360"/>
        <w:rPr>
          <w:rFonts w:ascii="Verdana" w:hAnsi="Verdana" w:cs="Arial"/>
          <w:iCs/>
        </w:rPr>
      </w:pPr>
      <w:r>
        <w:rPr>
          <w:rFonts w:ascii="Verdana" w:hAnsi="Verdana" w:cs="Arial"/>
          <w:iCs/>
        </w:rPr>
        <w:t>Total hours: 150</w:t>
      </w:r>
    </w:p>
    <w:p w14:paraId="0A784604" w14:textId="77777777" w:rsidR="00AE052E" w:rsidRPr="00C20C52" w:rsidRDefault="00AE052E" w:rsidP="00E8330A">
      <w:pPr>
        <w:pStyle w:val="ListParagraph"/>
        <w:spacing w:after="120" w:line="240" w:lineRule="auto"/>
        <w:ind w:left="360"/>
        <w:rPr>
          <w:rFonts w:ascii="Verdana" w:hAnsi="Verdana" w:cs="Arial"/>
          <w:iCs/>
        </w:rPr>
      </w:pPr>
    </w:p>
    <w:p w14:paraId="02B53D42" w14:textId="77777777" w:rsidR="00883204" w:rsidRPr="002E2825" w:rsidRDefault="00EF4933" w:rsidP="00E8330A">
      <w:pPr>
        <w:numPr>
          <w:ilvl w:val="0"/>
          <w:numId w:val="1"/>
        </w:numPr>
        <w:spacing w:after="120" w:line="240" w:lineRule="auto"/>
        <w:ind w:left="360" w:right="260"/>
        <w:rPr>
          <w:rFonts w:ascii="Arial" w:hAnsi="Arial" w:cs="Arial"/>
          <w:i/>
          <w:iCs/>
        </w:rPr>
      </w:pPr>
      <w:r w:rsidRPr="00302082">
        <w:rPr>
          <w:rFonts w:ascii="Arial" w:hAnsi="Arial" w:cs="Arial"/>
          <w:b/>
        </w:rPr>
        <w:t>Assessment methods</w:t>
      </w:r>
    </w:p>
    <w:p w14:paraId="436759D6" w14:textId="4316DDFC" w:rsidR="002850D6" w:rsidRDefault="002850D6" w:rsidP="00E8330A">
      <w:pPr>
        <w:spacing w:after="120" w:line="240" w:lineRule="auto"/>
        <w:ind w:left="360" w:right="260"/>
        <w:rPr>
          <w:rFonts w:ascii="Arial" w:hAnsi="Arial" w:cs="Arial"/>
          <w:b/>
        </w:rPr>
      </w:pPr>
      <w:r>
        <w:rPr>
          <w:rFonts w:ascii="Arial" w:hAnsi="Arial" w:cs="Arial"/>
          <w:b/>
        </w:rPr>
        <w:t>13.1 Main assessment methods</w:t>
      </w:r>
    </w:p>
    <w:p w14:paraId="6EEE3291" w14:textId="05D6F477" w:rsidR="002850D6" w:rsidRPr="00AE052E" w:rsidRDefault="002850D6" w:rsidP="00E8330A">
      <w:pPr>
        <w:spacing w:after="120" w:line="240" w:lineRule="auto"/>
        <w:ind w:left="360" w:right="260"/>
        <w:rPr>
          <w:rFonts w:ascii="Arial" w:hAnsi="Arial" w:cs="Arial"/>
        </w:rPr>
      </w:pPr>
      <w:r w:rsidRPr="00AE052E">
        <w:rPr>
          <w:rFonts w:ascii="Arial" w:hAnsi="Arial" w:cs="Arial"/>
        </w:rPr>
        <w:t>Report, 1,000 word (50%)</w:t>
      </w:r>
    </w:p>
    <w:p w14:paraId="715C3076" w14:textId="68BD0140" w:rsidR="002850D6" w:rsidRPr="00AE052E" w:rsidRDefault="002850D6" w:rsidP="00E8330A">
      <w:pPr>
        <w:spacing w:after="120" w:line="240" w:lineRule="auto"/>
        <w:ind w:left="360" w:right="260"/>
        <w:rPr>
          <w:rFonts w:ascii="Arial" w:hAnsi="Arial" w:cs="Arial"/>
        </w:rPr>
      </w:pPr>
      <w:r w:rsidRPr="00AE052E">
        <w:rPr>
          <w:rFonts w:ascii="Arial" w:hAnsi="Arial" w:cs="Arial"/>
        </w:rPr>
        <w:t>Report, 2,000 word (50%)</w:t>
      </w:r>
    </w:p>
    <w:p w14:paraId="0BE55AB1" w14:textId="7F922F30" w:rsidR="00696FF5" w:rsidRPr="00696FF5" w:rsidRDefault="00AE052E" w:rsidP="00E8330A">
      <w:pPr>
        <w:spacing w:after="120"/>
        <w:ind w:left="360" w:hanging="567"/>
        <w:rPr>
          <w:rFonts w:ascii="Arial" w:hAnsi="Arial" w:cs="Arial"/>
          <w:iCs/>
        </w:rPr>
      </w:pPr>
      <w:r>
        <w:rPr>
          <w:rFonts w:ascii="Arial" w:hAnsi="Arial" w:cs="Arial"/>
          <w:b/>
          <w:iCs/>
        </w:rPr>
        <w:t xml:space="preserve">         </w:t>
      </w:r>
      <w:r w:rsidR="002850D6">
        <w:rPr>
          <w:rFonts w:ascii="Arial" w:hAnsi="Arial" w:cs="Arial"/>
          <w:b/>
          <w:iCs/>
        </w:rPr>
        <w:t xml:space="preserve">13.2 </w:t>
      </w:r>
      <w:r w:rsidR="00696FF5" w:rsidRPr="00903E22">
        <w:rPr>
          <w:rFonts w:ascii="Arial" w:hAnsi="Arial" w:cs="Arial"/>
          <w:b/>
          <w:iCs/>
        </w:rPr>
        <w:t>Reassessment methods</w:t>
      </w:r>
      <w:r w:rsidR="00696FF5" w:rsidRPr="00696FF5">
        <w:rPr>
          <w:rFonts w:ascii="Arial" w:hAnsi="Arial" w:cs="Arial"/>
          <w:iCs/>
        </w:rPr>
        <w:t xml:space="preserve"> </w:t>
      </w:r>
    </w:p>
    <w:p w14:paraId="1A520F62" w14:textId="79141DF5" w:rsidR="007B4ECA" w:rsidRDefault="00AE052E" w:rsidP="00E8330A">
      <w:pPr>
        <w:spacing w:after="120" w:line="240" w:lineRule="auto"/>
        <w:ind w:left="219" w:right="260"/>
        <w:rPr>
          <w:rFonts w:ascii="Verdana" w:hAnsi="Verdana" w:cs="Arial"/>
          <w:color w:val="000000"/>
          <w:shd w:val="clear" w:color="auto" w:fill="FFFFFF"/>
        </w:rPr>
      </w:pPr>
      <w:r>
        <w:rPr>
          <w:rFonts w:ascii="Verdana" w:hAnsi="Verdana" w:cs="Arial"/>
          <w:color w:val="000000"/>
          <w:shd w:val="clear" w:color="auto" w:fill="FFFFFF"/>
        </w:rPr>
        <w:t xml:space="preserve">  </w:t>
      </w:r>
      <w:r w:rsidR="007B4ECA" w:rsidRPr="00903E22">
        <w:rPr>
          <w:rFonts w:ascii="Verdana" w:hAnsi="Verdana" w:cs="Arial"/>
          <w:color w:val="000000"/>
          <w:shd w:val="clear" w:color="auto" w:fill="FFFFFF"/>
        </w:rPr>
        <w:t xml:space="preserve">Like-for-like </w:t>
      </w:r>
    </w:p>
    <w:p w14:paraId="13CE448E" w14:textId="77777777" w:rsidR="00AE052E" w:rsidRPr="005D778A" w:rsidRDefault="00AE052E" w:rsidP="00E8330A">
      <w:pPr>
        <w:spacing w:after="120" w:line="240" w:lineRule="auto"/>
        <w:ind w:left="66" w:right="260"/>
        <w:rPr>
          <w:rFonts w:ascii="Verdana" w:hAnsi="Verdana" w:cs="Arial"/>
          <w:color w:val="000000"/>
          <w:shd w:val="clear" w:color="auto" w:fill="FFFFFF"/>
        </w:rPr>
      </w:pPr>
    </w:p>
    <w:p w14:paraId="5924E1C4" w14:textId="77777777" w:rsidR="00274ED7" w:rsidRDefault="006F3F8B" w:rsidP="00E8330A">
      <w:pPr>
        <w:numPr>
          <w:ilvl w:val="0"/>
          <w:numId w:val="1"/>
        </w:numPr>
        <w:spacing w:after="120" w:line="240" w:lineRule="auto"/>
        <w:ind w:left="360" w:right="261"/>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5670" w:type="dxa"/>
        <w:tblInd w:w="108" w:type="dxa"/>
        <w:tblLayout w:type="fixed"/>
        <w:tblLook w:val="04A0" w:firstRow="1" w:lastRow="0" w:firstColumn="1" w:lastColumn="0" w:noHBand="0" w:noVBand="1"/>
      </w:tblPr>
      <w:tblGrid>
        <w:gridCol w:w="1701"/>
        <w:gridCol w:w="567"/>
        <w:gridCol w:w="567"/>
        <w:gridCol w:w="567"/>
        <w:gridCol w:w="567"/>
        <w:gridCol w:w="567"/>
        <w:gridCol w:w="567"/>
        <w:gridCol w:w="567"/>
      </w:tblGrid>
      <w:tr w:rsidR="002850D6" w:rsidRPr="00302082" w14:paraId="3629A96A" w14:textId="77777777" w:rsidTr="002E2825">
        <w:tc>
          <w:tcPr>
            <w:tcW w:w="1701" w:type="dxa"/>
            <w:shd w:val="clear" w:color="auto" w:fill="D9D9D9" w:themeFill="background1" w:themeFillShade="D9"/>
          </w:tcPr>
          <w:p w14:paraId="76F5FAC2" w14:textId="77777777" w:rsidR="002850D6" w:rsidRPr="00302082" w:rsidRDefault="002850D6" w:rsidP="00824AA8">
            <w:pPr>
              <w:spacing w:after="120"/>
              <w:ind w:left="33"/>
              <w:rPr>
                <w:rFonts w:ascii="Arial" w:hAnsi="Arial" w:cs="Arial"/>
                <w:b/>
              </w:rPr>
            </w:pPr>
            <w:r w:rsidRPr="00302082">
              <w:rPr>
                <w:rFonts w:ascii="Arial" w:hAnsi="Arial" w:cs="Arial"/>
                <w:b/>
              </w:rPr>
              <w:t>Module learning outcome</w:t>
            </w:r>
          </w:p>
        </w:tc>
        <w:tc>
          <w:tcPr>
            <w:tcW w:w="567" w:type="dxa"/>
          </w:tcPr>
          <w:p w14:paraId="4021E9B3" w14:textId="77777777" w:rsidR="002850D6" w:rsidRPr="00302082" w:rsidRDefault="002850D6" w:rsidP="00824AA8">
            <w:pPr>
              <w:spacing w:after="120"/>
              <w:rPr>
                <w:rFonts w:ascii="Arial" w:hAnsi="Arial" w:cs="Arial"/>
                <w:i/>
              </w:rPr>
            </w:pPr>
            <w:r w:rsidRPr="00302082">
              <w:rPr>
                <w:rFonts w:ascii="Arial" w:hAnsi="Arial" w:cs="Arial"/>
                <w:i/>
              </w:rPr>
              <w:t>8.1</w:t>
            </w:r>
          </w:p>
        </w:tc>
        <w:tc>
          <w:tcPr>
            <w:tcW w:w="567" w:type="dxa"/>
          </w:tcPr>
          <w:p w14:paraId="700F3E75" w14:textId="77777777" w:rsidR="002850D6" w:rsidRPr="00302082" w:rsidRDefault="002850D6" w:rsidP="00824AA8">
            <w:pPr>
              <w:spacing w:after="120"/>
              <w:rPr>
                <w:rFonts w:ascii="Arial" w:hAnsi="Arial" w:cs="Arial"/>
                <w:i/>
              </w:rPr>
            </w:pPr>
            <w:r w:rsidRPr="00302082">
              <w:rPr>
                <w:rFonts w:ascii="Arial" w:hAnsi="Arial" w:cs="Arial"/>
                <w:i/>
              </w:rPr>
              <w:t>8.2</w:t>
            </w:r>
          </w:p>
        </w:tc>
        <w:tc>
          <w:tcPr>
            <w:tcW w:w="567" w:type="dxa"/>
          </w:tcPr>
          <w:p w14:paraId="13DC04D2" w14:textId="77777777" w:rsidR="002850D6" w:rsidRPr="00302082" w:rsidRDefault="002850D6" w:rsidP="00824AA8">
            <w:pPr>
              <w:spacing w:after="120"/>
              <w:rPr>
                <w:rFonts w:ascii="Arial" w:hAnsi="Arial" w:cs="Arial"/>
                <w:i/>
              </w:rPr>
            </w:pPr>
            <w:r w:rsidRPr="00302082">
              <w:rPr>
                <w:rFonts w:ascii="Arial" w:hAnsi="Arial" w:cs="Arial"/>
                <w:i/>
              </w:rPr>
              <w:t>8.3</w:t>
            </w:r>
          </w:p>
        </w:tc>
        <w:tc>
          <w:tcPr>
            <w:tcW w:w="567" w:type="dxa"/>
          </w:tcPr>
          <w:p w14:paraId="7AB19892" w14:textId="77777777" w:rsidR="002850D6" w:rsidRDefault="002850D6" w:rsidP="00824AA8">
            <w:pPr>
              <w:spacing w:after="120"/>
              <w:rPr>
                <w:rFonts w:ascii="Arial" w:hAnsi="Arial" w:cs="Arial"/>
                <w:i/>
              </w:rPr>
            </w:pPr>
            <w:r>
              <w:rPr>
                <w:rFonts w:ascii="Arial" w:hAnsi="Arial" w:cs="Arial"/>
                <w:i/>
              </w:rPr>
              <w:t>8.4</w:t>
            </w:r>
          </w:p>
        </w:tc>
        <w:tc>
          <w:tcPr>
            <w:tcW w:w="567" w:type="dxa"/>
          </w:tcPr>
          <w:p w14:paraId="0A37004B" w14:textId="77777777" w:rsidR="002850D6" w:rsidRPr="00302082" w:rsidRDefault="002850D6" w:rsidP="00824AA8">
            <w:pPr>
              <w:spacing w:after="120"/>
              <w:rPr>
                <w:rFonts w:ascii="Arial" w:hAnsi="Arial" w:cs="Arial"/>
                <w:i/>
              </w:rPr>
            </w:pPr>
            <w:r>
              <w:rPr>
                <w:rFonts w:ascii="Arial" w:hAnsi="Arial" w:cs="Arial"/>
                <w:i/>
              </w:rPr>
              <w:t>9.1</w:t>
            </w:r>
          </w:p>
        </w:tc>
        <w:tc>
          <w:tcPr>
            <w:tcW w:w="567" w:type="dxa"/>
          </w:tcPr>
          <w:p w14:paraId="7B12FC68" w14:textId="77777777" w:rsidR="002850D6" w:rsidRPr="00302082" w:rsidRDefault="002850D6" w:rsidP="00824AA8">
            <w:pPr>
              <w:spacing w:after="120"/>
              <w:rPr>
                <w:rFonts w:ascii="Arial" w:hAnsi="Arial" w:cs="Arial"/>
                <w:i/>
              </w:rPr>
            </w:pPr>
            <w:r>
              <w:rPr>
                <w:rFonts w:ascii="Arial" w:hAnsi="Arial" w:cs="Arial"/>
                <w:i/>
              </w:rPr>
              <w:t>9.2</w:t>
            </w:r>
          </w:p>
        </w:tc>
        <w:tc>
          <w:tcPr>
            <w:tcW w:w="567" w:type="dxa"/>
          </w:tcPr>
          <w:p w14:paraId="226A26B5" w14:textId="77777777" w:rsidR="002850D6" w:rsidRPr="00302082" w:rsidRDefault="002850D6" w:rsidP="00824AA8">
            <w:pPr>
              <w:spacing w:after="120"/>
              <w:rPr>
                <w:rFonts w:ascii="Arial" w:hAnsi="Arial" w:cs="Arial"/>
                <w:i/>
              </w:rPr>
            </w:pPr>
            <w:r>
              <w:rPr>
                <w:rFonts w:ascii="Arial" w:hAnsi="Arial" w:cs="Arial"/>
                <w:i/>
              </w:rPr>
              <w:t>9.3</w:t>
            </w:r>
          </w:p>
        </w:tc>
      </w:tr>
      <w:tr w:rsidR="002850D6" w:rsidRPr="00302082" w14:paraId="2A6556BD" w14:textId="77777777" w:rsidTr="002E2825">
        <w:tc>
          <w:tcPr>
            <w:tcW w:w="1701" w:type="dxa"/>
            <w:shd w:val="clear" w:color="auto" w:fill="D9D9D9" w:themeFill="background1" w:themeFillShade="D9"/>
          </w:tcPr>
          <w:p w14:paraId="775514E8" w14:textId="77777777" w:rsidR="002850D6" w:rsidRPr="00302082" w:rsidRDefault="002850D6" w:rsidP="00824AA8">
            <w:pPr>
              <w:spacing w:after="120"/>
              <w:rPr>
                <w:rFonts w:ascii="Arial" w:hAnsi="Arial" w:cs="Arial"/>
                <w:b/>
              </w:rPr>
            </w:pPr>
            <w:r w:rsidRPr="00302082">
              <w:rPr>
                <w:rFonts w:ascii="Arial" w:hAnsi="Arial" w:cs="Arial"/>
                <w:b/>
              </w:rPr>
              <w:lastRenderedPageBreak/>
              <w:t>Learning/ teaching method</w:t>
            </w:r>
          </w:p>
        </w:tc>
        <w:tc>
          <w:tcPr>
            <w:tcW w:w="567" w:type="dxa"/>
          </w:tcPr>
          <w:p w14:paraId="7E08C6E6" w14:textId="77777777" w:rsidR="002850D6" w:rsidRPr="00302082" w:rsidRDefault="002850D6" w:rsidP="00824AA8">
            <w:pPr>
              <w:spacing w:after="120"/>
              <w:rPr>
                <w:rFonts w:ascii="Arial" w:hAnsi="Arial" w:cs="Arial"/>
                <w:b/>
              </w:rPr>
            </w:pPr>
          </w:p>
        </w:tc>
        <w:tc>
          <w:tcPr>
            <w:tcW w:w="567" w:type="dxa"/>
          </w:tcPr>
          <w:p w14:paraId="31C368AE" w14:textId="77777777" w:rsidR="002850D6" w:rsidRPr="00302082" w:rsidRDefault="002850D6" w:rsidP="00824AA8">
            <w:pPr>
              <w:spacing w:after="120"/>
              <w:rPr>
                <w:rFonts w:ascii="Arial" w:hAnsi="Arial" w:cs="Arial"/>
                <w:b/>
              </w:rPr>
            </w:pPr>
          </w:p>
        </w:tc>
        <w:tc>
          <w:tcPr>
            <w:tcW w:w="567" w:type="dxa"/>
          </w:tcPr>
          <w:p w14:paraId="3093B041" w14:textId="77777777" w:rsidR="002850D6" w:rsidRPr="00302082" w:rsidRDefault="002850D6" w:rsidP="00824AA8">
            <w:pPr>
              <w:spacing w:after="120"/>
              <w:rPr>
                <w:rFonts w:ascii="Arial" w:hAnsi="Arial" w:cs="Arial"/>
                <w:b/>
              </w:rPr>
            </w:pPr>
          </w:p>
        </w:tc>
        <w:tc>
          <w:tcPr>
            <w:tcW w:w="567" w:type="dxa"/>
          </w:tcPr>
          <w:p w14:paraId="2CDD8DAC" w14:textId="77777777" w:rsidR="002850D6" w:rsidRPr="00302082" w:rsidRDefault="002850D6" w:rsidP="00824AA8">
            <w:pPr>
              <w:spacing w:after="120"/>
              <w:rPr>
                <w:rFonts w:ascii="Arial" w:hAnsi="Arial" w:cs="Arial"/>
                <w:b/>
              </w:rPr>
            </w:pPr>
          </w:p>
        </w:tc>
        <w:tc>
          <w:tcPr>
            <w:tcW w:w="567" w:type="dxa"/>
          </w:tcPr>
          <w:p w14:paraId="4A90D414" w14:textId="77777777" w:rsidR="002850D6" w:rsidRPr="00302082" w:rsidRDefault="002850D6" w:rsidP="00824AA8">
            <w:pPr>
              <w:spacing w:after="120"/>
              <w:rPr>
                <w:rFonts w:ascii="Arial" w:hAnsi="Arial" w:cs="Arial"/>
                <w:b/>
              </w:rPr>
            </w:pPr>
          </w:p>
        </w:tc>
        <w:tc>
          <w:tcPr>
            <w:tcW w:w="567" w:type="dxa"/>
          </w:tcPr>
          <w:p w14:paraId="3124DFE1" w14:textId="77777777" w:rsidR="002850D6" w:rsidRPr="00302082" w:rsidRDefault="002850D6" w:rsidP="00824AA8">
            <w:pPr>
              <w:spacing w:after="120"/>
              <w:rPr>
                <w:rFonts w:ascii="Arial" w:hAnsi="Arial" w:cs="Arial"/>
                <w:b/>
              </w:rPr>
            </w:pPr>
          </w:p>
        </w:tc>
        <w:tc>
          <w:tcPr>
            <w:tcW w:w="567" w:type="dxa"/>
          </w:tcPr>
          <w:p w14:paraId="6EAD81B1" w14:textId="77777777" w:rsidR="002850D6" w:rsidRPr="00302082" w:rsidRDefault="002850D6" w:rsidP="00824AA8">
            <w:pPr>
              <w:spacing w:after="120"/>
              <w:rPr>
                <w:rFonts w:ascii="Arial" w:hAnsi="Arial" w:cs="Arial"/>
                <w:b/>
              </w:rPr>
            </w:pPr>
          </w:p>
        </w:tc>
      </w:tr>
      <w:tr w:rsidR="002850D6" w:rsidRPr="00302082" w14:paraId="0DB5FC05" w14:textId="77777777" w:rsidTr="002E2825">
        <w:tc>
          <w:tcPr>
            <w:tcW w:w="1701" w:type="dxa"/>
          </w:tcPr>
          <w:p w14:paraId="0CBD60C3" w14:textId="77777777" w:rsidR="002850D6" w:rsidRPr="00302082" w:rsidRDefault="002850D6" w:rsidP="00824AA8">
            <w:pPr>
              <w:spacing w:after="120"/>
              <w:rPr>
                <w:rFonts w:ascii="Arial" w:hAnsi="Arial" w:cs="Arial"/>
                <w:b/>
              </w:rPr>
            </w:pPr>
            <w:r w:rsidRPr="00302082">
              <w:rPr>
                <w:rFonts w:ascii="Arial" w:hAnsi="Arial" w:cs="Arial"/>
                <w:b/>
              </w:rPr>
              <w:t>Private Study</w:t>
            </w:r>
          </w:p>
        </w:tc>
        <w:tc>
          <w:tcPr>
            <w:tcW w:w="567" w:type="dxa"/>
          </w:tcPr>
          <w:p w14:paraId="23EBE597" w14:textId="77777777" w:rsidR="002850D6" w:rsidRPr="00302082" w:rsidRDefault="002850D6" w:rsidP="00824AA8">
            <w:pPr>
              <w:spacing w:after="120"/>
              <w:rPr>
                <w:rFonts w:ascii="Arial" w:hAnsi="Arial" w:cs="Arial"/>
                <w:b/>
              </w:rPr>
            </w:pPr>
            <w:r>
              <w:rPr>
                <w:rFonts w:ascii="Arial" w:hAnsi="Arial" w:cs="Arial"/>
                <w:b/>
              </w:rPr>
              <w:t>x</w:t>
            </w:r>
          </w:p>
        </w:tc>
        <w:tc>
          <w:tcPr>
            <w:tcW w:w="567" w:type="dxa"/>
          </w:tcPr>
          <w:p w14:paraId="2BD395BE" w14:textId="77777777" w:rsidR="002850D6" w:rsidRPr="00302082" w:rsidRDefault="002850D6" w:rsidP="00824AA8">
            <w:pPr>
              <w:spacing w:after="120"/>
              <w:rPr>
                <w:rFonts w:ascii="Arial" w:hAnsi="Arial" w:cs="Arial"/>
                <w:b/>
              </w:rPr>
            </w:pPr>
            <w:r>
              <w:rPr>
                <w:rFonts w:ascii="Arial" w:hAnsi="Arial" w:cs="Arial"/>
                <w:b/>
              </w:rPr>
              <w:t>x</w:t>
            </w:r>
          </w:p>
        </w:tc>
        <w:tc>
          <w:tcPr>
            <w:tcW w:w="567" w:type="dxa"/>
          </w:tcPr>
          <w:p w14:paraId="6F24633A" w14:textId="77777777" w:rsidR="002850D6" w:rsidRPr="00302082" w:rsidRDefault="002850D6" w:rsidP="00824AA8">
            <w:pPr>
              <w:spacing w:after="120"/>
              <w:rPr>
                <w:rFonts w:ascii="Arial" w:hAnsi="Arial" w:cs="Arial"/>
                <w:b/>
              </w:rPr>
            </w:pPr>
            <w:r>
              <w:rPr>
                <w:rFonts w:ascii="Arial" w:hAnsi="Arial" w:cs="Arial"/>
                <w:b/>
              </w:rPr>
              <w:t>x</w:t>
            </w:r>
          </w:p>
        </w:tc>
        <w:tc>
          <w:tcPr>
            <w:tcW w:w="567" w:type="dxa"/>
          </w:tcPr>
          <w:p w14:paraId="61FF93AA" w14:textId="77777777" w:rsidR="002850D6" w:rsidRDefault="002850D6" w:rsidP="00824AA8">
            <w:pPr>
              <w:spacing w:after="120"/>
              <w:rPr>
                <w:rFonts w:ascii="Arial" w:hAnsi="Arial" w:cs="Arial"/>
                <w:b/>
              </w:rPr>
            </w:pPr>
            <w:r>
              <w:rPr>
                <w:rFonts w:ascii="Arial" w:hAnsi="Arial" w:cs="Arial"/>
                <w:b/>
              </w:rPr>
              <w:t>x</w:t>
            </w:r>
          </w:p>
        </w:tc>
        <w:tc>
          <w:tcPr>
            <w:tcW w:w="567" w:type="dxa"/>
          </w:tcPr>
          <w:p w14:paraId="24D0DAAB" w14:textId="77777777" w:rsidR="002850D6" w:rsidRPr="00302082" w:rsidRDefault="002850D6" w:rsidP="00824AA8">
            <w:pPr>
              <w:spacing w:after="120"/>
              <w:rPr>
                <w:rFonts w:ascii="Arial" w:hAnsi="Arial" w:cs="Arial"/>
                <w:b/>
              </w:rPr>
            </w:pPr>
            <w:r>
              <w:rPr>
                <w:rFonts w:ascii="Arial" w:hAnsi="Arial" w:cs="Arial"/>
                <w:b/>
              </w:rPr>
              <w:t>x</w:t>
            </w:r>
          </w:p>
        </w:tc>
        <w:tc>
          <w:tcPr>
            <w:tcW w:w="567" w:type="dxa"/>
          </w:tcPr>
          <w:p w14:paraId="7B6199E6" w14:textId="4A94B08E" w:rsidR="002850D6" w:rsidRPr="00302082" w:rsidRDefault="002850D6" w:rsidP="00824AA8">
            <w:pPr>
              <w:spacing w:after="120"/>
              <w:rPr>
                <w:rFonts w:ascii="Arial" w:hAnsi="Arial" w:cs="Arial"/>
                <w:b/>
              </w:rPr>
            </w:pPr>
            <w:r>
              <w:rPr>
                <w:rFonts w:ascii="Arial" w:hAnsi="Arial" w:cs="Arial"/>
                <w:b/>
              </w:rPr>
              <w:t>x</w:t>
            </w:r>
          </w:p>
        </w:tc>
        <w:tc>
          <w:tcPr>
            <w:tcW w:w="567" w:type="dxa"/>
          </w:tcPr>
          <w:p w14:paraId="6A5A0D34" w14:textId="77777777" w:rsidR="002850D6" w:rsidRPr="00302082" w:rsidRDefault="002850D6" w:rsidP="00824AA8">
            <w:pPr>
              <w:spacing w:after="120"/>
              <w:rPr>
                <w:rFonts w:ascii="Arial" w:hAnsi="Arial" w:cs="Arial"/>
                <w:b/>
              </w:rPr>
            </w:pPr>
            <w:r>
              <w:rPr>
                <w:rFonts w:ascii="Arial" w:hAnsi="Arial" w:cs="Arial"/>
                <w:b/>
              </w:rPr>
              <w:t>x</w:t>
            </w:r>
          </w:p>
        </w:tc>
      </w:tr>
      <w:tr w:rsidR="002850D6" w:rsidRPr="00302082" w14:paraId="7D3DB5F5" w14:textId="77777777" w:rsidTr="002E2825">
        <w:tc>
          <w:tcPr>
            <w:tcW w:w="1701" w:type="dxa"/>
          </w:tcPr>
          <w:p w14:paraId="19920271" w14:textId="77777777" w:rsidR="002850D6" w:rsidRPr="00B72F1C" w:rsidRDefault="002850D6" w:rsidP="00824AA8">
            <w:pPr>
              <w:spacing w:after="120"/>
              <w:rPr>
                <w:rFonts w:ascii="Arial" w:hAnsi="Arial" w:cs="Arial"/>
                <w:b/>
              </w:rPr>
            </w:pPr>
            <w:r w:rsidRPr="00B72F1C">
              <w:rPr>
                <w:rFonts w:ascii="Arial" w:hAnsi="Arial" w:cs="Arial"/>
                <w:b/>
              </w:rPr>
              <w:t>Seminars</w:t>
            </w:r>
          </w:p>
        </w:tc>
        <w:tc>
          <w:tcPr>
            <w:tcW w:w="567" w:type="dxa"/>
          </w:tcPr>
          <w:p w14:paraId="3A72BD2B" w14:textId="77777777" w:rsidR="002850D6" w:rsidRPr="00302082" w:rsidRDefault="002850D6" w:rsidP="00824AA8">
            <w:pPr>
              <w:spacing w:after="120"/>
              <w:rPr>
                <w:rFonts w:ascii="Arial" w:hAnsi="Arial" w:cs="Arial"/>
                <w:b/>
              </w:rPr>
            </w:pPr>
            <w:r>
              <w:rPr>
                <w:rFonts w:ascii="Arial" w:hAnsi="Arial" w:cs="Arial"/>
                <w:b/>
              </w:rPr>
              <w:t>x</w:t>
            </w:r>
          </w:p>
        </w:tc>
        <w:tc>
          <w:tcPr>
            <w:tcW w:w="567" w:type="dxa"/>
          </w:tcPr>
          <w:p w14:paraId="5ECFF894" w14:textId="77777777" w:rsidR="002850D6" w:rsidRPr="00302082" w:rsidRDefault="002850D6" w:rsidP="00824AA8">
            <w:pPr>
              <w:spacing w:after="120"/>
              <w:rPr>
                <w:rFonts w:ascii="Arial" w:hAnsi="Arial" w:cs="Arial"/>
                <w:b/>
              </w:rPr>
            </w:pPr>
            <w:r>
              <w:rPr>
                <w:rFonts w:ascii="Arial" w:hAnsi="Arial" w:cs="Arial"/>
                <w:b/>
              </w:rPr>
              <w:t>x</w:t>
            </w:r>
          </w:p>
        </w:tc>
        <w:tc>
          <w:tcPr>
            <w:tcW w:w="567" w:type="dxa"/>
          </w:tcPr>
          <w:p w14:paraId="6B803D6C" w14:textId="4F2D41D9" w:rsidR="002850D6" w:rsidRPr="00302082" w:rsidRDefault="002850D6" w:rsidP="00824AA8">
            <w:pPr>
              <w:spacing w:after="120"/>
              <w:rPr>
                <w:rFonts w:ascii="Arial" w:hAnsi="Arial" w:cs="Arial"/>
                <w:b/>
              </w:rPr>
            </w:pPr>
            <w:r>
              <w:rPr>
                <w:rFonts w:ascii="Arial" w:hAnsi="Arial" w:cs="Arial"/>
                <w:b/>
              </w:rPr>
              <w:t>x</w:t>
            </w:r>
          </w:p>
        </w:tc>
        <w:tc>
          <w:tcPr>
            <w:tcW w:w="567" w:type="dxa"/>
          </w:tcPr>
          <w:p w14:paraId="31C15B83" w14:textId="77777777" w:rsidR="002850D6" w:rsidRPr="00302082" w:rsidRDefault="002850D6" w:rsidP="00824AA8">
            <w:pPr>
              <w:spacing w:after="120"/>
              <w:rPr>
                <w:rFonts w:ascii="Arial" w:hAnsi="Arial" w:cs="Arial"/>
                <w:b/>
              </w:rPr>
            </w:pPr>
            <w:r>
              <w:rPr>
                <w:rFonts w:ascii="Arial" w:hAnsi="Arial" w:cs="Arial"/>
                <w:b/>
              </w:rPr>
              <w:t>x</w:t>
            </w:r>
          </w:p>
        </w:tc>
        <w:tc>
          <w:tcPr>
            <w:tcW w:w="567" w:type="dxa"/>
          </w:tcPr>
          <w:p w14:paraId="61E06D0E" w14:textId="77777777" w:rsidR="002850D6" w:rsidRPr="00302082" w:rsidRDefault="002850D6" w:rsidP="00824AA8">
            <w:pPr>
              <w:spacing w:after="120"/>
              <w:rPr>
                <w:rFonts w:ascii="Arial" w:hAnsi="Arial" w:cs="Arial"/>
                <w:b/>
              </w:rPr>
            </w:pPr>
          </w:p>
        </w:tc>
        <w:tc>
          <w:tcPr>
            <w:tcW w:w="567" w:type="dxa"/>
          </w:tcPr>
          <w:p w14:paraId="79C4A253" w14:textId="77777777" w:rsidR="002850D6" w:rsidRPr="00302082" w:rsidRDefault="002850D6" w:rsidP="00824AA8">
            <w:pPr>
              <w:spacing w:after="120"/>
              <w:rPr>
                <w:rFonts w:ascii="Arial" w:hAnsi="Arial" w:cs="Arial"/>
                <w:b/>
              </w:rPr>
            </w:pPr>
            <w:r>
              <w:rPr>
                <w:rFonts w:ascii="Arial" w:hAnsi="Arial" w:cs="Arial"/>
                <w:b/>
              </w:rPr>
              <w:t>x</w:t>
            </w:r>
          </w:p>
        </w:tc>
        <w:tc>
          <w:tcPr>
            <w:tcW w:w="567" w:type="dxa"/>
          </w:tcPr>
          <w:p w14:paraId="07944E1B" w14:textId="77777777" w:rsidR="002850D6" w:rsidRPr="00302082" w:rsidRDefault="002850D6" w:rsidP="00824AA8">
            <w:pPr>
              <w:spacing w:after="120"/>
              <w:rPr>
                <w:rFonts w:ascii="Arial" w:hAnsi="Arial" w:cs="Arial"/>
                <w:b/>
              </w:rPr>
            </w:pPr>
          </w:p>
        </w:tc>
      </w:tr>
      <w:tr w:rsidR="002850D6" w:rsidRPr="00302082" w14:paraId="2B4C722A" w14:textId="77777777" w:rsidTr="002E2825">
        <w:tc>
          <w:tcPr>
            <w:tcW w:w="1701" w:type="dxa"/>
          </w:tcPr>
          <w:p w14:paraId="437A7EE0" w14:textId="77777777" w:rsidR="002850D6" w:rsidRPr="00302082" w:rsidRDefault="002850D6" w:rsidP="00824AA8">
            <w:pPr>
              <w:spacing w:after="120"/>
              <w:rPr>
                <w:rFonts w:ascii="Arial" w:hAnsi="Arial" w:cs="Arial"/>
                <w:i/>
              </w:rPr>
            </w:pPr>
            <w:r>
              <w:rPr>
                <w:rFonts w:ascii="Arial" w:hAnsi="Arial" w:cs="Arial"/>
                <w:i/>
              </w:rPr>
              <w:t>Individual Tutorial</w:t>
            </w:r>
          </w:p>
        </w:tc>
        <w:tc>
          <w:tcPr>
            <w:tcW w:w="567" w:type="dxa"/>
          </w:tcPr>
          <w:p w14:paraId="4AC1DFC1" w14:textId="47FCABA7" w:rsidR="002850D6" w:rsidRPr="00302082" w:rsidRDefault="002850D6" w:rsidP="00824AA8">
            <w:pPr>
              <w:spacing w:after="120"/>
              <w:rPr>
                <w:rFonts w:ascii="Arial" w:hAnsi="Arial" w:cs="Arial"/>
                <w:b/>
              </w:rPr>
            </w:pPr>
          </w:p>
        </w:tc>
        <w:tc>
          <w:tcPr>
            <w:tcW w:w="567" w:type="dxa"/>
          </w:tcPr>
          <w:p w14:paraId="0AB1DEAF" w14:textId="77777777" w:rsidR="002850D6" w:rsidRPr="00302082" w:rsidRDefault="002850D6" w:rsidP="00824AA8">
            <w:pPr>
              <w:spacing w:after="120"/>
              <w:rPr>
                <w:rFonts w:ascii="Arial" w:hAnsi="Arial" w:cs="Arial"/>
                <w:b/>
              </w:rPr>
            </w:pPr>
          </w:p>
        </w:tc>
        <w:tc>
          <w:tcPr>
            <w:tcW w:w="567" w:type="dxa"/>
          </w:tcPr>
          <w:p w14:paraId="64B8A4CE" w14:textId="43521157" w:rsidR="002850D6" w:rsidRPr="00302082" w:rsidRDefault="002850D6" w:rsidP="00824AA8">
            <w:pPr>
              <w:spacing w:after="120"/>
              <w:rPr>
                <w:rFonts w:ascii="Arial" w:hAnsi="Arial" w:cs="Arial"/>
                <w:b/>
              </w:rPr>
            </w:pPr>
          </w:p>
        </w:tc>
        <w:tc>
          <w:tcPr>
            <w:tcW w:w="567" w:type="dxa"/>
          </w:tcPr>
          <w:p w14:paraId="1A976CBF" w14:textId="77777777" w:rsidR="002850D6" w:rsidRPr="00302082" w:rsidRDefault="002850D6" w:rsidP="00824AA8">
            <w:pPr>
              <w:spacing w:after="120"/>
              <w:rPr>
                <w:rFonts w:ascii="Arial" w:hAnsi="Arial" w:cs="Arial"/>
                <w:b/>
              </w:rPr>
            </w:pPr>
            <w:r>
              <w:rPr>
                <w:rFonts w:ascii="Arial" w:hAnsi="Arial" w:cs="Arial"/>
                <w:b/>
              </w:rPr>
              <w:t>x</w:t>
            </w:r>
          </w:p>
        </w:tc>
        <w:tc>
          <w:tcPr>
            <w:tcW w:w="567" w:type="dxa"/>
          </w:tcPr>
          <w:p w14:paraId="3E33A32B" w14:textId="33602A92" w:rsidR="002850D6" w:rsidRPr="00302082" w:rsidRDefault="002850D6" w:rsidP="00824AA8">
            <w:pPr>
              <w:spacing w:after="120"/>
              <w:rPr>
                <w:rFonts w:ascii="Arial" w:hAnsi="Arial" w:cs="Arial"/>
                <w:b/>
              </w:rPr>
            </w:pPr>
            <w:r>
              <w:rPr>
                <w:rFonts w:ascii="Arial" w:hAnsi="Arial" w:cs="Arial"/>
                <w:b/>
              </w:rPr>
              <w:t>x</w:t>
            </w:r>
          </w:p>
        </w:tc>
        <w:tc>
          <w:tcPr>
            <w:tcW w:w="567" w:type="dxa"/>
          </w:tcPr>
          <w:p w14:paraId="5E0782E8" w14:textId="0B4DEFFE" w:rsidR="002850D6" w:rsidRPr="00302082" w:rsidRDefault="002850D6" w:rsidP="00824AA8">
            <w:pPr>
              <w:spacing w:after="120"/>
              <w:rPr>
                <w:rFonts w:ascii="Arial" w:hAnsi="Arial" w:cs="Arial"/>
                <w:b/>
              </w:rPr>
            </w:pPr>
            <w:r>
              <w:rPr>
                <w:rFonts w:ascii="Arial" w:hAnsi="Arial" w:cs="Arial"/>
                <w:b/>
              </w:rPr>
              <w:t>x</w:t>
            </w:r>
          </w:p>
        </w:tc>
        <w:tc>
          <w:tcPr>
            <w:tcW w:w="567" w:type="dxa"/>
          </w:tcPr>
          <w:p w14:paraId="6135F9C3" w14:textId="77777777" w:rsidR="002850D6" w:rsidRPr="00302082" w:rsidRDefault="002850D6" w:rsidP="00824AA8">
            <w:pPr>
              <w:spacing w:after="120"/>
              <w:rPr>
                <w:rFonts w:ascii="Arial" w:hAnsi="Arial" w:cs="Arial"/>
                <w:b/>
              </w:rPr>
            </w:pPr>
          </w:p>
        </w:tc>
      </w:tr>
      <w:tr w:rsidR="002850D6" w:rsidRPr="00302082" w14:paraId="060B8738" w14:textId="77777777" w:rsidTr="002E2825">
        <w:tc>
          <w:tcPr>
            <w:tcW w:w="1701" w:type="dxa"/>
            <w:shd w:val="clear" w:color="auto" w:fill="D9D9D9" w:themeFill="background1" w:themeFillShade="D9"/>
          </w:tcPr>
          <w:p w14:paraId="2EC47FF6" w14:textId="77777777" w:rsidR="002850D6" w:rsidRPr="00302082" w:rsidRDefault="002850D6" w:rsidP="00824AA8">
            <w:pPr>
              <w:spacing w:after="120"/>
              <w:rPr>
                <w:rFonts w:ascii="Arial" w:hAnsi="Arial" w:cs="Arial"/>
                <w:b/>
              </w:rPr>
            </w:pPr>
            <w:r w:rsidRPr="00302082">
              <w:rPr>
                <w:rFonts w:ascii="Arial" w:hAnsi="Arial" w:cs="Arial"/>
                <w:b/>
              </w:rPr>
              <w:t>Assessment method</w:t>
            </w:r>
          </w:p>
        </w:tc>
        <w:tc>
          <w:tcPr>
            <w:tcW w:w="567" w:type="dxa"/>
          </w:tcPr>
          <w:p w14:paraId="68E5CE96" w14:textId="77777777" w:rsidR="002850D6" w:rsidRPr="00302082" w:rsidRDefault="002850D6" w:rsidP="00824AA8">
            <w:pPr>
              <w:spacing w:after="120"/>
              <w:rPr>
                <w:rFonts w:ascii="Arial" w:hAnsi="Arial" w:cs="Arial"/>
                <w:b/>
              </w:rPr>
            </w:pPr>
          </w:p>
        </w:tc>
        <w:tc>
          <w:tcPr>
            <w:tcW w:w="567" w:type="dxa"/>
          </w:tcPr>
          <w:p w14:paraId="53334621" w14:textId="77777777" w:rsidR="002850D6" w:rsidRPr="00302082" w:rsidRDefault="002850D6" w:rsidP="00824AA8">
            <w:pPr>
              <w:spacing w:after="120"/>
              <w:rPr>
                <w:rFonts w:ascii="Arial" w:hAnsi="Arial" w:cs="Arial"/>
                <w:b/>
              </w:rPr>
            </w:pPr>
          </w:p>
        </w:tc>
        <w:tc>
          <w:tcPr>
            <w:tcW w:w="567" w:type="dxa"/>
          </w:tcPr>
          <w:p w14:paraId="71164091" w14:textId="77777777" w:rsidR="002850D6" w:rsidRPr="00302082" w:rsidRDefault="002850D6" w:rsidP="00824AA8">
            <w:pPr>
              <w:spacing w:after="120"/>
              <w:rPr>
                <w:rFonts w:ascii="Arial" w:hAnsi="Arial" w:cs="Arial"/>
                <w:b/>
              </w:rPr>
            </w:pPr>
          </w:p>
        </w:tc>
        <w:tc>
          <w:tcPr>
            <w:tcW w:w="567" w:type="dxa"/>
          </w:tcPr>
          <w:p w14:paraId="7DB8000B" w14:textId="77777777" w:rsidR="002850D6" w:rsidRPr="00302082" w:rsidRDefault="002850D6" w:rsidP="00824AA8">
            <w:pPr>
              <w:spacing w:after="120"/>
              <w:rPr>
                <w:rFonts w:ascii="Arial" w:hAnsi="Arial" w:cs="Arial"/>
                <w:b/>
              </w:rPr>
            </w:pPr>
          </w:p>
        </w:tc>
        <w:tc>
          <w:tcPr>
            <w:tcW w:w="567" w:type="dxa"/>
          </w:tcPr>
          <w:p w14:paraId="16E6B27D" w14:textId="77777777" w:rsidR="002850D6" w:rsidRPr="00302082" w:rsidRDefault="002850D6" w:rsidP="00824AA8">
            <w:pPr>
              <w:spacing w:after="120"/>
              <w:rPr>
                <w:rFonts w:ascii="Arial" w:hAnsi="Arial" w:cs="Arial"/>
                <w:b/>
              </w:rPr>
            </w:pPr>
          </w:p>
        </w:tc>
        <w:tc>
          <w:tcPr>
            <w:tcW w:w="567" w:type="dxa"/>
          </w:tcPr>
          <w:p w14:paraId="2B5A2F11" w14:textId="77777777" w:rsidR="002850D6" w:rsidRPr="00302082" w:rsidRDefault="002850D6" w:rsidP="00824AA8">
            <w:pPr>
              <w:spacing w:after="120"/>
              <w:rPr>
                <w:rFonts w:ascii="Arial" w:hAnsi="Arial" w:cs="Arial"/>
                <w:b/>
              </w:rPr>
            </w:pPr>
          </w:p>
        </w:tc>
        <w:tc>
          <w:tcPr>
            <w:tcW w:w="567" w:type="dxa"/>
          </w:tcPr>
          <w:p w14:paraId="3DCC67DB" w14:textId="77777777" w:rsidR="002850D6" w:rsidRPr="00302082" w:rsidRDefault="002850D6" w:rsidP="00824AA8">
            <w:pPr>
              <w:spacing w:after="120"/>
              <w:rPr>
                <w:rFonts w:ascii="Arial" w:hAnsi="Arial" w:cs="Arial"/>
                <w:b/>
              </w:rPr>
            </w:pPr>
          </w:p>
        </w:tc>
      </w:tr>
      <w:tr w:rsidR="002850D6" w:rsidRPr="00302082" w14:paraId="0D8D05D4" w14:textId="77777777" w:rsidTr="002E2825">
        <w:tc>
          <w:tcPr>
            <w:tcW w:w="1701" w:type="dxa"/>
          </w:tcPr>
          <w:p w14:paraId="034F1A22" w14:textId="77777777" w:rsidR="002850D6" w:rsidRPr="00302082" w:rsidRDefault="002850D6" w:rsidP="00824AA8">
            <w:pPr>
              <w:spacing w:after="120"/>
              <w:rPr>
                <w:rFonts w:ascii="Arial" w:hAnsi="Arial" w:cs="Arial"/>
                <w:i/>
              </w:rPr>
            </w:pPr>
            <w:r>
              <w:rPr>
                <w:rFonts w:ascii="Arial" w:hAnsi="Arial" w:cs="Arial"/>
                <w:i/>
              </w:rPr>
              <w:t>Assignment 1</w:t>
            </w:r>
          </w:p>
        </w:tc>
        <w:tc>
          <w:tcPr>
            <w:tcW w:w="567" w:type="dxa"/>
          </w:tcPr>
          <w:p w14:paraId="7871F270" w14:textId="77777777" w:rsidR="002850D6" w:rsidRPr="00302082" w:rsidRDefault="002850D6" w:rsidP="00824AA8">
            <w:pPr>
              <w:spacing w:after="120"/>
              <w:rPr>
                <w:rFonts w:ascii="Arial" w:hAnsi="Arial" w:cs="Arial"/>
                <w:b/>
              </w:rPr>
            </w:pPr>
          </w:p>
        </w:tc>
        <w:tc>
          <w:tcPr>
            <w:tcW w:w="567" w:type="dxa"/>
          </w:tcPr>
          <w:p w14:paraId="466EB92D" w14:textId="77777777" w:rsidR="002850D6" w:rsidRPr="00302082" w:rsidRDefault="002850D6" w:rsidP="00824AA8">
            <w:pPr>
              <w:spacing w:after="120"/>
              <w:rPr>
                <w:rFonts w:ascii="Arial" w:hAnsi="Arial" w:cs="Arial"/>
                <w:b/>
              </w:rPr>
            </w:pPr>
            <w:r>
              <w:rPr>
                <w:rFonts w:ascii="Arial" w:hAnsi="Arial" w:cs="Arial"/>
                <w:b/>
              </w:rPr>
              <w:t>x</w:t>
            </w:r>
          </w:p>
        </w:tc>
        <w:tc>
          <w:tcPr>
            <w:tcW w:w="567" w:type="dxa"/>
          </w:tcPr>
          <w:p w14:paraId="20C2BFB4" w14:textId="77777777" w:rsidR="002850D6" w:rsidRPr="00302082" w:rsidRDefault="002850D6" w:rsidP="00824AA8">
            <w:pPr>
              <w:spacing w:after="120"/>
              <w:rPr>
                <w:rFonts w:ascii="Arial" w:hAnsi="Arial" w:cs="Arial"/>
                <w:b/>
              </w:rPr>
            </w:pPr>
            <w:r>
              <w:rPr>
                <w:rFonts w:ascii="Arial" w:hAnsi="Arial" w:cs="Arial"/>
                <w:b/>
              </w:rPr>
              <w:t>x</w:t>
            </w:r>
          </w:p>
        </w:tc>
        <w:tc>
          <w:tcPr>
            <w:tcW w:w="567" w:type="dxa"/>
          </w:tcPr>
          <w:p w14:paraId="6A411363" w14:textId="5C357F74" w:rsidR="002850D6" w:rsidRPr="00302082" w:rsidRDefault="002850D6" w:rsidP="00824AA8">
            <w:pPr>
              <w:spacing w:after="120"/>
              <w:rPr>
                <w:rFonts w:ascii="Arial" w:hAnsi="Arial" w:cs="Arial"/>
                <w:b/>
              </w:rPr>
            </w:pPr>
            <w:r>
              <w:rPr>
                <w:rFonts w:ascii="Arial" w:hAnsi="Arial" w:cs="Arial"/>
                <w:b/>
              </w:rPr>
              <w:t>x</w:t>
            </w:r>
          </w:p>
        </w:tc>
        <w:tc>
          <w:tcPr>
            <w:tcW w:w="567" w:type="dxa"/>
          </w:tcPr>
          <w:p w14:paraId="5D91A33E" w14:textId="170CDC5C" w:rsidR="002850D6" w:rsidRPr="00302082" w:rsidRDefault="002850D6" w:rsidP="00824AA8">
            <w:pPr>
              <w:spacing w:after="120"/>
              <w:rPr>
                <w:rFonts w:ascii="Arial" w:hAnsi="Arial" w:cs="Arial"/>
                <w:b/>
              </w:rPr>
            </w:pPr>
          </w:p>
        </w:tc>
        <w:tc>
          <w:tcPr>
            <w:tcW w:w="567" w:type="dxa"/>
          </w:tcPr>
          <w:p w14:paraId="3730590A" w14:textId="0B675AA3" w:rsidR="002850D6" w:rsidRPr="00302082" w:rsidRDefault="002850D6" w:rsidP="00824AA8">
            <w:pPr>
              <w:spacing w:after="120"/>
              <w:rPr>
                <w:rFonts w:ascii="Arial" w:hAnsi="Arial" w:cs="Arial"/>
                <w:b/>
              </w:rPr>
            </w:pPr>
            <w:r>
              <w:rPr>
                <w:rFonts w:ascii="Arial" w:hAnsi="Arial" w:cs="Arial"/>
                <w:b/>
              </w:rPr>
              <w:t>x</w:t>
            </w:r>
          </w:p>
        </w:tc>
        <w:tc>
          <w:tcPr>
            <w:tcW w:w="567" w:type="dxa"/>
          </w:tcPr>
          <w:p w14:paraId="54D4B477" w14:textId="77777777" w:rsidR="002850D6" w:rsidRPr="00302082" w:rsidRDefault="002850D6" w:rsidP="00824AA8">
            <w:pPr>
              <w:spacing w:after="120"/>
              <w:rPr>
                <w:rFonts w:ascii="Arial" w:hAnsi="Arial" w:cs="Arial"/>
                <w:b/>
              </w:rPr>
            </w:pPr>
          </w:p>
        </w:tc>
      </w:tr>
      <w:tr w:rsidR="002850D6" w:rsidRPr="00302082" w14:paraId="2EF60592" w14:textId="77777777" w:rsidTr="002E2825">
        <w:tc>
          <w:tcPr>
            <w:tcW w:w="1701" w:type="dxa"/>
          </w:tcPr>
          <w:p w14:paraId="7625607E" w14:textId="77777777" w:rsidR="002850D6" w:rsidRPr="00302082" w:rsidRDefault="002850D6" w:rsidP="00824AA8">
            <w:pPr>
              <w:spacing w:after="120"/>
              <w:rPr>
                <w:rFonts w:ascii="Arial" w:hAnsi="Arial" w:cs="Arial"/>
                <w:i/>
              </w:rPr>
            </w:pPr>
            <w:r>
              <w:rPr>
                <w:rFonts w:ascii="Arial" w:hAnsi="Arial" w:cs="Arial"/>
                <w:i/>
              </w:rPr>
              <w:t>Assignment 2</w:t>
            </w:r>
          </w:p>
        </w:tc>
        <w:tc>
          <w:tcPr>
            <w:tcW w:w="567" w:type="dxa"/>
          </w:tcPr>
          <w:p w14:paraId="29D04350" w14:textId="77777777" w:rsidR="002850D6" w:rsidRPr="00302082" w:rsidRDefault="002850D6" w:rsidP="00824AA8">
            <w:pPr>
              <w:spacing w:after="120"/>
              <w:rPr>
                <w:rFonts w:ascii="Arial" w:hAnsi="Arial" w:cs="Arial"/>
                <w:b/>
              </w:rPr>
            </w:pPr>
            <w:r>
              <w:rPr>
                <w:rFonts w:ascii="Arial" w:hAnsi="Arial" w:cs="Arial"/>
                <w:b/>
              </w:rPr>
              <w:t>x</w:t>
            </w:r>
          </w:p>
        </w:tc>
        <w:tc>
          <w:tcPr>
            <w:tcW w:w="567" w:type="dxa"/>
          </w:tcPr>
          <w:p w14:paraId="35B3292F" w14:textId="383E0ECE" w:rsidR="002850D6" w:rsidRPr="00302082" w:rsidRDefault="002850D6" w:rsidP="00824AA8">
            <w:pPr>
              <w:spacing w:after="120"/>
              <w:rPr>
                <w:rFonts w:ascii="Arial" w:hAnsi="Arial" w:cs="Arial"/>
                <w:b/>
              </w:rPr>
            </w:pPr>
            <w:r>
              <w:rPr>
                <w:rFonts w:ascii="Arial" w:hAnsi="Arial" w:cs="Arial"/>
                <w:b/>
              </w:rPr>
              <w:t>x</w:t>
            </w:r>
          </w:p>
        </w:tc>
        <w:tc>
          <w:tcPr>
            <w:tcW w:w="567" w:type="dxa"/>
          </w:tcPr>
          <w:p w14:paraId="353FB0BD" w14:textId="77777777" w:rsidR="002850D6" w:rsidRPr="00302082" w:rsidRDefault="002850D6" w:rsidP="00824AA8">
            <w:pPr>
              <w:spacing w:after="120"/>
              <w:rPr>
                <w:rFonts w:ascii="Arial" w:hAnsi="Arial" w:cs="Arial"/>
                <w:b/>
              </w:rPr>
            </w:pPr>
          </w:p>
        </w:tc>
        <w:tc>
          <w:tcPr>
            <w:tcW w:w="567" w:type="dxa"/>
          </w:tcPr>
          <w:p w14:paraId="676C1322" w14:textId="6B5F0B36" w:rsidR="002850D6" w:rsidRDefault="002850D6" w:rsidP="00824AA8">
            <w:pPr>
              <w:spacing w:after="120"/>
              <w:rPr>
                <w:rFonts w:ascii="Arial" w:hAnsi="Arial" w:cs="Arial"/>
                <w:b/>
              </w:rPr>
            </w:pPr>
          </w:p>
        </w:tc>
        <w:tc>
          <w:tcPr>
            <w:tcW w:w="567" w:type="dxa"/>
          </w:tcPr>
          <w:p w14:paraId="3826DC57" w14:textId="636E714A" w:rsidR="002850D6" w:rsidRPr="00302082" w:rsidRDefault="002850D6" w:rsidP="00824AA8">
            <w:pPr>
              <w:spacing w:after="120"/>
              <w:rPr>
                <w:rFonts w:ascii="Arial" w:hAnsi="Arial" w:cs="Arial"/>
                <w:b/>
              </w:rPr>
            </w:pPr>
            <w:r>
              <w:rPr>
                <w:rFonts w:ascii="Arial" w:hAnsi="Arial" w:cs="Arial"/>
                <w:b/>
              </w:rPr>
              <w:t>x</w:t>
            </w:r>
          </w:p>
        </w:tc>
        <w:tc>
          <w:tcPr>
            <w:tcW w:w="567" w:type="dxa"/>
          </w:tcPr>
          <w:p w14:paraId="45DFB90A" w14:textId="1EFD02BF" w:rsidR="002850D6" w:rsidRPr="00302082" w:rsidRDefault="002850D6" w:rsidP="00824AA8">
            <w:pPr>
              <w:spacing w:after="120"/>
              <w:rPr>
                <w:rFonts w:ascii="Arial" w:hAnsi="Arial" w:cs="Arial"/>
                <w:b/>
              </w:rPr>
            </w:pPr>
          </w:p>
        </w:tc>
        <w:tc>
          <w:tcPr>
            <w:tcW w:w="567" w:type="dxa"/>
          </w:tcPr>
          <w:p w14:paraId="32CAA0C1" w14:textId="77777777" w:rsidR="002850D6" w:rsidRPr="00302082" w:rsidRDefault="002850D6" w:rsidP="00824AA8">
            <w:pPr>
              <w:spacing w:after="120"/>
              <w:rPr>
                <w:rFonts w:ascii="Arial" w:hAnsi="Arial" w:cs="Arial"/>
                <w:b/>
              </w:rPr>
            </w:pPr>
            <w:r>
              <w:rPr>
                <w:rFonts w:ascii="Arial" w:hAnsi="Arial" w:cs="Arial"/>
                <w:b/>
              </w:rPr>
              <w:t>x</w:t>
            </w:r>
          </w:p>
        </w:tc>
      </w:tr>
    </w:tbl>
    <w:p w14:paraId="464419FE" w14:textId="77777777" w:rsidR="001D2C46" w:rsidRDefault="001D2C46" w:rsidP="00302082">
      <w:pPr>
        <w:spacing w:after="120" w:line="240" w:lineRule="auto"/>
        <w:ind w:left="426" w:right="260"/>
        <w:rPr>
          <w:rFonts w:ascii="Arial" w:hAnsi="Arial" w:cs="Arial"/>
          <w:b/>
          <w:iCs/>
        </w:rPr>
      </w:pPr>
    </w:p>
    <w:p w14:paraId="3DA5FB84" w14:textId="77777777" w:rsidR="00883204" w:rsidRPr="00D50113" w:rsidRDefault="00883204" w:rsidP="00E8330A">
      <w:pPr>
        <w:numPr>
          <w:ilvl w:val="0"/>
          <w:numId w:val="1"/>
        </w:numPr>
        <w:spacing w:after="120" w:line="240" w:lineRule="auto"/>
        <w:ind w:right="260"/>
        <w:jc w:val="both"/>
        <w:rPr>
          <w:rFonts w:ascii="Arial" w:hAnsi="Arial" w:cs="Arial"/>
          <w:iCs/>
        </w:rPr>
      </w:pPr>
      <w:bookmarkStart w:id="0" w:name="_GoBack"/>
      <w:bookmarkEnd w:id="0"/>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AED36B" w14:textId="193D63BC" w:rsidR="001D2C46" w:rsidRPr="00D50113" w:rsidRDefault="001D2C46" w:rsidP="00E8330A">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Pr>
          <w:rFonts w:ascii="Arial" w:hAnsi="Arial" w:cs="Arial"/>
        </w:rPr>
        <w:t xml:space="preserve">Centre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04F168E5" w14:textId="77777777" w:rsidR="001D2C46" w:rsidRPr="00D50113" w:rsidRDefault="001D2C46" w:rsidP="00E8330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C51D56F" w14:textId="77777777" w:rsidR="001D2C46" w:rsidRPr="00D50113" w:rsidRDefault="001D2C46" w:rsidP="00E8330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A75DEAA" w14:textId="77777777" w:rsidR="001D2C46" w:rsidRPr="00D50113" w:rsidRDefault="001D2C46" w:rsidP="00E8330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6EBE359" w14:textId="77777777" w:rsidR="00096DA4" w:rsidRPr="00302082" w:rsidRDefault="00096DA4" w:rsidP="001D2C46">
      <w:pPr>
        <w:spacing w:after="120" w:line="240" w:lineRule="auto"/>
        <w:ind w:right="260"/>
        <w:rPr>
          <w:rFonts w:ascii="Arial" w:hAnsi="Arial" w:cs="Arial"/>
          <w:i/>
          <w:iCs/>
        </w:rPr>
      </w:pPr>
    </w:p>
    <w:p w14:paraId="227D7AAA" w14:textId="77777777" w:rsidR="009A2D37" w:rsidRPr="00302082" w:rsidRDefault="00883204" w:rsidP="00E8330A">
      <w:pPr>
        <w:numPr>
          <w:ilvl w:val="0"/>
          <w:numId w:val="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2D7A17A" w14:textId="5195A928" w:rsidR="009A2D37" w:rsidRPr="00302082" w:rsidRDefault="001D2C46" w:rsidP="00696FF5">
      <w:pPr>
        <w:spacing w:after="120" w:line="240" w:lineRule="auto"/>
        <w:ind w:left="567" w:right="260"/>
        <w:jc w:val="both"/>
        <w:rPr>
          <w:rFonts w:ascii="Arial" w:hAnsi="Arial" w:cs="Arial"/>
          <w:b/>
          <w:i/>
        </w:rPr>
      </w:pPr>
      <w:r>
        <w:rPr>
          <w:rFonts w:ascii="Arial" w:hAnsi="Arial" w:cs="Arial"/>
          <w:i/>
        </w:rPr>
        <w:t>Canterbury.</w:t>
      </w:r>
      <w:r w:rsidR="00903E22">
        <w:rPr>
          <w:rFonts w:ascii="Arial" w:hAnsi="Arial" w:cs="Arial"/>
          <w:i/>
        </w:rPr>
        <w:t xml:space="preserve"> One iteration per year </w:t>
      </w:r>
      <w:proofErr w:type="gramStart"/>
      <w:r w:rsidR="00903E22">
        <w:rPr>
          <w:rFonts w:ascii="Arial" w:hAnsi="Arial" w:cs="Arial"/>
          <w:i/>
        </w:rPr>
        <w:t>may be offer</w:t>
      </w:r>
      <w:r w:rsidR="00E224F4">
        <w:rPr>
          <w:rFonts w:ascii="Arial" w:hAnsi="Arial" w:cs="Arial"/>
          <w:i/>
        </w:rPr>
        <w:t>ed</w:t>
      </w:r>
      <w:proofErr w:type="gramEnd"/>
      <w:r w:rsidR="00E224F4">
        <w:rPr>
          <w:rFonts w:ascii="Arial" w:hAnsi="Arial" w:cs="Arial"/>
          <w:i/>
        </w:rPr>
        <w:t xml:space="preserve"> in Medway</w:t>
      </w:r>
      <w:r w:rsidR="00903E22">
        <w:rPr>
          <w:rFonts w:ascii="Arial" w:hAnsi="Arial" w:cs="Arial"/>
          <w:i/>
        </w:rPr>
        <w:t xml:space="preserve"> depending upon demand.</w:t>
      </w:r>
    </w:p>
    <w:p w14:paraId="655A975D" w14:textId="77777777" w:rsidR="009A2D37" w:rsidRDefault="009A2D37" w:rsidP="00302082">
      <w:pPr>
        <w:spacing w:after="120" w:line="240" w:lineRule="auto"/>
        <w:ind w:left="426" w:right="260"/>
        <w:rPr>
          <w:rFonts w:ascii="Arial" w:hAnsi="Arial" w:cs="Arial"/>
          <w:i/>
          <w:iCs/>
        </w:rPr>
      </w:pPr>
    </w:p>
    <w:p w14:paraId="5F6DC704" w14:textId="77777777" w:rsidR="00883204" w:rsidRDefault="00883204" w:rsidP="00E8330A">
      <w:pPr>
        <w:numPr>
          <w:ilvl w:val="0"/>
          <w:numId w:val="1"/>
        </w:numPr>
        <w:spacing w:after="120" w:line="240" w:lineRule="auto"/>
        <w:ind w:right="261"/>
        <w:jc w:val="both"/>
        <w:rPr>
          <w:rFonts w:ascii="Arial" w:hAnsi="Arial" w:cs="Arial"/>
          <w:b/>
        </w:rPr>
      </w:pPr>
      <w:r w:rsidRPr="002A7F48">
        <w:rPr>
          <w:rFonts w:ascii="Arial" w:hAnsi="Arial" w:cs="Arial"/>
          <w:b/>
        </w:rPr>
        <w:t xml:space="preserve">Internationalisation </w:t>
      </w:r>
    </w:p>
    <w:p w14:paraId="1178C470" w14:textId="6B98603D" w:rsidR="001D2C46" w:rsidRPr="001D2C46" w:rsidRDefault="00903E22" w:rsidP="00E8330A">
      <w:pPr>
        <w:pStyle w:val="ListParagraph"/>
        <w:autoSpaceDE w:val="0"/>
        <w:autoSpaceDN w:val="0"/>
        <w:adjustRightInd w:val="0"/>
        <w:spacing w:after="120" w:line="240" w:lineRule="auto"/>
        <w:ind w:left="567" w:right="261"/>
        <w:jc w:val="both"/>
        <w:rPr>
          <w:rFonts w:ascii="Arial" w:hAnsi="Arial" w:cs="Arial"/>
        </w:rPr>
      </w:pPr>
      <w:proofErr w:type="gramStart"/>
      <w:r>
        <w:rPr>
          <w:rFonts w:ascii="Arial" w:hAnsi="Arial" w:cs="Arial"/>
        </w:rPr>
        <w:t xml:space="preserve">A large percentage of the </w:t>
      </w:r>
      <w:r w:rsidR="00CF1F1B">
        <w:rPr>
          <w:rFonts w:ascii="Arial" w:hAnsi="Arial" w:cs="Arial"/>
        </w:rPr>
        <w:t>participants</w:t>
      </w:r>
      <w:r>
        <w:rPr>
          <w:rFonts w:ascii="Arial" w:hAnsi="Arial" w:cs="Arial"/>
        </w:rPr>
        <w:t xml:space="preserve"> on the module are</w:t>
      </w:r>
      <w:proofErr w:type="gramEnd"/>
      <w:r>
        <w:rPr>
          <w:rFonts w:ascii="Arial" w:hAnsi="Arial" w:cs="Arial"/>
        </w:rPr>
        <w:t xml:space="preserve"> foreign nationals and/or educated in systems outside the UK.  Thus, they bring a diverse set of experiences and expectations about higher education.  One of the roles of the module is to ensure that </w:t>
      </w:r>
      <w:r w:rsidR="00CF1F1B">
        <w:rPr>
          <w:rFonts w:ascii="Arial" w:hAnsi="Arial" w:cs="Arial"/>
        </w:rPr>
        <w:t>participants (</w:t>
      </w:r>
      <w:r>
        <w:rPr>
          <w:rFonts w:ascii="Arial" w:hAnsi="Arial" w:cs="Arial"/>
        </w:rPr>
        <w:t>teachers at the University o</w:t>
      </w:r>
      <w:r w:rsidR="00CF1F1B">
        <w:rPr>
          <w:rFonts w:ascii="Arial" w:hAnsi="Arial" w:cs="Arial"/>
        </w:rPr>
        <w:t xml:space="preserve">f Kent) have an understanding of </w:t>
      </w:r>
      <w:r>
        <w:rPr>
          <w:rFonts w:ascii="Arial" w:hAnsi="Arial" w:cs="Arial"/>
        </w:rPr>
        <w:t>the national (UK and, more specifically</w:t>
      </w:r>
      <w:r w:rsidR="006A3066">
        <w:rPr>
          <w:rFonts w:ascii="Arial" w:hAnsi="Arial" w:cs="Arial"/>
        </w:rPr>
        <w:t>,</w:t>
      </w:r>
      <w:r w:rsidR="00CF1F1B">
        <w:rPr>
          <w:rFonts w:ascii="Arial" w:hAnsi="Arial" w:cs="Arial"/>
        </w:rPr>
        <w:t xml:space="preserve"> English</w:t>
      </w:r>
      <w:r>
        <w:rPr>
          <w:rFonts w:ascii="Arial" w:hAnsi="Arial" w:cs="Arial"/>
        </w:rPr>
        <w:t>) context in which they are teaching.  Class discussions will benefit from comparisons/contrasts between this national context of h</w:t>
      </w:r>
      <w:r w:rsidR="00CF1F1B">
        <w:rPr>
          <w:rFonts w:ascii="Arial" w:hAnsi="Arial" w:cs="Arial"/>
        </w:rPr>
        <w:t xml:space="preserve">igher education and the various backgrounds and experiences participants bring. Readings on discipline-specific aspects of pedagogy may be drawn from a variety of contexts (e.g. American, Australian, </w:t>
      </w:r>
      <w:proofErr w:type="gramStart"/>
      <w:r w:rsidR="00CF1F1B">
        <w:rPr>
          <w:rFonts w:ascii="Arial" w:hAnsi="Arial" w:cs="Arial"/>
        </w:rPr>
        <w:t>European</w:t>
      </w:r>
      <w:proofErr w:type="gramEnd"/>
      <w:r w:rsidR="00CF1F1B">
        <w:rPr>
          <w:rFonts w:ascii="Arial" w:hAnsi="Arial" w:cs="Arial"/>
        </w:rPr>
        <w:t xml:space="preserve">) and participants will be encouraged to critique that literature by examining the contexts of teaching and learning out of which those papers arise. </w:t>
      </w:r>
    </w:p>
    <w:p w14:paraId="6114CA50" w14:textId="77777777" w:rsidR="001D2C46" w:rsidRPr="002A7F48" w:rsidRDefault="001D2C46" w:rsidP="001D2C46">
      <w:pPr>
        <w:spacing w:after="120" w:line="240" w:lineRule="auto"/>
        <w:ind w:left="567" w:right="261"/>
        <w:jc w:val="both"/>
        <w:rPr>
          <w:rFonts w:ascii="Arial" w:hAnsi="Arial" w:cs="Arial"/>
          <w:b/>
        </w:rPr>
      </w:pPr>
    </w:p>
    <w:p w14:paraId="75A23FCB" w14:textId="77777777" w:rsidR="00F176DE" w:rsidRDefault="009A2D37" w:rsidP="00E8330A">
      <w:pPr>
        <w:pStyle w:val="ListParagraph"/>
        <w:numPr>
          <w:ilvl w:val="0"/>
          <w:numId w:val="1"/>
        </w:numPr>
        <w:spacing w:after="120" w:line="240" w:lineRule="auto"/>
        <w:ind w:right="260"/>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6C763BB1" w14:textId="77777777" w:rsidR="00883204" w:rsidRPr="001D2C46" w:rsidRDefault="001D2C46" w:rsidP="00E8330A">
      <w:pPr>
        <w:spacing w:after="120" w:line="240" w:lineRule="auto"/>
        <w:ind w:left="360" w:right="260"/>
        <w:rPr>
          <w:rFonts w:ascii="Arial" w:hAnsi="Arial" w:cs="Arial"/>
        </w:rPr>
      </w:pPr>
      <w:r w:rsidRPr="001D2C46">
        <w:rPr>
          <w:rFonts w:ascii="Arial" w:hAnsi="Arial" w:cs="Arial"/>
        </w:rPr>
        <w:t>Centre for the Study of Higher Education (Faculty of Social Science, University of Kent)</w:t>
      </w:r>
    </w:p>
    <w:p w14:paraId="0EDCD357" w14:textId="77777777" w:rsidR="00641D6D" w:rsidRPr="00302082" w:rsidRDefault="00641D6D" w:rsidP="00302082">
      <w:pPr>
        <w:pBdr>
          <w:bottom w:val="single" w:sz="6" w:space="1" w:color="auto"/>
        </w:pBdr>
        <w:spacing w:after="120" w:line="240" w:lineRule="auto"/>
        <w:ind w:right="260"/>
        <w:rPr>
          <w:rFonts w:ascii="Arial" w:hAnsi="Arial" w:cs="Arial"/>
        </w:rPr>
      </w:pPr>
    </w:p>
    <w:p w14:paraId="48A4629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566CDE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F55C8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0EA79AD" w14:textId="77777777" w:rsidTr="00694309">
        <w:trPr>
          <w:trHeight w:val="317"/>
        </w:trPr>
        <w:tc>
          <w:tcPr>
            <w:tcW w:w="1526" w:type="dxa"/>
          </w:tcPr>
          <w:p w14:paraId="66EC53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35DA37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A54CE5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7BDB3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4955B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09378F7" w14:textId="77777777" w:rsidTr="00694309">
        <w:trPr>
          <w:trHeight w:val="305"/>
        </w:trPr>
        <w:tc>
          <w:tcPr>
            <w:tcW w:w="1526" w:type="dxa"/>
          </w:tcPr>
          <w:p w14:paraId="7E4AB16B" w14:textId="77777777" w:rsidR="00422B69" w:rsidRPr="00302082" w:rsidRDefault="00422B69" w:rsidP="00302082">
            <w:pPr>
              <w:spacing w:after="120"/>
              <w:ind w:right="-330"/>
              <w:rPr>
                <w:rFonts w:ascii="Arial" w:hAnsi="Arial" w:cs="Arial"/>
              </w:rPr>
            </w:pPr>
          </w:p>
        </w:tc>
        <w:tc>
          <w:tcPr>
            <w:tcW w:w="1701" w:type="dxa"/>
          </w:tcPr>
          <w:p w14:paraId="12855255" w14:textId="77777777" w:rsidR="00422B69" w:rsidRPr="00302082" w:rsidRDefault="00422B69" w:rsidP="00302082">
            <w:pPr>
              <w:spacing w:after="120"/>
              <w:ind w:right="-330"/>
              <w:rPr>
                <w:rFonts w:ascii="Arial" w:hAnsi="Arial" w:cs="Arial"/>
              </w:rPr>
            </w:pPr>
          </w:p>
        </w:tc>
        <w:tc>
          <w:tcPr>
            <w:tcW w:w="2410" w:type="dxa"/>
          </w:tcPr>
          <w:p w14:paraId="1FB42F1E" w14:textId="77777777" w:rsidR="00422B69" w:rsidRPr="00302082" w:rsidRDefault="00422B69" w:rsidP="00302082">
            <w:pPr>
              <w:spacing w:after="120"/>
              <w:ind w:right="-330"/>
              <w:rPr>
                <w:rFonts w:ascii="Arial" w:hAnsi="Arial" w:cs="Arial"/>
              </w:rPr>
            </w:pPr>
          </w:p>
        </w:tc>
        <w:tc>
          <w:tcPr>
            <w:tcW w:w="2448" w:type="dxa"/>
          </w:tcPr>
          <w:p w14:paraId="5E805A21" w14:textId="77777777" w:rsidR="00422B69" w:rsidRPr="00302082" w:rsidRDefault="00422B69" w:rsidP="00302082">
            <w:pPr>
              <w:spacing w:after="120"/>
              <w:ind w:right="-330"/>
              <w:rPr>
                <w:rFonts w:ascii="Arial" w:hAnsi="Arial" w:cs="Arial"/>
              </w:rPr>
            </w:pPr>
          </w:p>
        </w:tc>
        <w:tc>
          <w:tcPr>
            <w:tcW w:w="2597" w:type="dxa"/>
          </w:tcPr>
          <w:p w14:paraId="7D0E81B8" w14:textId="77777777" w:rsidR="00422B69" w:rsidRPr="00302082" w:rsidRDefault="00422B69" w:rsidP="00302082">
            <w:pPr>
              <w:spacing w:after="120"/>
              <w:ind w:right="-330"/>
              <w:rPr>
                <w:rFonts w:ascii="Arial" w:hAnsi="Arial" w:cs="Arial"/>
              </w:rPr>
            </w:pPr>
          </w:p>
        </w:tc>
      </w:tr>
      <w:tr w:rsidR="00302082" w:rsidRPr="00302082" w14:paraId="3136FB81" w14:textId="77777777" w:rsidTr="00694309">
        <w:trPr>
          <w:trHeight w:val="305"/>
        </w:trPr>
        <w:tc>
          <w:tcPr>
            <w:tcW w:w="1526" w:type="dxa"/>
          </w:tcPr>
          <w:p w14:paraId="24945ECB" w14:textId="77777777" w:rsidR="00422B69" w:rsidRPr="00302082" w:rsidRDefault="00422B69" w:rsidP="00302082">
            <w:pPr>
              <w:spacing w:after="120"/>
              <w:ind w:right="-330"/>
              <w:rPr>
                <w:rFonts w:ascii="Arial" w:hAnsi="Arial" w:cs="Arial"/>
              </w:rPr>
            </w:pPr>
          </w:p>
        </w:tc>
        <w:tc>
          <w:tcPr>
            <w:tcW w:w="1701" w:type="dxa"/>
          </w:tcPr>
          <w:p w14:paraId="6B055B06" w14:textId="77777777" w:rsidR="00422B69" w:rsidRPr="00302082" w:rsidRDefault="00422B69" w:rsidP="00302082">
            <w:pPr>
              <w:spacing w:after="120"/>
              <w:ind w:right="-330"/>
              <w:rPr>
                <w:rFonts w:ascii="Arial" w:hAnsi="Arial" w:cs="Arial"/>
              </w:rPr>
            </w:pPr>
          </w:p>
        </w:tc>
        <w:tc>
          <w:tcPr>
            <w:tcW w:w="2410" w:type="dxa"/>
          </w:tcPr>
          <w:p w14:paraId="4781E7BF" w14:textId="77777777" w:rsidR="00422B69" w:rsidRPr="00302082" w:rsidRDefault="00422B69" w:rsidP="00302082">
            <w:pPr>
              <w:spacing w:after="120"/>
              <w:ind w:right="-330"/>
              <w:rPr>
                <w:rFonts w:ascii="Arial" w:hAnsi="Arial" w:cs="Arial"/>
              </w:rPr>
            </w:pPr>
          </w:p>
        </w:tc>
        <w:tc>
          <w:tcPr>
            <w:tcW w:w="2448" w:type="dxa"/>
          </w:tcPr>
          <w:p w14:paraId="5DA459E2" w14:textId="77777777" w:rsidR="00422B69" w:rsidRPr="00302082" w:rsidRDefault="00422B69" w:rsidP="00302082">
            <w:pPr>
              <w:spacing w:after="120"/>
              <w:ind w:right="-330"/>
              <w:rPr>
                <w:rFonts w:ascii="Arial" w:hAnsi="Arial" w:cs="Arial"/>
              </w:rPr>
            </w:pPr>
          </w:p>
        </w:tc>
        <w:tc>
          <w:tcPr>
            <w:tcW w:w="2597" w:type="dxa"/>
          </w:tcPr>
          <w:p w14:paraId="05192898" w14:textId="77777777" w:rsidR="00422B69" w:rsidRPr="00302082" w:rsidRDefault="00422B69" w:rsidP="00302082">
            <w:pPr>
              <w:spacing w:after="120"/>
              <w:ind w:right="-330"/>
              <w:rPr>
                <w:rFonts w:ascii="Arial" w:hAnsi="Arial" w:cs="Arial"/>
              </w:rPr>
            </w:pPr>
          </w:p>
        </w:tc>
      </w:tr>
    </w:tbl>
    <w:p w14:paraId="255B44C1" w14:textId="77777777" w:rsidR="00D83563" w:rsidRDefault="00D83563" w:rsidP="00302082">
      <w:pPr>
        <w:spacing w:after="120" w:line="240" w:lineRule="auto"/>
        <w:ind w:right="-330"/>
        <w:rPr>
          <w:rFonts w:ascii="Arial" w:hAnsi="Arial" w:cs="Arial"/>
        </w:rPr>
      </w:pPr>
    </w:p>
    <w:p w14:paraId="33E714C7" w14:textId="77777777" w:rsidR="0032216D" w:rsidRDefault="0032216D" w:rsidP="007B4ECA">
      <w:pPr>
        <w:spacing w:after="120" w:line="240" w:lineRule="auto"/>
        <w:ind w:right="261"/>
        <w:rPr>
          <w:rFonts w:ascii="Arial" w:hAnsi="Arial" w:cs="Arial"/>
          <w:b/>
        </w:rPr>
      </w:pPr>
    </w:p>
    <w:p w14:paraId="4314DCCD" w14:textId="77777777" w:rsidR="007B4ECA" w:rsidRPr="00E43F19" w:rsidRDefault="007B4ECA" w:rsidP="007B4ECA">
      <w:pPr>
        <w:spacing w:after="120" w:line="240" w:lineRule="auto"/>
        <w:ind w:right="261"/>
        <w:rPr>
          <w:rFonts w:ascii="Arial" w:hAnsi="Arial" w:cs="Arial"/>
          <w:b/>
        </w:rPr>
      </w:pPr>
      <w:r>
        <w:rPr>
          <w:rFonts w:ascii="Arial" w:hAnsi="Arial" w:cs="Arial"/>
          <w:b/>
        </w:rPr>
        <w:t>APPENDIX 1 Programme Outcomes that this module serves</w:t>
      </w:r>
    </w:p>
    <w:p w14:paraId="12677B65" w14:textId="77777777" w:rsidR="007B4ECA" w:rsidRDefault="007B4ECA" w:rsidP="007B4ECA">
      <w:pPr>
        <w:pStyle w:val="ListParagraph"/>
        <w:spacing w:after="120" w:line="240" w:lineRule="auto"/>
        <w:ind w:left="786" w:right="260"/>
        <w:rPr>
          <w:rFonts w:ascii="Arial" w:hAnsi="Arial" w:cs="Arial"/>
        </w:rPr>
      </w:pPr>
    </w:p>
    <w:p w14:paraId="26F579C8" w14:textId="013AD2AA" w:rsidR="007B4ECA" w:rsidRDefault="007B4ECA" w:rsidP="007B4ECA">
      <w:pPr>
        <w:pStyle w:val="ListParagraph"/>
        <w:spacing w:after="120" w:line="240" w:lineRule="auto"/>
        <w:ind w:left="786" w:right="260"/>
        <w:rPr>
          <w:rFonts w:ascii="Arial" w:hAnsi="Arial" w:cs="Arial"/>
        </w:rPr>
      </w:pPr>
      <w:r>
        <w:rPr>
          <w:rFonts w:ascii="Arial" w:hAnsi="Arial" w:cs="Arial"/>
        </w:rPr>
        <w:t>PGCHE Learning Outcomes are</w:t>
      </w:r>
      <w:r w:rsidR="006A3066">
        <w:rPr>
          <w:rFonts w:ascii="Arial" w:hAnsi="Arial" w:cs="Arial"/>
        </w:rPr>
        <w:t xml:space="preserve"> (with UKPSF components indicated in parentheses)</w:t>
      </w:r>
      <w:r>
        <w:rPr>
          <w:rFonts w:ascii="Arial" w:hAnsi="Arial" w:cs="Arial"/>
        </w:rPr>
        <w:t>:</w:t>
      </w:r>
    </w:p>
    <w:p w14:paraId="324DA7F4" w14:textId="77777777" w:rsidR="007B4ECA" w:rsidRDefault="007B4ECA" w:rsidP="007B4ECA">
      <w:pPr>
        <w:pStyle w:val="ListParagraph"/>
        <w:spacing w:after="120" w:line="240" w:lineRule="auto"/>
        <w:ind w:left="786" w:right="260"/>
        <w:rPr>
          <w:rFonts w:ascii="Arial" w:hAnsi="Arial" w:cs="Arial"/>
        </w:rPr>
      </w:pPr>
    </w:p>
    <w:p w14:paraId="6830FB41" w14:textId="77777777" w:rsidR="007B4ECA" w:rsidRPr="00E43F19" w:rsidRDefault="007B4ECA" w:rsidP="007B4ECA">
      <w:pPr>
        <w:pStyle w:val="ListParagraph"/>
        <w:numPr>
          <w:ilvl w:val="0"/>
          <w:numId w:val="12"/>
        </w:numPr>
        <w:spacing w:after="0" w:line="240" w:lineRule="auto"/>
        <w:ind w:left="1134"/>
        <w:rPr>
          <w:rFonts w:ascii="Arial" w:hAnsi="Arial" w:cs="Arial"/>
          <w:sz w:val="24"/>
          <w:szCs w:val="24"/>
        </w:rPr>
      </w:pPr>
      <w:r w:rsidRPr="00E43F19">
        <w:rPr>
          <w:rFonts w:ascii="Arial" w:hAnsi="Arial" w:cs="Arial"/>
          <w:sz w:val="24"/>
          <w:szCs w:val="24"/>
        </w:rPr>
        <w:t>appropriate methods for teaching and learning in their own subject area and at the appropriate level;</w:t>
      </w:r>
      <w:r w:rsidRPr="00E43F19">
        <w:rPr>
          <w:rFonts w:ascii="Arial" w:hAnsi="Arial" w:cs="Arial"/>
          <w:color w:val="FF0000"/>
          <w:sz w:val="24"/>
          <w:szCs w:val="24"/>
        </w:rPr>
        <w:t>K1,K2</w:t>
      </w:r>
    </w:p>
    <w:p w14:paraId="3A23CE9F" w14:textId="77777777" w:rsidR="007B4ECA" w:rsidRPr="00E43F19" w:rsidRDefault="007B4ECA" w:rsidP="007B4ECA">
      <w:pPr>
        <w:pStyle w:val="ListParagraph"/>
        <w:numPr>
          <w:ilvl w:val="0"/>
          <w:numId w:val="12"/>
        </w:numPr>
        <w:spacing w:after="0" w:line="240" w:lineRule="auto"/>
        <w:ind w:left="1134"/>
        <w:rPr>
          <w:rFonts w:ascii="Arial" w:hAnsi="Arial" w:cs="Arial"/>
          <w:sz w:val="24"/>
          <w:szCs w:val="24"/>
        </w:rPr>
      </w:pPr>
      <w:r w:rsidRPr="00E43F19">
        <w:rPr>
          <w:rFonts w:ascii="Arial" w:hAnsi="Arial" w:cs="Arial"/>
          <w:sz w:val="24"/>
          <w:szCs w:val="24"/>
        </w:rPr>
        <w:t>models of how students learn;</w:t>
      </w:r>
      <w:r w:rsidRPr="00E43F19">
        <w:rPr>
          <w:rFonts w:ascii="Arial" w:hAnsi="Arial" w:cs="Arial"/>
          <w:color w:val="FF0000"/>
          <w:sz w:val="24"/>
          <w:szCs w:val="24"/>
        </w:rPr>
        <w:t>K3</w:t>
      </w:r>
    </w:p>
    <w:p w14:paraId="0ABA73B8" w14:textId="77777777" w:rsidR="007B4ECA" w:rsidRPr="00E43F19" w:rsidRDefault="007B4ECA" w:rsidP="007B4ECA">
      <w:pPr>
        <w:pStyle w:val="ListParagraph"/>
        <w:numPr>
          <w:ilvl w:val="0"/>
          <w:numId w:val="12"/>
        </w:numPr>
        <w:spacing w:after="0" w:line="240" w:lineRule="auto"/>
        <w:ind w:left="1134"/>
        <w:rPr>
          <w:rFonts w:ascii="Arial" w:hAnsi="Arial" w:cs="Arial"/>
          <w:sz w:val="24"/>
          <w:szCs w:val="24"/>
        </w:rPr>
      </w:pPr>
      <w:r w:rsidRPr="00E43F19">
        <w:rPr>
          <w:rFonts w:ascii="Arial" w:hAnsi="Arial" w:cs="Arial"/>
          <w:sz w:val="24"/>
          <w:szCs w:val="24"/>
        </w:rPr>
        <w:t xml:space="preserve">the potential application  of learning technologies appropriate to the context in which they teach; </w:t>
      </w:r>
      <w:r w:rsidRPr="00E43F19">
        <w:rPr>
          <w:rFonts w:ascii="Arial" w:hAnsi="Arial" w:cs="Arial"/>
          <w:color w:val="FF0000"/>
          <w:sz w:val="24"/>
          <w:szCs w:val="24"/>
        </w:rPr>
        <w:t>K4</w:t>
      </w:r>
    </w:p>
    <w:p w14:paraId="2DF61809" w14:textId="77777777" w:rsidR="007B4ECA" w:rsidRPr="00E43F19" w:rsidRDefault="007B4ECA" w:rsidP="007B4ECA">
      <w:pPr>
        <w:pStyle w:val="ListParagraph"/>
        <w:numPr>
          <w:ilvl w:val="0"/>
          <w:numId w:val="12"/>
        </w:numPr>
        <w:spacing w:after="0" w:line="240" w:lineRule="auto"/>
        <w:ind w:left="1134"/>
        <w:rPr>
          <w:rFonts w:ascii="Arial" w:hAnsi="Arial" w:cs="Arial"/>
          <w:sz w:val="24"/>
          <w:szCs w:val="24"/>
        </w:rPr>
      </w:pPr>
      <w:r w:rsidRPr="00E43F19">
        <w:rPr>
          <w:rFonts w:ascii="Arial" w:hAnsi="Arial" w:cs="Arial"/>
          <w:sz w:val="24"/>
          <w:szCs w:val="24"/>
        </w:rPr>
        <w:t>methods for monitoring and evaluating their own practice ;</w:t>
      </w:r>
      <w:r w:rsidRPr="00E43F19">
        <w:rPr>
          <w:rFonts w:ascii="Arial" w:hAnsi="Arial" w:cs="Arial"/>
          <w:color w:val="FF0000"/>
          <w:sz w:val="24"/>
          <w:szCs w:val="24"/>
        </w:rPr>
        <w:t>K5</w:t>
      </w:r>
    </w:p>
    <w:p w14:paraId="5504E1F7" w14:textId="77777777" w:rsidR="007B4ECA" w:rsidRPr="00E43F19" w:rsidRDefault="007B4ECA" w:rsidP="007B4ECA">
      <w:pPr>
        <w:pStyle w:val="ListParagraph"/>
        <w:numPr>
          <w:ilvl w:val="0"/>
          <w:numId w:val="12"/>
        </w:numPr>
        <w:spacing w:after="0" w:line="240" w:lineRule="auto"/>
        <w:ind w:left="1134"/>
        <w:rPr>
          <w:rFonts w:ascii="Arial" w:hAnsi="Arial" w:cs="Arial"/>
          <w:sz w:val="24"/>
          <w:szCs w:val="24"/>
        </w:rPr>
      </w:pPr>
      <w:r w:rsidRPr="00E43F19">
        <w:rPr>
          <w:rFonts w:ascii="Arial" w:hAnsi="Arial" w:cs="Arial"/>
          <w:sz w:val="24"/>
          <w:szCs w:val="24"/>
        </w:rPr>
        <w:t>the implications of quality assurance/enhancement for their own practice;</w:t>
      </w:r>
      <w:r w:rsidRPr="00E43F19">
        <w:rPr>
          <w:rFonts w:ascii="Arial" w:hAnsi="Arial" w:cs="Arial"/>
          <w:color w:val="FF0000"/>
          <w:sz w:val="24"/>
          <w:szCs w:val="24"/>
        </w:rPr>
        <w:t>K6</w:t>
      </w:r>
    </w:p>
    <w:p w14:paraId="375DB29F" w14:textId="77777777" w:rsidR="007B4ECA" w:rsidRPr="00E43F19" w:rsidRDefault="007B4ECA" w:rsidP="007B4ECA">
      <w:pPr>
        <w:pStyle w:val="ListParagraph"/>
        <w:numPr>
          <w:ilvl w:val="0"/>
          <w:numId w:val="12"/>
        </w:numPr>
        <w:spacing w:after="0" w:line="240" w:lineRule="auto"/>
        <w:ind w:left="1134"/>
        <w:rPr>
          <w:rFonts w:ascii="Arial" w:hAnsi="Arial" w:cs="Arial"/>
          <w:sz w:val="24"/>
          <w:szCs w:val="24"/>
        </w:rPr>
      </w:pPr>
      <w:r w:rsidRPr="00E43F19">
        <w:rPr>
          <w:rFonts w:ascii="Arial" w:hAnsi="Arial" w:cs="Arial"/>
          <w:sz w:val="24"/>
          <w:szCs w:val="24"/>
        </w:rPr>
        <w:t xml:space="preserve">methods for the development of their professional practice as teachers, scholars and/or researchers (as appropriate) </w:t>
      </w:r>
      <w:r w:rsidRPr="00E43F19">
        <w:rPr>
          <w:rFonts w:ascii="Arial" w:hAnsi="Arial" w:cs="Arial"/>
          <w:color w:val="FF0000"/>
          <w:sz w:val="24"/>
          <w:szCs w:val="24"/>
        </w:rPr>
        <w:t>A5</w:t>
      </w:r>
    </w:p>
    <w:p w14:paraId="209A5B33" w14:textId="77777777" w:rsidR="007B4ECA" w:rsidRDefault="007B4ECA" w:rsidP="007B4ECA">
      <w:pPr>
        <w:spacing w:after="0" w:line="240" w:lineRule="auto"/>
        <w:rPr>
          <w:rFonts w:ascii="Arial" w:hAnsi="Arial" w:cs="Arial"/>
        </w:rPr>
      </w:pPr>
    </w:p>
    <w:sectPr w:rsidR="007B4ECA"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4AF39" w14:textId="77777777" w:rsidR="00EC1AD3" w:rsidRDefault="00EC1AD3" w:rsidP="009A2D37">
      <w:pPr>
        <w:spacing w:after="0" w:line="240" w:lineRule="auto"/>
      </w:pPr>
      <w:r>
        <w:separator/>
      </w:r>
    </w:p>
  </w:endnote>
  <w:endnote w:type="continuationSeparator" w:id="0">
    <w:p w14:paraId="52D335D8" w14:textId="77777777" w:rsidR="00EC1AD3" w:rsidRDefault="00EC1AD3" w:rsidP="009A2D37">
      <w:pPr>
        <w:spacing w:after="0" w:line="240" w:lineRule="auto"/>
      </w:pPr>
      <w:r>
        <w:continuationSeparator/>
      </w:r>
    </w:p>
  </w:endnote>
  <w:endnote w:type="continuationNotice" w:id="1">
    <w:p w14:paraId="358A4248" w14:textId="77777777" w:rsidR="00EC1AD3" w:rsidRDefault="00EC1A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thelas Regula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B069405" w14:textId="60D8F053" w:rsidR="008B2543" w:rsidRDefault="0019787E" w:rsidP="009A2D37">
        <w:pPr>
          <w:pStyle w:val="Footer"/>
          <w:jc w:val="center"/>
        </w:pPr>
        <w:r>
          <w:fldChar w:fldCharType="begin"/>
        </w:r>
        <w:r>
          <w:instrText xml:space="preserve"> PAGE   \* MERGEFORMAT </w:instrText>
        </w:r>
        <w:r>
          <w:fldChar w:fldCharType="separate"/>
        </w:r>
        <w:r w:rsidR="00E8330A">
          <w:rPr>
            <w:noProof/>
          </w:rPr>
          <w:t>4</w:t>
        </w:r>
        <w:r>
          <w:rPr>
            <w:noProof/>
          </w:rPr>
          <w:fldChar w:fldCharType="end"/>
        </w:r>
      </w:p>
    </w:sdtContent>
  </w:sdt>
  <w:p w14:paraId="3669519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6E442" w14:textId="77777777" w:rsidR="00EC1AD3" w:rsidRDefault="00EC1AD3" w:rsidP="009A2D37">
      <w:pPr>
        <w:spacing w:after="0" w:line="240" w:lineRule="auto"/>
      </w:pPr>
      <w:r>
        <w:separator/>
      </w:r>
    </w:p>
  </w:footnote>
  <w:footnote w:type="continuationSeparator" w:id="0">
    <w:p w14:paraId="39F7E97C" w14:textId="77777777" w:rsidR="00EC1AD3" w:rsidRDefault="00EC1AD3" w:rsidP="009A2D37">
      <w:pPr>
        <w:spacing w:after="0" w:line="240" w:lineRule="auto"/>
      </w:pPr>
      <w:r>
        <w:continuationSeparator/>
      </w:r>
    </w:p>
  </w:footnote>
  <w:footnote w:type="continuationNotice" w:id="1">
    <w:p w14:paraId="020E97D7" w14:textId="77777777" w:rsidR="00EC1AD3" w:rsidRDefault="00EC1A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B9B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A7E311" wp14:editId="5EBED5B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BA42F9" w14:textId="77777777" w:rsidR="008B2543" w:rsidRPr="008C00F8" w:rsidRDefault="008B2543" w:rsidP="005E6D38">
    <w:pPr>
      <w:pStyle w:val="Heading1"/>
      <w:spacing w:before="60" w:after="60"/>
      <w:rPr>
        <w:rFonts w:ascii="Arial" w:hAnsi="Arial" w:cs="Arial"/>
      </w:rPr>
    </w:pPr>
  </w:p>
  <w:p w14:paraId="4DA82BB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8563" w14:textId="03974B3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1AE0AB" wp14:editId="5429E99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5E0DF3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501B4A"/>
    <w:multiLevelType w:val="hybridMultilevel"/>
    <w:tmpl w:val="015C60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707B96"/>
    <w:multiLevelType w:val="hybridMultilevel"/>
    <w:tmpl w:val="ED1CFFA6"/>
    <w:lvl w:ilvl="0" w:tplc="1AC2CE40">
      <w:start w:val="1"/>
      <w:numFmt w:val="decimal"/>
      <w:lvlText w:val="%1."/>
      <w:lvlJc w:val="left"/>
      <w:pPr>
        <w:ind w:left="-66" w:hanging="360"/>
      </w:pPr>
      <w:rPr>
        <w:rFonts w:ascii="Arial" w:hAnsi="Arial" w:hint="default"/>
        <w:color w:val="auto"/>
        <w:sz w:val="22"/>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0D5A686C"/>
    <w:multiLevelType w:val="hybridMultilevel"/>
    <w:tmpl w:val="B5AC1FC4"/>
    <w:lvl w:ilvl="0" w:tplc="EF46CE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E451647"/>
    <w:multiLevelType w:val="multilevel"/>
    <w:tmpl w:val="B20E4E7A"/>
    <w:lvl w:ilvl="0">
      <w:start w:val="9"/>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6" w15:restartNumberingAfterBreak="0">
    <w:nsid w:val="14E42D16"/>
    <w:multiLevelType w:val="hybridMultilevel"/>
    <w:tmpl w:val="C5549A5A"/>
    <w:lvl w:ilvl="0" w:tplc="0809000F">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4730FE8"/>
    <w:multiLevelType w:val="hybridMultilevel"/>
    <w:tmpl w:val="CBE6BD7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2357A7"/>
    <w:multiLevelType w:val="singleLevel"/>
    <w:tmpl w:val="EDAEC262"/>
    <w:lvl w:ilvl="0">
      <w:start w:val="1"/>
      <w:numFmt w:val="decimal"/>
      <w:lvlText w:val="%1."/>
      <w:lvlJc w:val="left"/>
      <w:pPr>
        <w:tabs>
          <w:tab w:val="num" w:pos="360"/>
        </w:tabs>
        <w:ind w:left="360" w:hanging="360"/>
      </w:p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EDE3AD6"/>
    <w:multiLevelType w:val="multilevel"/>
    <w:tmpl w:val="ADA4E164"/>
    <w:lvl w:ilvl="0">
      <w:start w:val="8"/>
      <w:numFmt w:val="decimal"/>
      <w:lvlText w:val="%1"/>
      <w:lvlJc w:val="left"/>
      <w:pPr>
        <w:ind w:left="375" w:hanging="37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435" w:hanging="180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15"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946A94"/>
    <w:multiLevelType w:val="hybridMultilevel"/>
    <w:tmpl w:val="723CEC94"/>
    <w:lvl w:ilvl="0" w:tplc="DB2CAF4C">
      <w:start w:val="1"/>
      <w:numFmt w:val="decimal"/>
      <w:lvlText w:val="%1."/>
      <w:lvlJc w:val="left"/>
      <w:pPr>
        <w:ind w:left="1952" w:hanging="360"/>
      </w:pPr>
      <w:rPr>
        <w:rFonts w:hint="default"/>
      </w:rPr>
    </w:lvl>
    <w:lvl w:ilvl="1" w:tplc="08090019" w:tentative="1">
      <w:start w:val="1"/>
      <w:numFmt w:val="lowerLetter"/>
      <w:lvlText w:val="%2."/>
      <w:lvlJc w:val="left"/>
      <w:pPr>
        <w:ind w:left="2672" w:hanging="360"/>
      </w:pPr>
    </w:lvl>
    <w:lvl w:ilvl="2" w:tplc="0809001B" w:tentative="1">
      <w:start w:val="1"/>
      <w:numFmt w:val="lowerRoman"/>
      <w:lvlText w:val="%3."/>
      <w:lvlJc w:val="right"/>
      <w:pPr>
        <w:ind w:left="3392" w:hanging="180"/>
      </w:pPr>
    </w:lvl>
    <w:lvl w:ilvl="3" w:tplc="0809000F" w:tentative="1">
      <w:start w:val="1"/>
      <w:numFmt w:val="decimal"/>
      <w:lvlText w:val="%4."/>
      <w:lvlJc w:val="left"/>
      <w:pPr>
        <w:ind w:left="4112" w:hanging="360"/>
      </w:pPr>
    </w:lvl>
    <w:lvl w:ilvl="4" w:tplc="08090019" w:tentative="1">
      <w:start w:val="1"/>
      <w:numFmt w:val="lowerLetter"/>
      <w:lvlText w:val="%5."/>
      <w:lvlJc w:val="left"/>
      <w:pPr>
        <w:ind w:left="4832" w:hanging="360"/>
      </w:pPr>
    </w:lvl>
    <w:lvl w:ilvl="5" w:tplc="0809001B" w:tentative="1">
      <w:start w:val="1"/>
      <w:numFmt w:val="lowerRoman"/>
      <w:lvlText w:val="%6."/>
      <w:lvlJc w:val="right"/>
      <w:pPr>
        <w:ind w:left="5552" w:hanging="180"/>
      </w:pPr>
    </w:lvl>
    <w:lvl w:ilvl="6" w:tplc="0809000F" w:tentative="1">
      <w:start w:val="1"/>
      <w:numFmt w:val="decimal"/>
      <w:lvlText w:val="%7."/>
      <w:lvlJc w:val="left"/>
      <w:pPr>
        <w:ind w:left="6272" w:hanging="360"/>
      </w:pPr>
    </w:lvl>
    <w:lvl w:ilvl="7" w:tplc="08090019" w:tentative="1">
      <w:start w:val="1"/>
      <w:numFmt w:val="lowerLetter"/>
      <w:lvlText w:val="%8."/>
      <w:lvlJc w:val="left"/>
      <w:pPr>
        <w:ind w:left="6992" w:hanging="360"/>
      </w:pPr>
    </w:lvl>
    <w:lvl w:ilvl="8" w:tplc="0809001B" w:tentative="1">
      <w:start w:val="1"/>
      <w:numFmt w:val="lowerRoman"/>
      <w:lvlText w:val="%9."/>
      <w:lvlJc w:val="right"/>
      <w:pPr>
        <w:ind w:left="7712" w:hanging="180"/>
      </w:pPr>
    </w:lvl>
  </w:abstractNum>
  <w:abstractNum w:abstractNumId="18" w15:restartNumberingAfterBreak="0">
    <w:nsid w:val="75B44B80"/>
    <w:multiLevelType w:val="multilevel"/>
    <w:tmpl w:val="7DEE9F28"/>
    <w:lvl w:ilvl="0">
      <w:start w:val="9"/>
      <w:numFmt w:val="decimal"/>
      <w:lvlText w:val="%1"/>
      <w:lvlJc w:val="left"/>
      <w:pPr>
        <w:ind w:left="375" w:hanging="37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435" w:hanging="180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13"/>
  </w:num>
  <w:num w:numId="6">
    <w:abstractNumId w:val="10"/>
  </w:num>
  <w:num w:numId="7">
    <w:abstractNumId w:val="19"/>
  </w:num>
  <w:num w:numId="8">
    <w:abstractNumId w:val="12"/>
  </w:num>
  <w:num w:numId="9">
    <w:abstractNumId w:val="9"/>
  </w:num>
  <w:num w:numId="10">
    <w:abstractNumId w:val="1"/>
  </w:num>
  <w:num w:numId="11">
    <w:abstractNumId w:val="4"/>
  </w:num>
  <w:num w:numId="12">
    <w:abstractNumId w:val="3"/>
  </w:num>
  <w:num w:numId="13">
    <w:abstractNumId w:val="11"/>
  </w:num>
  <w:num w:numId="14">
    <w:abstractNumId w:val="16"/>
  </w:num>
  <w:num w:numId="15">
    <w:abstractNumId w:val="15"/>
  </w:num>
  <w:num w:numId="16">
    <w:abstractNumId w:val="6"/>
  </w:num>
  <w:num w:numId="17">
    <w:abstractNumId w:val="17"/>
  </w:num>
  <w:num w:numId="18">
    <w:abstractNumId w:val="1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5373"/>
    <w:rsid w:val="00053C5A"/>
    <w:rsid w:val="00063A2F"/>
    <w:rsid w:val="000678D3"/>
    <w:rsid w:val="00094810"/>
    <w:rsid w:val="00096DA4"/>
    <w:rsid w:val="000C0294"/>
    <w:rsid w:val="000C7A1C"/>
    <w:rsid w:val="000D2A8A"/>
    <w:rsid w:val="000D32AC"/>
    <w:rsid w:val="000D5118"/>
    <w:rsid w:val="000E20C1"/>
    <w:rsid w:val="000E3B73"/>
    <w:rsid w:val="000F6C56"/>
    <w:rsid w:val="000F7FBF"/>
    <w:rsid w:val="0010342B"/>
    <w:rsid w:val="00106BE5"/>
    <w:rsid w:val="00110947"/>
    <w:rsid w:val="00111906"/>
    <w:rsid w:val="00111CB3"/>
    <w:rsid w:val="00115E7F"/>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4A8"/>
    <w:rsid w:val="001C4A85"/>
    <w:rsid w:val="001C5443"/>
    <w:rsid w:val="001D0C7D"/>
    <w:rsid w:val="001D1F2D"/>
    <w:rsid w:val="001D2314"/>
    <w:rsid w:val="001D2C46"/>
    <w:rsid w:val="001D6398"/>
    <w:rsid w:val="001E1F45"/>
    <w:rsid w:val="001E62C1"/>
    <w:rsid w:val="001F0779"/>
    <w:rsid w:val="001F3C3E"/>
    <w:rsid w:val="00201C5F"/>
    <w:rsid w:val="0020243A"/>
    <w:rsid w:val="0021578E"/>
    <w:rsid w:val="00227582"/>
    <w:rsid w:val="002308BE"/>
    <w:rsid w:val="002407C0"/>
    <w:rsid w:val="002461AF"/>
    <w:rsid w:val="002465A1"/>
    <w:rsid w:val="00246718"/>
    <w:rsid w:val="00264576"/>
    <w:rsid w:val="0026585A"/>
    <w:rsid w:val="00266735"/>
    <w:rsid w:val="00273CF0"/>
    <w:rsid w:val="002748D4"/>
    <w:rsid w:val="00274ED7"/>
    <w:rsid w:val="0028461D"/>
    <w:rsid w:val="002850D6"/>
    <w:rsid w:val="0028590C"/>
    <w:rsid w:val="00292C46"/>
    <w:rsid w:val="002938D6"/>
    <w:rsid w:val="00294B73"/>
    <w:rsid w:val="002A0C18"/>
    <w:rsid w:val="002A219B"/>
    <w:rsid w:val="002A22DB"/>
    <w:rsid w:val="002B20F5"/>
    <w:rsid w:val="002B2A1A"/>
    <w:rsid w:val="002B71F2"/>
    <w:rsid w:val="002E2825"/>
    <w:rsid w:val="002E71C0"/>
    <w:rsid w:val="002F05F4"/>
    <w:rsid w:val="002F0CE4"/>
    <w:rsid w:val="002F23EF"/>
    <w:rsid w:val="002F2626"/>
    <w:rsid w:val="00302082"/>
    <w:rsid w:val="00306620"/>
    <w:rsid w:val="0032216D"/>
    <w:rsid w:val="003262B9"/>
    <w:rsid w:val="00334A02"/>
    <w:rsid w:val="00335875"/>
    <w:rsid w:val="00335FBE"/>
    <w:rsid w:val="00351D4F"/>
    <w:rsid w:val="00352D8E"/>
    <w:rsid w:val="00356B68"/>
    <w:rsid w:val="0035702D"/>
    <w:rsid w:val="003604D4"/>
    <w:rsid w:val="003627B0"/>
    <w:rsid w:val="003719D8"/>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1D45"/>
    <w:rsid w:val="004F3C18"/>
    <w:rsid w:val="004F4328"/>
    <w:rsid w:val="005005E4"/>
    <w:rsid w:val="00513689"/>
    <w:rsid w:val="0051375A"/>
    <w:rsid w:val="00521097"/>
    <w:rsid w:val="0053059E"/>
    <w:rsid w:val="00532F6F"/>
    <w:rsid w:val="00533663"/>
    <w:rsid w:val="005460C2"/>
    <w:rsid w:val="00546754"/>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613"/>
    <w:rsid w:val="005D778A"/>
    <w:rsid w:val="005D7CD0"/>
    <w:rsid w:val="005E1A3A"/>
    <w:rsid w:val="005E6ADC"/>
    <w:rsid w:val="005E6D10"/>
    <w:rsid w:val="005E6D38"/>
    <w:rsid w:val="005E7B3F"/>
    <w:rsid w:val="005F040F"/>
    <w:rsid w:val="005F2C42"/>
    <w:rsid w:val="005F3F4F"/>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066"/>
    <w:rsid w:val="006A6BB4"/>
    <w:rsid w:val="006A7E58"/>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598E"/>
    <w:rsid w:val="00727780"/>
    <w:rsid w:val="00733D44"/>
    <w:rsid w:val="0073792C"/>
    <w:rsid w:val="00754069"/>
    <w:rsid w:val="007667DF"/>
    <w:rsid w:val="0077080B"/>
    <w:rsid w:val="00787070"/>
    <w:rsid w:val="007906FD"/>
    <w:rsid w:val="00797197"/>
    <w:rsid w:val="007972A7"/>
    <w:rsid w:val="007A2BA2"/>
    <w:rsid w:val="007A6245"/>
    <w:rsid w:val="007B1DB2"/>
    <w:rsid w:val="007B375B"/>
    <w:rsid w:val="007B412A"/>
    <w:rsid w:val="007B4ECA"/>
    <w:rsid w:val="007B635E"/>
    <w:rsid w:val="007B7724"/>
    <w:rsid w:val="007B7CDC"/>
    <w:rsid w:val="007C74B4"/>
    <w:rsid w:val="007E3412"/>
    <w:rsid w:val="007F393D"/>
    <w:rsid w:val="008029AF"/>
    <w:rsid w:val="00802FFA"/>
    <w:rsid w:val="008102E5"/>
    <w:rsid w:val="008111B4"/>
    <w:rsid w:val="008133F0"/>
    <w:rsid w:val="00815880"/>
    <w:rsid w:val="00820802"/>
    <w:rsid w:val="0082322C"/>
    <w:rsid w:val="00823942"/>
    <w:rsid w:val="00827FFD"/>
    <w:rsid w:val="00854535"/>
    <w:rsid w:val="00856EB3"/>
    <w:rsid w:val="00857328"/>
    <w:rsid w:val="00863C96"/>
    <w:rsid w:val="00864A72"/>
    <w:rsid w:val="00873E9F"/>
    <w:rsid w:val="00874047"/>
    <w:rsid w:val="008778CB"/>
    <w:rsid w:val="00881545"/>
    <w:rsid w:val="008825BE"/>
    <w:rsid w:val="00883204"/>
    <w:rsid w:val="00883A3E"/>
    <w:rsid w:val="0089148D"/>
    <w:rsid w:val="00891E0D"/>
    <w:rsid w:val="008A0F36"/>
    <w:rsid w:val="008B2543"/>
    <w:rsid w:val="008B4B6E"/>
    <w:rsid w:val="008D7401"/>
    <w:rsid w:val="00903DF6"/>
    <w:rsid w:val="00903E22"/>
    <w:rsid w:val="00921CF6"/>
    <w:rsid w:val="00922E9E"/>
    <w:rsid w:val="00924EF0"/>
    <w:rsid w:val="00934D7B"/>
    <w:rsid w:val="00947180"/>
    <w:rsid w:val="009567BE"/>
    <w:rsid w:val="009676FA"/>
    <w:rsid w:val="009679E0"/>
    <w:rsid w:val="00977632"/>
    <w:rsid w:val="00982A8E"/>
    <w:rsid w:val="00983856"/>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770C"/>
    <w:rsid w:val="00A1270E"/>
    <w:rsid w:val="00A15342"/>
    <w:rsid w:val="00A25D7D"/>
    <w:rsid w:val="00A3007E"/>
    <w:rsid w:val="00A32048"/>
    <w:rsid w:val="00A41F06"/>
    <w:rsid w:val="00A4746E"/>
    <w:rsid w:val="00A50FD4"/>
    <w:rsid w:val="00A52DB4"/>
    <w:rsid w:val="00A57BEF"/>
    <w:rsid w:val="00A618E1"/>
    <w:rsid w:val="00A629B9"/>
    <w:rsid w:val="00A70C20"/>
    <w:rsid w:val="00A74292"/>
    <w:rsid w:val="00A776DE"/>
    <w:rsid w:val="00A80640"/>
    <w:rsid w:val="00A87FFD"/>
    <w:rsid w:val="00A97038"/>
    <w:rsid w:val="00AA3C15"/>
    <w:rsid w:val="00AA6330"/>
    <w:rsid w:val="00AB169E"/>
    <w:rsid w:val="00AB5CD1"/>
    <w:rsid w:val="00AC7501"/>
    <w:rsid w:val="00AD748B"/>
    <w:rsid w:val="00AE052E"/>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514"/>
    <w:rsid w:val="00BA453C"/>
    <w:rsid w:val="00BA4E02"/>
    <w:rsid w:val="00BB2045"/>
    <w:rsid w:val="00BB2A6D"/>
    <w:rsid w:val="00BB4189"/>
    <w:rsid w:val="00BB7FDC"/>
    <w:rsid w:val="00BC19F7"/>
    <w:rsid w:val="00BC41ED"/>
    <w:rsid w:val="00BD009E"/>
    <w:rsid w:val="00BD0EF8"/>
    <w:rsid w:val="00BD7A8C"/>
    <w:rsid w:val="00BE2126"/>
    <w:rsid w:val="00BE3B17"/>
    <w:rsid w:val="00BF51AB"/>
    <w:rsid w:val="00BF716B"/>
    <w:rsid w:val="00BF7233"/>
    <w:rsid w:val="00BF755C"/>
    <w:rsid w:val="00C02AA2"/>
    <w:rsid w:val="00C04C95"/>
    <w:rsid w:val="00C12613"/>
    <w:rsid w:val="00C16DEF"/>
    <w:rsid w:val="00C20C52"/>
    <w:rsid w:val="00C2492F"/>
    <w:rsid w:val="00C320AF"/>
    <w:rsid w:val="00C33C1E"/>
    <w:rsid w:val="00C3744A"/>
    <w:rsid w:val="00C4002A"/>
    <w:rsid w:val="00C46912"/>
    <w:rsid w:val="00C612A8"/>
    <w:rsid w:val="00C67631"/>
    <w:rsid w:val="00C709C6"/>
    <w:rsid w:val="00C729D7"/>
    <w:rsid w:val="00C83354"/>
    <w:rsid w:val="00C84004"/>
    <w:rsid w:val="00C843F6"/>
    <w:rsid w:val="00C84507"/>
    <w:rsid w:val="00C862C7"/>
    <w:rsid w:val="00CA17BF"/>
    <w:rsid w:val="00CA3254"/>
    <w:rsid w:val="00CA4014"/>
    <w:rsid w:val="00CB11CE"/>
    <w:rsid w:val="00CC25A2"/>
    <w:rsid w:val="00CD7F07"/>
    <w:rsid w:val="00CE04F3"/>
    <w:rsid w:val="00CE12D8"/>
    <w:rsid w:val="00CE4574"/>
    <w:rsid w:val="00CE70E6"/>
    <w:rsid w:val="00CF1F1B"/>
    <w:rsid w:val="00CF2E1E"/>
    <w:rsid w:val="00D02E99"/>
    <w:rsid w:val="00D13357"/>
    <w:rsid w:val="00D13A13"/>
    <w:rsid w:val="00D2689A"/>
    <w:rsid w:val="00D65506"/>
    <w:rsid w:val="00D773CF"/>
    <w:rsid w:val="00D83563"/>
    <w:rsid w:val="00D8448F"/>
    <w:rsid w:val="00D9322D"/>
    <w:rsid w:val="00D95FC9"/>
    <w:rsid w:val="00DA64B6"/>
    <w:rsid w:val="00DB5C9D"/>
    <w:rsid w:val="00DD02E6"/>
    <w:rsid w:val="00DF665B"/>
    <w:rsid w:val="00E0152A"/>
    <w:rsid w:val="00E03394"/>
    <w:rsid w:val="00E066E5"/>
    <w:rsid w:val="00E224F4"/>
    <w:rsid w:val="00E22F03"/>
    <w:rsid w:val="00E233C1"/>
    <w:rsid w:val="00E51404"/>
    <w:rsid w:val="00E574C9"/>
    <w:rsid w:val="00E610DE"/>
    <w:rsid w:val="00E66167"/>
    <w:rsid w:val="00E71F2F"/>
    <w:rsid w:val="00E77786"/>
    <w:rsid w:val="00E806FB"/>
    <w:rsid w:val="00E8330A"/>
    <w:rsid w:val="00EA100E"/>
    <w:rsid w:val="00EB1C2D"/>
    <w:rsid w:val="00EC1810"/>
    <w:rsid w:val="00EC1AD3"/>
    <w:rsid w:val="00EC3FCC"/>
    <w:rsid w:val="00ED32FF"/>
    <w:rsid w:val="00EF039B"/>
    <w:rsid w:val="00EF4933"/>
    <w:rsid w:val="00EF5044"/>
    <w:rsid w:val="00F01956"/>
    <w:rsid w:val="00F116CE"/>
    <w:rsid w:val="00F12DCA"/>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A1C02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930D5-0F0A-4E9B-A5ED-A70C941B39A2}">
  <ds:schemaRefs>
    <ds:schemaRef ds:uri="http://schemas.openxmlformats.org/officeDocument/2006/bibliography"/>
  </ds:schemaRefs>
</ds:datastoreItem>
</file>

<file path=customXml/itemProps2.xml><?xml version="1.0" encoding="utf-8"?>
<ds:datastoreItem xmlns:ds="http://schemas.openxmlformats.org/officeDocument/2006/customXml" ds:itemID="{BB8E4782-EA07-4524-9A7E-B43EB3493CF7}"/>
</file>

<file path=customXml/itemProps3.xml><?xml version="1.0" encoding="utf-8"?>
<ds:datastoreItem xmlns:ds="http://schemas.openxmlformats.org/officeDocument/2006/customXml" ds:itemID="{218113CC-DF01-4687-B20B-58D110933026}"/>
</file>

<file path=customXml/itemProps4.xml><?xml version="1.0" encoding="utf-8"?>
<ds:datastoreItem xmlns:ds="http://schemas.openxmlformats.org/officeDocument/2006/customXml" ds:itemID="{49AA4B41-56BA-4B08-9311-1438A0B1F935}"/>
</file>

<file path=docProps/app.xml><?xml version="1.0" encoding="utf-8"?>
<Properties xmlns="http://schemas.openxmlformats.org/officeDocument/2006/extended-properties" xmlns:vt="http://schemas.openxmlformats.org/officeDocument/2006/docPropsVTypes">
  <Template>Normal.dotm</Template>
  <TotalTime>15</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5</cp:revision>
  <cp:lastPrinted>2018-03-13T09:45:00Z</cp:lastPrinted>
  <dcterms:created xsi:type="dcterms:W3CDTF">2018-03-27T09:52:00Z</dcterms:created>
  <dcterms:modified xsi:type="dcterms:W3CDTF">2018-03-27T10:17:00Z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