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93B0D" w14:textId="77777777" w:rsidR="00683609" w:rsidRPr="00515992" w:rsidRDefault="00683609" w:rsidP="000269DD">
      <w:pPr>
        <w:spacing w:after="0"/>
        <w:rPr>
          <w:rFonts w:ascii="Arial" w:hAnsi="Arial" w:cs="Arial"/>
          <w:b/>
          <w:i/>
        </w:rPr>
      </w:pPr>
    </w:p>
    <w:p w14:paraId="4E2B120D" w14:textId="77777777" w:rsidR="009A2D37" w:rsidRPr="00515992" w:rsidRDefault="009A2D37" w:rsidP="000269DD">
      <w:pPr>
        <w:numPr>
          <w:ilvl w:val="0"/>
          <w:numId w:val="1"/>
        </w:numPr>
        <w:spacing w:after="0"/>
        <w:ind w:left="426" w:right="260" w:hanging="426"/>
        <w:rPr>
          <w:rFonts w:ascii="Arial" w:hAnsi="Arial" w:cs="Arial"/>
          <w:b/>
        </w:rPr>
      </w:pPr>
      <w:r w:rsidRPr="00515992">
        <w:rPr>
          <w:rFonts w:ascii="Arial" w:hAnsi="Arial" w:cs="Arial"/>
          <w:b/>
        </w:rPr>
        <w:t>Title of the module</w:t>
      </w:r>
    </w:p>
    <w:p w14:paraId="65605CA1" w14:textId="03A4D526" w:rsidR="009A2D37" w:rsidRPr="00515992" w:rsidRDefault="00C31EBE" w:rsidP="000269DD">
      <w:pPr>
        <w:pStyle w:val="ListParagraph"/>
        <w:spacing w:after="0"/>
        <w:ind w:hanging="294"/>
        <w:rPr>
          <w:rFonts w:ascii="Arial" w:hAnsi="Arial" w:cs="Arial"/>
        </w:rPr>
      </w:pPr>
      <w:r>
        <w:rPr>
          <w:rFonts w:ascii="Arial" w:hAnsi="Arial" w:cs="Arial"/>
        </w:rPr>
        <w:t xml:space="preserve">UN829 (UELT8290) </w:t>
      </w:r>
      <w:r w:rsidR="00E22956" w:rsidRPr="00515992">
        <w:rPr>
          <w:rFonts w:ascii="Arial" w:hAnsi="Arial" w:cs="Arial"/>
        </w:rPr>
        <w:t xml:space="preserve">Reflection and Reflexivity in Higher Education </w:t>
      </w:r>
    </w:p>
    <w:p w14:paraId="3CCE7982" w14:textId="77777777" w:rsidR="009A2D37" w:rsidRPr="00515992" w:rsidRDefault="009A2D37" w:rsidP="000269DD">
      <w:pPr>
        <w:numPr>
          <w:ilvl w:val="0"/>
          <w:numId w:val="1"/>
        </w:numPr>
        <w:spacing w:after="0"/>
        <w:ind w:left="426" w:right="260" w:hanging="426"/>
        <w:rPr>
          <w:rFonts w:ascii="Arial" w:hAnsi="Arial" w:cs="Arial"/>
          <w:b/>
        </w:rPr>
      </w:pPr>
      <w:r w:rsidRPr="00515992">
        <w:rPr>
          <w:rFonts w:ascii="Arial" w:hAnsi="Arial" w:cs="Arial"/>
          <w:b/>
        </w:rPr>
        <w:t>School or partner institution which will be responsible for management of the module</w:t>
      </w:r>
    </w:p>
    <w:p w14:paraId="58185514" w14:textId="77777777" w:rsidR="00E22956" w:rsidRPr="00515992" w:rsidRDefault="00E22956" w:rsidP="000269DD">
      <w:pPr>
        <w:pStyle w:val="ListParagraph"/>
        <w:spacing w:after="0"/>
        <w:ind w:right="-330" w:hanging="294"/>
        <w:rPr>
          <w:rFonts w:ascii="Arial" w:hAnsi="Arial" w:cs="Arial"/>
          <w:iCs/>
        </w:rPr>
      </w:pPr>
      <w:r w:rsidRPr="00515992">
        <w:rPr>
          <w:rFonts w:ascii="Arial" w:hAnsi="Arial" w:cs="Arial"/>
          <w:iCs/>
        </w:rPr>
        <w:t>CSHE/UELT</w:t>
      </w:r>
      <w:r w:rsidR="00771D18" w:rsidRPr="00515992">
        <w:rPr>
          <w:rFonts w:ascii="Arial" w:hAnsi="Arial" w:cs="Arial"/>
          <w:iCs/>
        </w:rPr>
        <w:t>.</w:t>
      </w:r>
    </w:p>
    <w:p w14:paraId="3884CCD6" w14:textId="77777777" w:rsidR="009A2D37" w:rsidRPr="00515992" w:rsidRDefault="002A7F48" w:rsidP="000269DD">
      <w:pPr>
        <w:numPr>
          <w:ilvl w:val="0"/>
          <w:numId w:val="1"/>
        </w:numPr>
        <w:spacing w:after="0"/>
        <w:ind w:left="426" w:right="260" w:hanging="426"/>
        <w:rPr>
          <w:rFonts w:ascii="Arial" w:hAnsi="Arial" w:cs="Arial"/>
          <w:b/>
        </w:rPr>
      </w:pPr>
      <w:r w:rsidRPr="00515992">
        <w:rPr>
          <w:rFonts w:ascii="Arial" w:hAnsi="Arial" w:cs="Arial"/>
          <w:b/>
        </w:rPr>
        <w:t>The level of the module (</w:t>
      </w:r>
      <w:r w:rsidR="00D83563" w:rsidRPr="00515992">
        <w:rPr>
          <w:rFonts w:ascii="Arial" w:hAnsi="Arial" w:cs="Arial"/>
          <w:b/>
        </w:rPr>
        <w:t>Level</w:t>
      </w:r>
      <w:r w:rsidR="00441E76" w:rsidRPr="00515992">
        <w:rPr>
          <w:rFonts w:ascii="Arial" w:hAnsi="Arial" w:cs="Arial"/>
          <w:b/>
        </w:rPr>
        <w:t xml:space="preserve"> 4</w:t>
      </w:r>
      <w:r w:rsidR="001D0C7D" w:rsidRPr="00515992">
        <w:rPr>
          <w:rFonts w:ascii="Arial" w:hAnsi="Arial" w:cs="Arial"/>
          <w:b/>
        </w:rPr>
        <w:t xml:space="preserve">, </w:t>
      </w:r>
      <w:r w:rsidR="00441E76" w:rsidRPr="00515992">
        <w:rPr>
          <w:rFonts w:ascii="Arial" w:hAnsi="Arial" w:cs="Arial"/>
          <w:b/>
        </w:rPr>
        <w:t>Level 5</w:t>
      </w:r>
      <w:r w:rsidR="001D0C7D" w:rsidRPr="00515992">
        <w:rPr>
          <w:rFonts w:ascii="Arial" w:hAnsi="Arial" w:cs="Arial"/>
          <w:b/>
        </w:rPr>
        <w:t xml:space="preserve">, </w:t>
      </w:r>
      <w:r w:rsidR="00441E76" w:rsidRPr="00515992">
        <w:rPr>
          <w:rFonts w:ascii="Arial" w:hAnsi="Arial" w:cs="Arial"/>
          <w:b/>
        </w:rPr>
        <w:t>Level 6</w:t>
      </w:r>
      <w:r w:rsidR="001D0C7D" w:rsidRPr="00515992">
        <w:rPr>
          <w:rFonts w:ascii="Arial" w:hAnsi="Arial" w:cs="Arial"/>
          <w:b/>
        </w:rPr>
        <w:t xml:space="preserve"> or </w:t>
      </w:r>
      <w:r w:rsidR="00C612A8" w:rsidRPr="00515992">
        <w:rPr>
          <w:rFonts w:ascii="Arial" w:hAnsi="Arial" w:cs="Arial"/>
          <w:b/>
        </w:rPr>
        <w:t>L</w:t>
      </w:r>
      <w:r w:rsidR="00441E76" w:rsidRPr="00515992">
        <w:rPr>
          <w:rFonts w:ascii="Arial" w:hAnsi="Arial" w:cs="Arial"/>
          <w:b/>
        </w:rPr>
        <w:t>evel 7</w:t>
      </w:r>
      <w:r w:rsidR="009A2D37" w:rsidRPr="00515992">
        <w:rPr>
          <w:rFonts w:ascii="Arial" w:hAnsi="Arial" w:cs="Arial"/>
          <w:b/>
        </w:rPr>
        <w:t>)</w:t>
      </w:r>
    </w:p>
    <w:p w14:paraId="59B30F26" w14:textId="77777777" w:rsidR="009A2D37" w:rsidRPr="00515992" w:rsidRDefault="00FD6DE1" w:rsidP="000269DD">
      <w:pPr>
        <w:spacing w:after="0"/>
        <w:ind w:left="709" w:right="260" w:hanging="283"/>
        <w:rPr>
          <w:rFonts w:ascii="Arial" w:hAnsi="Arial" w:cs="Arial"/>
          <w:iCs/>
        </w:rPr>
      </w:pPr>
      <w:r>
        <w:rPr>
          <w:rFonts w:ascii="Arial" w:hAnsi="Arial" w:cs="Arial"/>
          <w:iCs/>
        </w:rPr>
        <w:t>Level 7.</w:t>
      </w:r>
    </w:p>
    <w:p w14:paraId="455903BD" w14:textId="77777777" w:rsidR="009A2D37" w:rsidRPr="00515992" w:rsidRDefault="009A2D37" w:rsidP="000269DD">
      <w:pPr>
        <w:numPr>
          <w:ilvl w:val="0"/>
          <w:numId w:val="1"/>
        </w:numPr>
        <w:spacing w:after="0"/>
        <w:ind w:left="426" w:right="260" w:hanging="426"/>
        <w:rPr>
          <w:rFonts w:ascii="Arial" w:hAnsi="Arial" w:cs="Arial"/>
          <w:b/>
        </w:rPr>
      </w:pPr>
      <w:r w:rsidRPr="00515992">
        <w:rPr>
          <w:rFonts w:ascii="Arial" w:hAnsi="Arial" w:cs="Arial"/>
          <w:b/>
        </w:rPr>
        <w:t xml:space="preserve">The number of credits and the ECTS value which the module represents </w:t>
      </w:r>
    </w:p>
    <w:p w14:paraId="02F148D3" w14:textId="77777777" w:rsidR="009A2D37" w:rsidRPr="00515992" w:rsidRDefault="00AE5D92" w:rsidP="000269DD">
      <w:pPr>
        <w:spacing w:after="0"/>
        <w:ind w:left="720" w:right="260" w:hanging="294"/>
        <w:rPr>
          <w:rFonts w:ascii="Arial" w:hAnsi="Arial" w:cs="Arial"/>
        </w:rPr>
      </w:pPr>
      <w:r w:rsidRPr="00515992">
        <w:rPr>
          <w:rFonts w:ascii="Arial" w:hAnsi="Arial" w:cs="Arial"/>
        </w:rPr>
        <w:t>15 (7.5 ECTS)</w:t>
      </w:r>
      <w:r w:rsidR="00771D18" w:rsidRPr="00515992">
        <w:rPr>
          <w:rFonts w:ascii="Arial" w:hAnsi="Arial" w:cs="Arial"/>
        </w:rPr>
        <w:t>.</w:t>
      </w:r>
    </w:p>
    <w:p w14:paraId="7D836DFC" w14:textId="77777777" w:rsidR="009A2D37" w:rsidRPr="00515992" w:rsidRDefault="009A2D37" w:rsidP="000269DD">
      <w:pPr>
        <w:numPr>
          <w:ilvl w:val="0"/>
          <w:numId w:val="1"/>
        </w:numPr>
        <w:spacing w:after="0"/>
        <w:ind w:left="426" w:right="260" w:hanging="426"/>
        <w:rPr>
          <w:rFonts w:ascii="Arial" w:hAnsi="Arial" w:cs="Arial"/>
          <w:b/>
        </w:rPr>
      </w:pPr>
      <w:r w:rsidRPr="00515992">
        <w:rPr>
          <w:rFonts w:ascii="Arial" w:hAnsi="Arial" w:cs="Arial"/>
          <w:b/>
        </w:rPr>
        <w:t>Which term(s) the module is to be taught in (or other teaching pattern)</w:t>
      </w:r>
    </w:p>
    <w:p w14:paraId="361F6A9D" w14:textId="77777777" w:rsidR="009A2D37" w:rsidRPr="00515992" w:rsidRDefault="00FD6DE1" w:rsidP="000269DD">
      <w:pPr>
        <w:spacing w:after="0"/>
        <w:ind w:left="720" w:right="260" w:hanging="294"/>
        <w:rPr>
          <w:rFonts w:ascii="Arial" w:hAnsi="Arial" w:cs="Arial"/>
          <w:iCs/>
        </w:rPr>
      </w:pPr>
      <w:r>
        <w:rPr>
          <w:rFonts w:ascii="Arial" w:hAnsi="Arial" w:cs="Arial"/>
          <w:iCs/>
        </w:rPr>
        <w:t>Autumn or Spring</w:t>
      </w:r>
      <w:r w:rsidR="00771D18" w:rsidRPr="00515992">
        <w:rPr>
          <w:rFonts w:ascii="Arial" w:hAnsi="Arial" w:cs="Arial"/>
          <w:iCs/>
        </w:rPr>
        <w:t>.</w:t>
      </w:r>
    </w:p>
    <w:p w14:paraId="6E49E292" w14:textId="77777777" w:rsidR="009A2D37" w:rsidRPr="00515992" w:rsidRDefault="009A2D37" w:rsidP="000269DD">
      <w:pPr>
        <w:numPr>
          <w:ilvl w:val="0"/>
          <w:numId w:val="1"/>
        </w:numPr>
        <w:spacing w:after="0"/>
        <w:ind w:left="426" w:right="260" w:hanging="426"/>
        <w:rPr>
          <w:rFonts w:ascii="Arial" w:hAnsi="Arial" w:cs="Arial"/>
          <w:b/>
        </w:rPr>
      </w:pPr>
      <w:r w:rsidRPr="00515992">
        <w:rPr>
          <w:rFonts w:ascii="Arial" w:hAnsi="Arial" w:cs="Arial"/>
          <w:b/>
        </w:rPr>
        <w:t>Prerequisite and co-requisite modules</w:t>
      </w:r>
    </w:p>
    <w:p w14:paraId="2385FD91" w14:textId="77777777" w:rsidR="00AE5D92" w:rsidRPr="00515992" w:rsidRDefault="00AE5D92" w:rsidP="000269DD">
      <w:pPr>
        <w:pStyle w:val="ListParagraph"/>
        <w:spacing w:after="0"/>
        <w:ind w:left="426"/>
        <w:rPr>
          <w:rFonts w:ascii="Arial" w:hAnsi="Arial" w:cs="Arial"/>
          <w:lang w:val="en-US"/>
        </w:rPr>
      </w:pPr>
      <w:r w:rsidRPr="00515992">
        <w:rPr>
          <w:rFonts w:ascii="Arial" w:hAnsi="Arial" w:cs="Arial"/>
          <w:lang w:val="en-US"/>
        </w:rPr>
        <w:t xml:space="preserve">UN819 </w:t>
      </w:r>
      <w:r w:rsidR="00FD6DE1">
        <w:rPr>
          <w:rFonts w:ascii="Arial" w:hAnsi="Arial" w:cs="Arial"/>
          <w:lang w:val="en-US"/>
        </w:rPr>
        <w:t>and UN820 are pre-requisite compulsory</w:t>
      </w:r>
      <w:r w:rsidRPr="00515992">
        <w:rPr>
          <w:rFonts w:ascii="Arial" w:hAnsi="Arial" w:cs="Arial"/>
          <w:lang w:val="en-US"/>
        </w:rPr>
        <w:t xml:space="preserve"> modules for students registered on the PGCHE, PGDip/MA.  Students should either have completed these modules successfully or be able to demonstrate an equivalent level of knowledge and understanding.</w:t>
      </w:r>
    </w:p>
    <w:p w14:paraId="665D6756" w14:textId="77777777" w:rsidR="009A2D37" w:rsidRPr="00515992" w:rsidRDefault="009A2D37" w:rsidP="000269DD">
      <w:pPr>
        <w:numPr>
          <w:ilvl w:val="0"/>
          <w:numId w:val="1"/>
        </w:numPr>
        <w:spacing w:after="0"/>
        <w:ind w:left="426" w:right="260" w:hanging="426"/>
        <w:rPr>
          <w:rFonts w:ascii="Arial" w:hAnsi="Arial" w:cs="Arial"/>
          <w:b/>
        </w:rPr>
      </w:pPr>
      <w:r w:rsidRPr="00515992">
        <w:rPr>
          <w:rFonts w:ascii="Arial" w:hAnsi="Arial" w:cs="Arial"/>
          <w:b/>
        </w:rPr>
        <w:t>The programmes of study to which the module contributes</w:t>
      </w:r>
    </w:p>
    <w:p w14:paraId="285228E8" w14:textId="77777777" w:rsidR="00AE5D92" w:rsidRPr="00515992" w:rsidRDefault="00AE5D92" w:rsidP="000269DD">
      <w:pPr>
        <w:pStyle w:val="ListParagraph"/>
        <w:spacing w:after="0"/>
        <w:ind w:left="426" w:right="-330"/>
        <w:rPr>
          <w:rFonts w:ascii="Arial" w:hAnsi="Arial" w:cs="Arial"/>
          <w:iCs/>
        </w:rPr>
      </w:pPr>
      <w:r w:rsidRPr="00515992">
        <w:rPr>
          <w:rFonts w:ascii="Arial" w:hAnsi="Arial" w:cs="Arial"/>
          <w:iCs/>
        </w:rPr>
        <w:t>This is an optional module on the PGCHE/PGDip/MA in HE</w:t>
      </w:r>
      <w:r w:rsidR="00771D18" w:rsidRPr="00515992">
        <w:rPr>
          <w:rFonts w:ascii="Arial" w:hAnsi="Arial" w:cs="Arial"/>
          <w:iCs/>
        </w:rPr>
        <w:t>.</w:t>
      </w:r>
    </w:p>
    <w:p w14:paraId="72F81DE0" w14:textId="77777777" w:rsidR="009A2D37" w:rsidRPr="00515992" w:rsidRDefault="009A2D37" w:rsidP="000269DD">
      <w:pPr>
        <w:numPr>
          <w:ilvl w:val="0"/>
          <w:numId w:val="1"/>
        </w:numPr>
        <w:spacing w:after="0"/>
        <w:ind w:left="426" w:right="260" w:hanging="426"/>
        <w:rPr>
          <w:rFonts w:ascii="Arial" w:hAnsi="Arial" w:cs="Arial"/>
          <w:b/>
        </w:rPr>
      </w:pPr>
      <w:r w:rsidRPr="00515992">
        <w:rPr>
          <w:rFonts w:ascii="Arial" w:hAnsi="Arial" w:cs="Arial"/>
          <w:b/>
        </w:rPr>
        <w:t>The intended subject specific learning outcomes</w:t>
      </w:r>
      <w:r w:rsidR="00C729D7" w:rsidRPr="00515992">
        <w:rPr>
          <w:rFonts w:ascii="Arial" w:hAnsi="Arial" w:cs="Arial"/>
          <w:b/>
        </w:rPr>
        <w:t>.</w:t>
      </w:r>
      <w:r w:rsidR="00C729D7" w:rsidRPr="00515992">
        <w:rPr>
          <w:rFonts w:ascii="Arial" w:hAnsi="Arial" w:cs="Arial"/>
          <w:b/>
        </w:rPr>
        <w:br/>
        <w:t>On successfully completing the module students will be able to:</w:t>
      </w:r>
    </w:p>
    <w:p w14:paraId="339F1329" w14:textId="77777777" w:rsidR="00310E63" w:rsidRPr="00515992" w:rsidRDefault="00AE5D92" w:rsidP="000269DD">
      <w:pPr>
        <w:pStyle w:val="ListParagraph"/>
        <w:numPr>
          <w:ilvl w:val="1"/>
          <w:numId w:val="15"/>
        </w:numPr>
        <w:spacing w:after="0"/>
        <w:ind w:left="851"/>
        <w:rPr>
          <w:rFonts w:ascii="Arial" w:hAnsi="Arial" w:cs="Arial"/>
          <w:lang w:val="en-US"/>
        </w:rPr>
      </w:pPr>
      <w:r w:rsidRPr="00515992">
        <w:rPr>
          <w:rFonts w:ascii="Arial" w:hAnsi="Arial" w:cs="Arial"/>
          <w:lang w:val="en-US"/>
        </w:rPr>
        <w:t>Evaluate critically the factors that have influenced use of reflective practice, reflexivity or practice as research within the HE sector (UKPSF A5,</w:t>
      </w:r>
      <w:r w:rsidR="00F4498E">
        <w:rPr>
          <w:rFonts w:ascii="Arial" w:hAnsi="Arial" w:cs="Arial"/>
          <w:lang w:val="en-US"/>
        </w:rPr>
        <w:t xml:space="preserve"> </w:t>
      </w:r>
      <w:r w:rsidRPr="00515992">
        <w:rPr>
          <w:rFonts w:ascii="Arial" w:hAnsi="Arial" w:cs="Arial"/>
          <w:lang w:val="en-US"/>
        </w:rPr>
        <w:t>K2,V3,</w:t>
      </w:r>
      <w:r w:rsidR="00F4498E">
        <w:rPr>
          <w:rFonts w:ascii="Arial" w:hAnsi="Arial" w:cs="Arial"/>
          <w:lang w:val="en-US"/>
        </w:rPr>
        <w:t xml:space="preserve"> </w:t>
      </w:r>
      <w:r w:rsidRPr="00515992">
        <w:rPr>
          <w:rFonts w:ascii="Arial" w:hAnsi="Arial" w:cs="Arial"/>
          <w:lang w:val="en-US"/>
        </w:rPr>
        <w:t>V4).</w:t>
      </w:r>
    </w:p>
    <w:p w14:paraId="78AEDE3D" w14:textId="77777777" w:rsidR="00AE5D92" w:rsidRPr="00515992" w:rsidRDefault="00AE5D92" w:rsidP="000269DD">
      <w:pPr>
        <w:pStyle w:val="ListParagraph"/>
        <w:numPr>
          <w:ilvl w:val="1"/>
          <w:numId w:val="15"/>
        </w:numPr>
        <w:spacing w:after="0"/>
        <w:ind w:left="851"/>
        <w:rPr>
          <w:rFonts w:ascii="Arial" w:hAnsi="Arial" w:cs="Arial"/>
          <w:lang w:val="en-US"/>
        </w:rPr>
      </w:pPr>
      <w:r w:rsidRPr="00515992">
        <w:rPr>
          <w:rFonts w:ascii="Arial" w:hAnsi="Arial" w:cs="Arial"/>
          <w:lang w:val="en-US"/>
        </w:rPr>
        <w:t>Evaluate critically, and engage with current research and scholarship relating to models and theories of reflection, reflexivity or practice as research within HE teaching and research (UKPSF A4,</w:t>
      </w:r>
      <w:r w:rsidR="00F4498E">
        <w:rPr>
          <w:rFonts w:ascii="Arial" w:hAnsi="Arial" w:cs="Arial"/>
          <w:lang w:val="en-US"/>
        </w:rPr>
        <w:t xml:space="preserve"> </w:t>
      </w:r>
      <w:r w:rsidRPr="00515992">
        <w:rPr>
          <w:rFonts w:ascii="Arial" w:hAnsi="Arial" w:cs="Arial"/>
          <w:lang w:val="en-US"/>
        </w:rPr>
        <w:t>A5,</w:t>
      </w:r>
      <w:r w:rsidR="00F4498E">
        <w:rPr>
          <w:rFonts w:ascii="Arial" w:hAnsi="Arial" w:cs="Arial"/>
          <w:lang w:val="en-US"/>
        </w:rPr>
        <w:t xml:space="preserve"> </w:t>
      </w:r>
      <w:r w:rsidRPr="00515992">
        <w:rPr>
          <w:rFonts w:ascii="Arial" w:hAnsi="Arial" w:cs="Arial"/>
          <w:lang w:val="en-US"/>
        </w:rPr>
        <w:t>K5,</w:t>
      </w:r>
      <w:r w:rsidR="00F4498E">
        <w:rPr>
          <w:rFonts w:ascii="Arial" w:hAnsi="Arial" w:cs="Arial"/>
          <w:lang w:val="en-US"/>
        </w:rPr>
        <w:t xml:space="preserve"> </w:t>
      </w:r>
      <w:r w:rsidRPr="00515992">
        <w:rPr>
          <w:rFonts w:ascii="Arial" w:hAnsi="Arial" w:cs="Arial"/>
          <w:lang w:val="en-US"/>
        </w:rPr>
        <w:t>V3).</w:t>
      </w:r>
    </w:p>
    <w:p w14:paraId="6790BBE6" w14:textId="77777777" w:rsidR="00AE5D92" w:rsidRPr="00515992" w:rsidRDefault="00AE5D92" w:rsidP="000269DD">
      <w:pPr>
        <w:pStyle w:val="ListParagraph"/>
        <w:numPr>
          <w:ilvl w:val="1"/>
          <w:numId w:val="15"/>
        </w:numPr>
        <w:spacing w:after="0"/>
        <w:ind w:left="851"/>
        <w:rPr>
          <w:rFonts w:ascii="Arial" w:hAnsi="Arial" w:cs="Arial"/>
          <w:lang w:val="en-US"/>
        </w:rPr>
      </w:pPr>
      <w:r w:rsidRPr="00515992">
        <w:rPr>
          <w:rFonts w:ascii="Arial" w:hAnsi="Arial" w:cs="Arial"/>
          <w:lang w:val="en-US"/>
        </w:rPr>
        <w:t>Critically reflect upo</w:t>
      </w:r>
      <w:r w:rsidR="00FD6DE1">
        <w:rPr>
          <w:rFonts w:ascii="Arial" w:hAnsi="Arial" w:cs="Arial"/>
          <w:lang w:val="en-US"/>
        </w:rPr>
        <w:t>n, analyse and describe</w:t>
      </w:r>
      <w:r w:rsidRPr="00515992">
        <w:rPr>
          <w:rFonts w:ascii="Arial" w:hAnsi="Arial" w:cs="Arial"/>
          <w:lang w:val="en-US"/>
        </w:rPr>
        <w:t xml:space="preserve"> </w:t>
      </w:r>
      <w:r w:rsidR="00FD6DE1">
        <w:rPr>
          <w:rFonts w:ascii="Arial" w:hAnsi="Arial" w:cs="Arial"/>
          <w:lang w:val="en-US"/>
        </w:rPr>
        <w:t xml:space="preserve">their own reflective </w:t>
      </w:r>
      <w:r w:rsidRPr="00515992">
        <w:rPr>
          <w:rFonts w:ascii="Arial" w:hAnsi="Arial" w:cs="Arial"/>
          <w:lang w:val="en-US"/>
        </w:rPr>
        <w:t xml:space="preserve">practice and/ or the practice of others e.g. teaching practice, practice as </w:t>
      </w:r>
      <w:r w:rsidR="00372D45" w:rsidRPr="00515992">
        <w:rPr>
          <w:rFonts w:ascii="Arial" w:hAnsi="Arial" w:cs="Arial"/>
          <w:lang w:val="en-US"/>
        </w:rPr>
        <w:t>r</w:t>
      </w:r>
      <w:r w:rsidRPr="00515992">
        <w:rPr>
          <w:rFonts w:ascii="Arial" w:hAnsi="Arial" w:cs="Arial"/>
          <w:lang w:val="en-US"/>
        </w:rPr>
        <w:t>esearch, or reflectivity/reflexivity within research (UKPSF K2,</w:t>
      </w:r>
      <w:r w:rsidR="00F4498E">
        <w:rPr>
          <w:rFonts w:ascii="Arial" w:hAnsi="Arial" w:cs="Arial"/>
          <w:lang w:val="en-US"/>
        </w:rPr>
        <w:t xml:space="preserve"> </w:t>
      </w:r>
      <w:r w:rsidRPr="00515992">
        <w:rPr>
          <w:rFonts w:ascii="Arial" w:hAnsi="Arial" w:cs="Arial"/>
          <w:lang w:val="en-US"/>
        </w:rPr>
        <w:t>K3,</w:t>
      </w:r>
      <w:r w:rsidR="00F4498E">
        <w:rPr>
          <w:rFonts w:ascii="Arial" w:hAnsi="Arial" w:cs="Arial"/>
          <w:lang w:val="en-US"/>
        </w:rPr>
        <w:t xml:space="preserve"> </w:t>
      </w:r>
      <w:r w:rsidRPr="00515992">
        <w:rPr>
          <w:rFonts w:ascii="Arial" w:hAnsi="Arial" w:cs="Arial"/>
          <w:lang w:val="en-US"/>
        </w:rPr>
        <w:t>K5,A5).</w:t>
      </w:r>
    </w:p>
    <w:p w14:paraId="36855C91" w14:textId="77777777" w:rsidR="00C729D7" w:rsidRPr="00515992" w:rsidRDefault="009A2D37" w:rsidP="000269DD">
      <w:pPr>
        <w:numPr>
          <w:ilvl w:val="0"/>
          <w:numId w:val="1"/>
        </w:numPr>
        <w:spacing w:after="0"/>
        <w:ind w:left="426" w:right="260" w:hanging="426"/>
        <w:rPr>
          <w:rFonts w:ascii="Arial" w:hAnsi="Arial" w:cs="Arial"/>
          <w:b/>
        </w:rPr>
      </w:pPr>
      <w:r w:rsidRPr="00515992">
        <w:rPr>
          <w:rFonts w:ascii="Arial" w:hAnsi="Arial" w:cs="Arial"/>
          <w:b/>
        </w:rPr>
        <w:t>The intended generic learning outcomes</w:t>
      </w:r>
      <w:r w:rsidR="00C729D7" w:rsidRPr="00515992">
        <w:rPr>
          <w:rFonts w:ascii="Arial" w:hAnsi="Arial" w:cs="Arial"/>
          <w:b/>
        </w:rPr>
        <w:t>.</w:t>
      </w:r>
      <w:r w:rsidR="00C729D7" w:rsidRPr="00515992">
        <w:rPr>
          <w:rFonts w:ascii="Arial" w:hAnsi="Arial" w:cs="Arial"/>
          <w:b/>
        </w:rPr>
        <w:br/>
        <w:t>On successfully completing the module students will be able to:</w:t>
      </w:r>
    </w:p>
    <w:p w14:paraId="353D03BD" w14:textId="77777777" w:rsidR="00310E63" w:rsidRDefault="00F962BF" w:rsidP="000269DD">
      <w:pPr>
        <w:pStyle w:val="ListParagraph"/>
        <w:numPr>
          <w:ilvl w:val="1"/>
          <w:numId w:val="17"/>
        </w:numPr>
        <w:spacing w:after="0"/>
        <w:ind w:left="851" w:hanging="426"/>
        <w:rPr>
          <w:rFonts w:ascii="Arial" w:hAnsi="Arial" w:cs="Arial"/>
        </w:rPr>
      </w:pPr>
      <w:r>
        <w:rPr>
          <w:rFonts w:ascii="Arial" w:hAnsi="Arial" w:cs="Arial"/>
        </w:rPr>
        <w:t xml:space="preserve">Synthesise information </w:t>
      </w:r>
      <w:r w:rsidR="0089720A">
        <w:rPr>
          <w:rFonts w:ascii="Arial" w:hAnsi="Arial" w:cs="Arial"/>
        </w:rPr>
        <w:t>from a number of sources in order to gain a coherent understanding of educational theory and practice as it relates to reflective practice and reflexivity, and apply it within the academic environment (UKPSF V3, Programme level outcome 1).</w:t>
      </w:r>
    </w:p>
    <w:p w14:paraId="00C53411" w14:textId="77777777" w:rsidR="0089720A" w:rsidRPr="0089720A" w:rsidRDefault="00EE25CA" w:rsidP="000269DD">
      <w:pPr>
        <w:pStyle w:val="ListParagraph"/>
        <w:numPr>
          <w:ilvl w:val="1"/>
          <w:numId w:val="17"/>
        </w:numPr>
        <w:spacing w:after="0"/>
        <w:ind w:left="851" w:hanging="426"/>
        <w:rPr>
          <w:rFonts w:ascii="Arial" w:hAnsi="Arial" w:cs="Arial"/>
        </w:rPr>
      </w:pPr>
      <w:r>
        <w:rPr>
          <w:rFonts w:ascii="Arial" w:hAnsi="Arial" w:cs="Arial"/>
        </w:rPr>
        <w:t>E</w:t>
      </w:r>
      <w:r w:rsidR="0089720A" w:rsidRPr="0089720A">
        <w:rPr>
          <w:rFonts w:ascii="Arial" w:hAnsi="Arial" w:cs="Arial"/>
        </w:rPr>
        <w:t>valuate current research and scho</w:t>
      </w:r>
      <w:r w:rsidR="0089720A">
        <w:rPr>
          <w:rFonts w:ascii="Arial" w:hAnsi="Arial" w:cs="Arial"/>
        </w:rPr>
        <w:t>larship as it relates to teaching, learning and research (UKPSF V3, Programme level outcome 2).</w:t>
      </w:r>
    </w:p>
    <w:p w14:paraId="286B31D1" w14:textId="77777777" w:rsidR="00AE5D92" w:rsidRPr="00515992" w:rsidRDefault="00EE25CA" w:rsidP="000269DD">
      <w:pPr>
        <w:pStyle w:val="ListParagraph"/>
        <w:numPr>
          <w:ilvl w:val="1"/>
          <w:numId w:val="17"/>
        </w:numPr>
        <w:spacing w:after="0"/>
        <w:ind w:left="851" w:hanging="426"/>
        <w:rPr>
          <w:rFonts w:ascii="Arial" w:hAnsi="Arial" w:cs="Arial"/>
        </w:rPr>
      </w:pPr>
      <w:r>
        <w:rPr>
          <w:rFonts w:ascii="Arial" w:hAnsi="Arial" w:cs="Arial"/>
        </w:rPr>
        <w:t>I</w:t>
      </w:r>
      <w:r w:rsidR="0089720A" w:rsidRPr="0089720A">
        <w:rPr>
          <w:rFonts w:ascii="Arial" w:hAnsi="Arial" w:cs="Arial"/>
        </w:rPr>
        <w:t>dentify and use appropriate sources of internal and external support for development as a researcher, as appropriate</w:t>
      </w:r>
      <w:r w:rsidR="00F4498E">
        <w:rPr>
          <w:rFonts w:ascii="Arial" w:hAnsi="Arial" w:cs="Arial"/>
        </w:rPr>
        <w:t>.</w:t>
      </w:r>
      <w:r w:rsidR="0089720A">
        <w:rPr>
          <w:rFonts w:ascii="Verdana" w:hAnsi="Verdana"/>
          <w:sz w:val="20"/>
        </w:rPr>
        <w:t xml:space="preserve">  </w:t>
      </w:r>
      <w:r w:rsidR="00AE5D92" w:rsidRPr="00515992">
        <w:rPr>
          <w:rFonts w:ascii="Arial" w:hAnsi="Arial" w:cs="Arial"/>
          <w:lang w:val="en-US"/>
        </w:rPr>
        <w:t>(UKPSF A</w:t>
      </w:r>
      <w:r w:rsidR="0089720A">
        <w:rPr>
          <w:rFonts w:ascii="Arial" w:hAnsi="Arial" w:cs="Arial"/>
          <w:lang w:val="en-US"/>
        </w:rPr>
        <w:t>4, A</w:t>
      </w:r>
      <w:r w:rsidR="00AE5D92" w:rsidRPr="00515992">
        <w:rPr>
          <w:rFonts w:ascii="Arial" w:hAnsi="Arial" w:cs="Arial"/>
          <w:lang w:val="en-US"/>
        </w:rPr>
        <w:t>5</w:t>
      </w:r>
      <w:r w:rsidR="0089720A">
        <w:rPr>
          <w:rFonts w:ascii="Arial" w:hAnsi="Arial" w:cs="Arial"/>
          <w:lang w:val="en-US"/>
        </w:rPr>
        <w:t>, Programme level outcome 3</w:t>
      </w:r>
      <w:r w:rsidR="00AE5D92" w:rsidRPr="00515992">
        <w:rPr>
          <w:rFonts w:ascii="Arial" w:hAnsi="Arial" w:cs="Arial"/>
          <w:lang w:val="en-US"/>
        </w:rPr>
        <w:t>).</w:t>
      </w:r>
    </w:p>
    <w:p w14:paraId="3362D6E6" w14:textId="77777777" w:rsidR="009A2D37" w:rsidRPr="00515992" w:rsidRDefault="009A2D37" w:rsidP="000269DD">
      <w:pPr>
        <w:numPr>
          <w:ilvl w:val="0"/>
          <w:numId w:val="1"/>
        </w:numPr>
        <w:spacing w:after="0"/>
        <w:ind w:left="426" w:right="260" w:hanging="426"/>
        <w:rPr>
          <w:rFonts w:ascii="Arial" w:hAnsi="Arial" w:cs="Arial"/>
          <w:b/>
        </w:rPr>
      </w:pPr>
      <w:r w:rsidRPr="00515992">
        <w:rPr>
          <w:rFonts w:ascii="Arial" w:hAnsi="Arial" w:cs="Arial"/>
          <w:b/>
        </w:rPr>
        <w:t>A synopsis of the curriculum</w:t>
      </w:r>
    </w:p>
    <w:p w14:paraId="71DB0ED4" w14:textId="77777777" w:rsidR="009A2D37" w:rsidRDefault="00AE5D92" w:rsidP="000269DD">
      <w:pPr>
        <w:spacing w:after="0"/>
        <w:ind w:left="345"/>
        <w:rPr>
          <w:rFonts w:ascii="Arial" w:hAnsi="Arial" w:cs="Arial"/>
          <w:iCs/>
        </w:rPr>
      </w:pPr>
      <w:r w:rsidRPr="00515992">
        <w:rPr>
          <w:rFonts w:ascii="Arial" w:hAnsi="Arial" w:cs="Arial"/>
        </w:rPr>
        <w:t>This modu</w:t>
      </w:r>
      <w:r w:rsidR="00520556">
        <w:rPr>
          <w:rFonts w:ascii="Arial" w:hAnsi="Arial" w:cs="Arial"/>
        </w:rPr>
        <w:t>le offers the chance to explore w</w:t>
      </w:r>
      <w:r w:rsidRPr="00520556">
        <w:rPr>
          <w:rFonts w:ascii="Arial" w:hAnsi="Arial" w:cs="Arial"/>
          <w:iCs/>
        </w:rPr>
        <w:t>hat is meant by the idea of reflection or effective reflective practice, how it is used within the academic practice, in teaching, in research, as part of practice as research, and the differences between reflective and reflexive practice.</w:t>
      </w:r>
      <w:r w:rsidR="00520556">
        <w:rPr>
          <w:rFonts w:ascii="Arial" w:hAnsi="Arial" w:cs="Arial"/>
          <w:iCs/>
        </w:rPr>
        <w:t xml:space="preserve">  It will offer the opportunity to c</w:t>
      </w:r>
      <w:r w:rsidRPr="00520556">
        <w:rPr>
          <w:rFonts w:ascii="Arial" w:hAnsi="Arial" w:cs="Arial"/>
          <w:iCs/>
        </w:rPr>
        <w:t>ritically consider a variety of different theories and models of reflective and reflexive practice, including the supervisory model.</w:t>
      </w:r>
      <w:r w:rsidR="00520556">
        <w:rPr>
          <w:rFonts w:ascii="Arial" w:hAnsi="Arial" w:cs="Arial"/>
          <w:iCs/>
        </w:rPr>
        <w:t xml:space="preserve">  The module will give the students the opportunity to c</w:t>
      </w:r>
      <w:r w:rsidRPr="00520556">
        <w:rPr>
          <w:rFonts w:ascii="Arial" w:hAnsi="Arial" w:cs="Arial"/>
          <w:iCs/>
        </w:rPr>
        <w:t xml:space="preserve">onsider the role of reflection/reflexivity in enhancing an individual’s teaching and/or research, how it can be approached for development.  </w:t>
      </w:r>
      <w:r w:rsidR="00520556">
        <w:rPr>
          <w:rFonts w:ascii="Arial" w:hAnsi="Arial" w:cs="Arial"/>
          <w:iCs/>
        </w:rPr>
        <w:t>It will allow students to c</w:t>
      </w:r>
      <w:r w:rsidRPr="00520556">
        <w:rPr>
          <w:rFonts w:ascii="Arial" w:hAnsi="Arial" w:cs="Arial"/>
          <w:iCs/>
        </w:rPr>
        <w:t>ritically evaluate Practice as Research</w:t>
      </w:r>
      <w:r w:rsidR="00F4498E">
        <w:rPr>
          <w:rFonts w:ascii="Arial" w:hAnsi="Arial" w:cs="Arial"/>
          <w:iCs/>
        </w:rPr>
        <w:t xml:space="preserve"> within different disciplines, i</w:t>
      </w:r>
      <w:r w:rsidR="00520556">
        <w:rPr>
          <w:rFonts w:ascii="Arial" w:hAnsi="Arial" w:cs="Arial"/>
          <w:iCs/>
        </w:rPr>
        <w:t>ncluding questions such as “</w:t>
      </w:r>
      <w:r w:rsidRPr="00520556">
        <w:rPr>
          <w:rFonts w:ascii="Arial" w:hAnsi="Arial" w:cs="Arial"/>
          <w:iCs/>
        </w:rPr>
        <w:t>What does this look like / feel like?</w:t>
      </w:r>
      <w:r w:rsidR="00520556">
        <w:rPr>
          <w:rFonts w:ascii="Arial" w:hAnsi="Arial" w:cs="Arial"/>
          <w:iCs/>
        </w:rPr>
        <w:t>”</w:t>
      </w:r>
      <w:r w:rsidRPr="00520556">
        <w:rPr>
          <w:rFonts w:ascii="Arial" w:hAnsi="Arial" w:cs="Arial"/>
          <w:iCs/>
        </w:rPr>
        <w:t xml:space="preserve">  </w:t>
      </w:r>
      <w:r w:rsidR="00520556">
        <w:rPr>
          <w:rFonts w:ascii="Arial" w:hAnsi="Arial" w:cs="Arial"/>
          <w:iCs/>
        </w:rPr>
        <w:t>“</w:t>
      </w:r>
      <w:r w:rsidRPr="00520556">
        <w:rPr>
          <w:rFonts w:ascii="Arial" w:hAnsi="Arial" w:cs="Arial"/>
          <w:iCs/>
        </w:rPr>
        <w:t>How does it fit within an academic career?</w:t>
      </w:r>
      <w:r w:rsidR="00520556">
        <w:rPr>
          <w:rFonts w:ascii="Arial" w:hAnsi="Arial" w:cs="Arial"/>
          <w:iCs/>
        </w:rPr>
        <w:t>”</w:t>
      </w:r>
      <w:r w:rsidRPr="00520556">
        <w:rPr>
          <w:rFonts w:ascii="Arial" w:hAnsi="Arial" w:cs="Arial"/>
          <w:iCs/>
        </w:rPr>
        <w:t xml:space="preserve">  </w:t>
      </w:r>
      <w:r w:rsidR="00520556">
        <w:rPr>
          <w:rFonts w:ascii="Arial" w:hAnsi="Arial" w:cs="Arial"/>
          <w:iCs/>
        </w:rPr>
        <w:t>“</w:t>
      </w:r>
      <w:r w:rsidRPr="00520556">
        <w:rPr>
          <w:rFonts w:ascii="Arial" w:hAnsi="Arial" w:cs="Arial"/>
          <w:iCs/>
        </w:rPr>
        <w:t>How is it different from an individual practice?</w:t>
      </w:r>
      <w:r w:rsidR="00520556">
        <w:rPr>
          <w:rFonts w:ascii="Arial" w:hAnsi="Arial" w:cs="Arial"/>
          <w:iCs/>
        </w:rPr>
        <w:t>”</w:t>
      </w:r>
    </w:p>
    <w:p w14:paraId="7BD4D854" w14:textId="77777777" w:rsidR="00520556" w:rsidRPr="00520556" w:rsidRDefault="00520556" w:rsidP="000269DD">
      <w:pPr>
        <w:spacing w:after="0"/>
        <w:ind w:left="345"/>
        <w:rPr>
          <w:rFonts w:ascii="Arial" w:hAnsi="Arial" w:cs="Arial"/>
          <w:iCs/>
        </w:rPr>
      </w:pPr>
      <w:r>
        <w:rPr>
          <w:rFonts w:ascii="Arial" w:hAnsi="Arial" w:cs="Arial"/>
          <w:iCs/>
        </w:rPr>
        <w:t xml:space="preserve">Core indicative themes </w:t>
      </w:r>
      <w:r w:rsidR="0089720A">
        <w:rPr>
          <w:rFonts w:ascii="Arial" w:hAnsi="Arial" w:cs="Arial"/>
          <w:iCs/>
        </w:rPr>
        <w:t xml:space="preserve">include different theoretical models of reflective practice, how they can be put into practice, how they might be assessed, reflexivity as a researcher, </w:t>
      </w:r>
      <w:r w:rsidR="00EE25CA">
        <w:rPr>
          <w:rFonts w:ascii="Arial" w:hAnsi="Arial" w:cs="Arial"/>
          <w:iCs/>
        </w:rPr>
        <w:t>p</w:t>
      </w:r>
      <w:r w:rsidR="0089720A">
        <w:rPr>
          <w:rFonts w:ascii="Arial" w:hAnsi="Arial" w:cs="Arial"/>
          <w:iCs/>
        </w:rPr>
        <w:t xml:space="preserve">ractice as research, embodied practice and the role of reflexivity and reflective practice </w:t>
      </w:r>
      <w:r w:rsidR="00EE25CA">
        <w:rPr>
          <w:rFonts w:ascii="Arial" w:hAnsi="Arial" w:cs="Arial"/>
          <w:iCs/>
        </w:rPr>
        <w:t>within academic practice</w:t>
      </w:r>
      <w:r w:rsidR="0089720A">
        <w:rPr>
          <w:rFonts w:ascii="Arial" w:hAnsi="Arial" w:cs="Arial"/>
          <w:iCs/>
        </w:rPr>
        <w:t>.</w:t>
      </w:r>
    </w:p>
    <w:p w14:paraId="2F7C1A1C" w14:textId="77777777" w:rsidR="009A2D37" w:rsidRPr="00515992" w:rsidRDefault="002A7F48" w:rsidP="000269DD">
      <w:pPr>
        <w:numPr>
          <w:ilvl w:val="0"/>
          <w:numId w:val="1"/>
        </w:numPr>
        <w:spacing w:after="0"/>
        <w:ind w:left="426" w:right="260" w:hanging="426"/>
        <w:rPr>
          <w:rFonts w:ascii="Arial" w:hAnsi="Arial" w:cs="Arial"/>
          <w:b/>
        </w:rPr>
      </w:pPr>
      <w:r w:rsidRPr="00515992">
        <w:rPr>
          <w:rFonts w:ascii="Arial" w:hAnsi="Arial" w:cs="Arial"/>
          <w:b/>
        </w:rPr>
        <w:lastRenderedPageBreak/>
        <w:t>Reading l</w:t>
      </w:r>
      <w:r w:rsidR="009A2D37" w:rsidRPr="00515992">
        <w:rPr>
          <w:rFonts w:ascii="Arial" w:hAnsi="Arial" w:cs="Arial"/>
          <w:b/>
        </w:rPr>
        <w:t xml:space="preserve">ist </w:t>
      </w:r>
      <w:r w:rsidR="00274ED7" w:rsidRPr="00515992">
        <w:rPr>
          <w:rFonts w:ascii="Arial" w:hAnsi="Arial" w:cs="Arial"/>
          <w:b/>
        </w:rPr>
        <w:t>(Indicative list, current at time of publication. Reading lists will be published annually)</w:t>
      </w:r>
    </w:p>
    <w:p w14:paraId="470266EF" w14:textId="77777777" w:rsidR="00AE5D92" w:rsidRPr="00515992" w:rsidRDefault="00AE5D92" w:rsidP="000269DD">
      <w:pPr>
        <w:pStyle w:val="ListParagraph"/>
        <w:numPr>
          <w:ilvl w:val="0"/>
          <w:numId w:val="13"/>
        </w:numPr>
        <w:spacing w:after="0"/>
        <w:ind w:right="-330"/>
        <w:rPr>
          <w:rFonts w:ascii="Arial" w:hAnsi="Arial" w:cs="Arial"/>
        </w:rPr>
      </w:pPr>
      <w:r w:rsidRPr="00515992">
        <w:rPr>
          <w:rFonts w:ascii="Arial" w:hAnsi="Arial" w:cs="Arial"/>
        </w:rPr>
        <w:t>Bleakley,A. (1999). From reflective practice to holisitic reflexivity. Studies in Higher Education, 24(3):315-330.</w:t>
      </w:r>
    </w:p>
    <w:p w14:paraId="4233B298" w14:textId="77777777" w:rsidR="00AE5D92" w:rsidRPr="00515992" w:rsidRDefault="00AE5D92" w:rsidP="000269DD">
      <w:pPr>
        <w:pStyle w:val="ListParagraph"/>
        <w:numPr>
          <w:ilvl w:val="0"/>
          <w:numId w:val="13"/>
        </w:numPr>
        <w:spacing w:after="0"/>
        <w:ind w:right="-330"/>
        <w:rPr>
          <w:rFonts w:ascii="Arial" w:hAnsi="Arial" w:cs="Arial"/>
        </w:rPr>
      </w:pPr>
      <w:r w:rsidRPr="00515992">
        <w:rPr>
          <w:rFonts w:ascii="Arial" w:hAnsi="Arial" w:cs="Arial"/>
        </w:rPr>
        <w:t>Cordingley,P. (1999). Constructing and Critiquing Reflective Practice. Educational Action Research, 7(2):183-191.</w:t>
      </w:r>
    </w:p>
    <w:p w14:paraId="54574DE7" w14:textId="77777777" w:rsidR="00AE5D92" w:rsidRPr="00515992" w:rsidRDefault="00AE5D92" w:rsidP="000269DD">
      <w:pPr>
        <w:pStyle w:val="ListParagraph"/>
        <w:numPr>
          <w:ilvl w:val="0"/>
          <w:numId w:val="13"/>
        </w:numPr>
        <w:spacing w:after="0"/>
        <w:ind w:right="-330"/>
        <w:rPr>
          <w:rFonts w:ascii="Arial" w:hAnsi="Arial" w:cs="Arial"/>
        </w:rPr>
      </w:pPr>
      <w:r w:rsidRPr="00515992">
        <w:rPr>
          <w:rFonts w:ascii="Arial" w:hAnsi="Arial" w:cs="Arial"/>
        </w:rPr>
        <w:t>Clegg,S., Tan,J., &amp; Saedidi,S. (2002). Reflecting or Acting? Reflective Practice and Continuing Professional Development in Higher Education. Reflective Practice, 3(1):131-146.</w:t>
      </w:r>
    </w:p>
    <w:p w14:paraId="34548B35" w14:textId="77777777" w:rsidR="00AE5D92" w:rsidRPr="00515992" w:rsidRDefault="00AE5D92" w:rsidP="000269DD">
      <w:pPr>
        <w:pStyle w:val="ListParagraph"/>
        <w:numPr>
          <w:ilvl w:val="0"/>
          <w:numId w:val="13"/>
        </w:numPr>
        <w:spacing w:after="0"/>
        <w:ind w:right="-330"/>
        <w:rPr>
          <w:rFonts w:ascii="Arial" w:hAnsi="Arial" w:cs="Arial"/>
        </w:rPr>
      </w:pPr>
      <w:r w:rsidRPr="00515992">
        <w:rPr>
          <w:rFonts w:ascii="Arial" w:hAnsi="Arial" w:cs="Arial"/>
        </w:rPr>
        <w:t>Dewey,J. (1933). How We Think:A Restatement of the Relation of Reflective Thinking to the Educative Process. (Pollard, Ed.) Boston:D.C.Heath.</w:t>
      </w:r>
    </w:p>
    <w:p w14:paraId="2A6D467F" w14:textId="77777777" w:rsidR="00AE5D92" w:rsidRPr="00515992" w:rsidRDefault="00AE5D92" w:rsidP="000269DD">
      <w:pPr>
        <w:pStyle w:val="ListParagraph"/>
        <w:numPr>
          <w:ilvl w:val="0"/>
          <w:numId w:val="13"/>
        </w:numPr>
        <w:spacing w:after="0"/>
        <w:ind w:right="-330"/>
        <w:rPr>
          <w:rFonts w:ascii="Arial" w:hAnsi="Arial" w:cs="Arial"/>
        </w:rPr>
      </w:pPr>
      <w:r w:rsidRPr="00515992">
        <w:rPr>
          <w:rFonts w:ascii="Arial" w:hAnsi="Arial" w:cs="Arial"/>
        </w:rPr>
        <w:t>Leigh, J. (2016). An embodied perspective on judgements of written reflective practice for professional development in Higher Education. Reflective Practice: International and Multidisciplinary Perspectives, 17(1). doi:10.1080/14623943.2015.1123688</w:t>
      </w:r>
    </w:p>
    <w:p w14:paraId="3D365299" w14:textId="77777777" w:rsidR="00AE5D92" w:rsidRPr="00515992" w:rsidRDefault="00AE5D92" w:rsidP="000269DD">
      <w:pPr>
        <w:pStyle w:val="ListParagraph"/>
        <w:numPr>
          <w:ilvl w:val="0"/>
          <w:numId w:val="13"/>
        </w:numPr>
        <w:spacing w:after="0"/>
        <w:ind w:right="-330"/>
        <w:rPr>
          <w:rFonts w:ascii="Arial" w:hAnsi="Arial" w:cs="Arial"/>
        </w:rPr>
      </w:pPr>
      <w:r w:rsidRPr="00515992">
        <w:rPr>
          <w:rFonts w:ascii="Arial" w:hAnsi="Arial" w:cs="Arial"/>
        </w:rPr>
        <w:t>Ross,J. (2014). Performing the reflective self:</w:t>
      </w:r>
      <w:r w:rsidR="00FD6DE1">
        <w:rPr>
          <w:rFonts w:ascii="Arial" w:hAnsi="Arial" w:cs="Arial"/>
        </w:rPr>
        <w:t xml:space="preserve"> </w:t>
      </w:r>
      <w:r w:rsidRPr="00515992">
        <w:rPr>
          <w:rFonts w:ascii="Arial" w:hAnsi="Arial" w:cs="Arial"/>
        </w:rPr>
        <w:t>audience awareness in high-stakes reflection. Studies in Higher Education, 39(2):219-232.</w:t>
      </w:r>
    </w:p>
    <w:p w14:paraId="680B96F7" w14:textId="77777777" w:rsidR="009A2D37" w:rsidRPr="00515992" w:rsidRDefault="009A2D37" w:rsidP="000269DD">
      <w:pPr>
        <w:numPr>
          <w:ilvl w:val="0"/>
          <w:numId w:val="1"/>
        </w:numPr>
        <w:spacing w:after="0"/>
        <w:ind w:left="426" w:right="260" w:hanging="426"/>
        <w:rPr>
          <w:rFonts w:ascii="Arial" w:hAnsi="Arial" w:cs="Arial"/>
          <w:i/>
          <w:iCs/>
        </w:rPr>
      </w:pPr>
      <w:r w:rsidRPr="00515992">
        <w:rPr>
          <w:rFonts w:ascii="Arial" w:hAnsi="Arial" w:cs="Arial"/>
          <w:b/>
        </w:rPr>
        <w:t>Learning</w:t>
      </w:r>
      <w:r w:rsidR="002A7F48" w:rsidRPr="00515992">
        <w:rPr>
          <w:rFonts w:ascii="Arial" w:hAnsi="Arial" w:cs="Arial"/>
          <w:b/>
        </w:rPr>
        <w:t xml:space="preserve"> and t</w:t>
      </w:r>
      <w:r w:rsidR="006F3F8B" w:rsidRPr="00515992">
        <w:rPr>
          <w:rFonts w:ascii="Arial" w:hAnsi="Arial" w:cs="Arial"/>
          <w:b/>
        </w:rPr>
        <w:t>eaching m</w:t>
      </w:r>
      <w:r w:rsidRPr="00515992">
        <w:rPr>
          <w:rFonts w:ascii="Arial" w:hAnsi="Arial" w:cs="Arial"/>
          <w:b/>
        </w:rPr>
        <w:t>ethods</w:t>
      </w:r>
    </w:p>
    <w:p w14:paraId="1FAB6457" w14:textId="77777777" w:rsidR="00AE5D92" w:rsidRDefault="00AE5D92" w:rsidP="000269DD">
      <w:pPr>
        <w:pStyle w:val="ListParagraph"/>
        <w:spacing w:after="0"/>
        <w:ind w:left="426"/>
        <w:rPr>
          <w:rFonts w:ascii="Arial" w:hAnsi="Arial" w:cs="Arial"/>
        </w:rPr>
      </w:pPr>
      <w:r w:rsidRPr="00515992">
        <w:rPr>
          <w:rFonts w:ascii="Arial" w:hAnsi="Arial" w:cs="Arial"/>
        </w:rPr>
        <w:t xml:space="preserve">The module consists of </w:t>
      </w:r>
      <w:r w:rsidR="00520556">
        <w:rPr>
          <w:rFonts w:ascii="Arial" w:hAnsi="Arial" w:cs="Arial"/>
        </w:rPr>
        <w:t>five 2 1/2</w:t>
      </w:r>
      <w:r w:rsidRPr="00515992">
        <w:rPr>
          <w:rFonts w:ascii="Arial" w:hAnsi="Arial" w:cs="Arial"/>
        </w:rPr>
        <w:t>-hour workshops, combining tutor input, small group discussions, and opportunities for cross-disciplinary discussion of the issues explored in each session.  The students will be encouraged to synthesise their own understandings following reading and discussion.  One session will explicitly be experiential, allowing the students to explore embodied reflective practice, though other sessions may incorporate elements of this approach.  There will be opportunity to explore</w:t>
      </w:r>
      <w:r w:rsidRPr="00515992">
        <w:rPr>
          <w:rFonts w:ascii="Arial" w:hAnsi="Arial" w:cs="Arial"/>
          <w:i/>
          <w:iCs/>
        </w:rPr>
        <w:t xml:space="preserve"> </w:t>
      </w:r>
      <w:r w:rsidRPr="00515992">
        <w:rPr>
          <w:rFonts w:ascii="Arial" w:hAnsi="Arial" w:cs="Arial"/>
          <w:iCs/>
        </w:rPr>
        <w:t>practical applications of reflection within HE including</w:t>
      </w:r>
      <w:r w:rsidRPr="00515992">
        <w:rPr>
          <w:rFonts w:ascii="Arial" w:hAnsi="Arial" w:cs="Arial"/>
        </w:rPr>
        <w:t xml:space="preserve"> reflective writing, and how it is used in teaching and in research, including the challenges of assessing it.  </w:t>
      </w:r>
    </w:p>
    <w:p w14:paraId="0D351295" w14:textId="77777777" w:rsidR="000269DD" w:rsidRPr="000269DD" w:rsidRDefault="000269DD" w:rsidP="000269DD">
      <w:pPr>
        <w:spacing w:after="0"/>
        <w:ind w:left="426" w:right="-330"/>
        <w:rPr>
          <w:rFonts w:ascii="Arial" w:hAnsi="Arial" w:cs="Arial"/>
        </w:rPr>
      </w:pPr>
      <w:r w:rsidRPr="0089720A">
        <w:rPr>
          <w:rFonts w:ascii="Arial" w:hAnsi="Arial" w:cs="Arial"/>
        </w:rPr>
        <w:t>There will be a requirement to keep a reflecti</w:t>
      </w:r>
      <w:r>
        <w:rPr>
          <w:rFonts w:ascii="Arial" w:hAnsi="Arial" w:cs="Arial"/>
        </w:rPr>
        <w:t>ve journal throughout the module</w:t>
      </w:r>
      <w:r w:rsidRPr="0089720A">
        <w:rPr>
          <w:rFonts w:ascii="Arial" w:hAnsi="Arial" w:cs="Arial"/>
        </w:rPr>
        <w:t xml:space="preserve">.  A reflective journal is designed to allow the students to reflect on their experiences, their thoughts, their feelings, and how these relate to their teaching, practice, and research within the context of the material they are studying.  This will not be assessed directly, as direct assessment of reflective journaling has been demonstrated to have a negative effect on students’ reflective practice, in that they keep the journal to pass the assignment rather than to develop their reflective practice.  Instead, this journal will be used as a basis for work in seminars and may form part of the final assignment if they wish.  It may be written, or in another appropriate format, e.g. video.  </w:t>
      </w:r>
    </w:p>
    <w:p w14:paraId="4816A1B7" w14:textId="77777777" w:rsidR="000269DD" w:rsidRDefault="00FD6DE1" w:rsidP="000269DD">
      <w:pPr>
        <w:pStyle w:val="ListParagraph"/>
        <w:spacing w:after="0"/>
        <w:ind w:left="426" w:right="-330"/>
        <w:rPr>
          <w:rFonts w:ascii="Arial" w:hAnsi="Arial" w:cs="Arial"/>
        </w:rPr>
      </w:pPr>
      <w:r>
        <w:rPr>
          <w:rFonts w:ascii="Arial" w:hAnsi="Arial" w:cs="Arial"/>
        </w:rPr>
        <w:t>Students</w:t>
      </w:r>
      <w:r w:rsidR="00AE5D92" w:rsidRPr="00515992">
        <w:rPr>
          <w:rFonts w:ascii="Arial" w:hAnsi="Arial" w:cs="Arial"/>
        </w:rPr>
        <w:t xml:space="preserve"> will be offered individual tutorial support to support completion of a</w:t>
      </w:r>
      <w:r w:rsidR="00520556">
        <w:rPr>
          <w:rFonts w:ascii="Arial" w:hAnsi="Arial" w:cs="Arial"/>
        </w:rPr>
        <w:t>ssessed work.  There will be 135</w:t>
      </w:r>
      <w:r w:rsidR="00AE5D92" w:rsidRPr="00515992">
        <w:rPr>
          <w:rFonts w:ascii="Arial" w:hAnsi="Arial" w:cs="Arial"/>
        </w:rPr>
        <w:t xml:space="preserve"> hours of independent study in preparation for taught sessions, reading more widely about issues raised in taught sessions and in preparation for assessed work.</w:t>
      </w:r>
    </w:p>
    <w:p w14:paraId="2746BD2D" w14:textId="77777777" w:rsidR="0036174D" w:rsidRPr="00515992" w:rsidRDefault="00AE5D92" w:rsidP="000269DD">
      <w:pPr>
        <w:pStyle w:val="ListParagraph"/>
        <w:spacing w:after="0"/>
        <w:ind w:left="426" w:right="-330"/>
        <w:rPr>
          <w:rFonts w:ascii="Arial" w:hAnsi="Arial" w:cs="Arial"/>
          <w:iCs/>
        </w:rPr>
      </w:pPr>
      <w:r w:rsidRPr="00515992">
        <w:rPr>
          <w:rFonts w:ascii="Arial" w:hAnsi="Arial" w:cs="Arial"/>
        </w:rPr>
        <w:t>These combined will enable participants to meet the subject-specific and generic learning outcomes for this module.</w:t>
      </w:r>
    </w:p>
    <w:p w14:paraId="5FD43D10" w14:textId="77777777" w:rsidR="00B9109B" w:rsidRPr="00515992" w:rsidRDefault="00EF4933" w:rsidP="000269DD">
      <w:pPr>
        <w:numPr>
          <w:ilvl w:val="0"/>
          <w:numId w:val="1"/>
        </w:numPr>
        <w:spacing w:after="0"/>
        <w:ind w:left="426" w:right="260" w:hanging="426"/>
        <w:rPr>
          <w:rFonts w:ascii="Arial" w:hAnsi="Arial" w:cs="Arial"/>
          <w:b/>
          <w:i/>
          <w:iCs/>
        </w:rPr>
      </w:pPr>
      <w:r w:rsidRPr="00515992">
        <w:rPr>
          <w:rFonts w:ascii="Arial" w:hAnsi="Arial" w:cs="Arial"/>
          <w:b/>
        </w:rPr>
        <w:t>Assessment methods</w:t>
      </w:r>
    </w:p>
    <w:p w14:paraId="6C378738" w14:textId="77777777" w:rsidR="00B5379E" w:rsidRPr="0089720A" w:rsidRDefault="00B5379E" w:rsidP="000269DD">
      <w:pPr>
        <w:spacing w:after="0"/>
        <w:ind w:left="426" w:right="-330"/>
        <w:rPr>
          <w:rFonts w:ascii="Arial" w:hAnsi="Arial" w:cs="Arial"/>
          <w:lang w:val="en-US"/>
        </w:rPr>
      </w:pPr>
      <w:r w:rsidRPr="0089720A">
        <w:rPr>
          <w:rFonts w:ascii="Arial" w:hAnsi="Arial" w:cs="Arial"/>
        </w:rPr>
        <w:t>An assignment</w:t>
      </w:r>
      <w:r w:rsidR="00520556" w:rsidRPr="0089720A">
        <w:rPr>
          <w:rFonts w:ascii="Arial" w:hAnsi="Arial" w:cs="Arial"/>
        </w:rPr>
        <w:t xml:space="preserve"> portfolio equivalent to 3,000 words</w:t>
      </w:r>
      <w:r w:rsidRPr="0089720A">
        <w:rPr>
          <w:rFonts w:ascii="Arial" w:hAnsi="Arial" w:cs="Arial"/>
          <w:lang w:val="en-US"/>
        </w:rPr>
        <w:t xml:space="preserve">.  </w:t>
      </w:r>
      <w:r w:rsidR="00515992" w:rsidRPr="0089720A">
        <w:rPr>
          <w:rFonts w:ascii="Arial" w:hAnsi="Arial" w:cs="Arial"/>
          <w:lang w:val="en-US"/>
        </w:rPr>
        <w:t>Students will have the option</w:t>
      </w:r>
      <w:r w:rsidRPr="0089720A">
        <w:rPr>
          <w:rFonts w:ascii="Arial" w:hAnsi="Arial" w:cs="Arial"/>
          <w:lang w:val="en-US"/>
        </w:rPr>
        <w:t xml:space="preserve"> of a practical research submission e.g. a video submission plus critical commentary, or a more theoretical essay.</w:t>
      </w:r>
      <w:r w:rsidR="00EE25CA">
        <w:rPr>
          <w:rFonts w:ascii="Arial" w:hAnsi="Arial" w:cs="Arial"/>
          <w:lang w:val="en-US"/>
        </w:rPr>
        <w:t xml:space="preserve"> </w:t>
      </w:r>
      <w:r w:rsidR="0089720A">
        <w:rPr>
          <w:rFonts w:ascii="Arial" w:hAnsi="Arial" w:cs="Arial"/>
          <w:lang w:val="en-US"/>
        </w:rPr>
        <w:t xml:space="preserve"> </w:t>
      </w:r>
      <w:r w:rsidRPr="0089720A">
        <w:rPr>
          <w:rFonts w:ascii="Arial" w:hAnsi="Arial" w:cs="Arial"/>
          <w:lang w:val="en-US"/>
        </w:rPr>
        <w:t xml:space="preserve">Individual titles and formats </w:t>
      </w:r>
      <w:r w:rsidR="00843ECA">
        <w:rPr>
          <w:rFonts w:ascii="Arial" w:hAnsi="Arial" w:cs="Arial"/>
          <w:lang w:val="en-US"/>
        </w:rPr>
        <w:t xml:space="preserve">of assessment </w:t>
      </w:r>
      <w:r w:rsidRPr="0089720A">
        <w:rPr>
          <w:rFonts w:ascii="Arial" w:hAnsi="Arial" w:cs="Arial"/>
          <w:lang w:val="en-US"/>
        </w:rPr>
        <w:t xml:space="preserve">will be negotiated with the module convenor, to allow participants </w:t>
      </w:r>
      <w:r w:rsidRPr="0089720A">
        <w:rPr>
          <w:rFonts w:ascii="Arial" w:hAnsi="Arial" w:cs="Arial"/>
        </w:rPr>
        <w:t>to critically evaluate and illustrate the principles which underlie their practice.</w:t>
      </w:r>
      <w:r w:rsidRPr="0089720A">
        <w:rPr>
          <w:rFonts w:ascii="Arial" w:hAnsi="Arial" w:cs="Arial"/>
          <w:lang w:val="en-US"/>
        </w:rPr>
        <w:t xml:space="preserve">  For example, an indicative title might be ‘Practice as Research in Drama’</w:t>
      </w:r>
      <w:r w:rsidR="00EE25CA">
        <w:rPr>
          <w:rFonts w:ascii="Arial" w:hAnsi="Arial" w:cs="Arial"/>
          <w:lang w:val="en-US"/>
        </w:rPr>
        <w:t>.</w:t>
      </w:r>
    </w:p>
    <w:p w14:paraId="294B6B94" w14:textId="77777777" w:rsidR="0036174D" w:rsidRPr="0089720A" w:rsidRDefault="00B5379E" w:rsidP="000269DD">
      <w:pPr>
        <w:spacing w:after="0"/>
        <w:ind w:left="426"/>
        <w:rPr>
          <w:rFonts w:ascii="Arial" w:hAnsi="Arial" w:cs="Arial"/>
          <w:iCs/>
        </w:rPr>
      </w:pPr>
      <w:r w:rsidRPr="0089720A">
        <w:rPr>
          <w:rFonts w:ascii="Arial" w:hAnsi="Arial" w:cs="Arial"/>
          <w:lang w:val="en-US"/>
        </w:rPr>
        <w:t>This assi</w:t>
      </w:r>
      <w:r w:rsidR="00843ECA">
        <w:rPr>
          <w:rFonts w:ascii="Arial" w:hAnsi="Arial" w:cs="Arial"/>
          <w:lang w:val="en-US"/>
        </w:rPr>
        <w:t>gnment will address the SSLOs 8.1, 8.2 and 8.3, and the generic LOs 9.1, 9.2 and 9</w:t>
      </w:r>
      <w:r w:rsidRPr="0089720A">
        <w:rPr>
          <w:rFonts w:ascii="Arial" w:hAnsi="Arial" w:cs="Arial"/>
          <w:lang w:val="en-US"/>
        </w:rPr>
        <w:t>.3</w:t>
      </w:r>
    </w:p>
    <w:p w14:paraId="4D6AC689" w14:textId="77777777" w:rsidR="00274ED7" w:rsidRPr="000269DD" w:rsidRDefault="006F3F8B" w:rsidP="000269DD">
      <w:pPr>
        <w:numPr>
          <w:ilvl w:val="0"/>
          <w:numId w:val="1"/>
        </w:numPr>
        <w:spacing w:after="0"/>
        <w:ind w:left="426" w:right="260" w:hanging="426"/>
        <w:rPr>
          <w:rFonts w:ascii="Arial" w:hAnsi="Arial" w:cs="Arial"/>
          <w:b/>
          <w:iCs/>
        </w:rPr>
      </w:pPr>
      <w:r w:rsidRPr="00515992">
        <w:rPr>
          <w:rFonts w:ascii="Arial" w:hAnsi="Arial" w:cs="Arial"/>
          <w:b/>
          <w:iCs/>
        </w:rPr>
        <w:t xml:space="preserve">Map of </w:t>
      </w:r>
      <w:r w:rsidR="002A7F48" w:rsidRPr="00515992">
        <w:rPr>
          <w:rFonts w:ascii="Arial" w:hAnsi="Arial" w:cs="Arial"/>
          <w:b/>
          <w:iCs/>
        </w:rPr>
        <w:t xml:space="preserve">module learning outcomes </w:t>
      </w:r>
      <w:r w:rsidR="00B30E07" w:rsidRPr="00515992">
        <w:rPr>
          <w:rFonts w:ascii="Arial" w:hAnsi="Arial" w:cs="Arial"/>
          <w:b/>
          <w:iCs/>
        </w:rPr>
        <w:t>(sections 8 &amp; 9)</w:t>
      </w:r>
      <w:r w:rsidR="002A7F48" w:rsidRPr="00515992">
        <w:rPr>
          <w:rFonts w:ascii="Arial" w:hAnsi="Arial" w:cs="Arial"/>
          <w:b/>
          <w:iCs/>
        </w:rPr>
        <w:t xml:space="preserve"> to l</w:t>
      </w:r>
      <w:r w:rsidRPr="00515992">
        <w:rPr>
          <w:rFonts w:ascii="Arial" w:hAnsi="Arial" w:cs="Arial"/>
          <w:b/>
          <w:iCs/>
        </w:rPr>
        <w:t>earning</w:t>
      </w:r>
      <w:r w:rsidR="00B30E07" w:rsidRPr="00515992">
        <w:rPr>
          <w:rFonts w:ascii="Arial" w:hAnsi="Arial" w:cs="Arial"/>
          <w:b/>
          <w:iCs/>
        </w:rPr>
        <w:t xml:space="preserve"> and </w:t>
      </w:r>
      <w:r w:rsidR="002A7F48" w:rsidRPr="00515992">
        <w:rPr>
          <w:rFonts w:ascii="Arial" w:hAnsi="Arial" w:cs="Arial"/>
          <w:b/>
          <w:iCs/>
        </w:rPr>
        <w:t>teaching m</w:t>
      </w:r>
      <w:r w:rsidR="00B30E07" w:rsidRPr="00515992">
        <w:rPr>
          <w:rFonts w:ascii="Arial" w:hAnsi="Arial" w:cs="Arial"/>
          <w:b/>
          <w:iCs/>
        </w:rPr>
        <w:t xml:space="preserve">ethods </w:t>
      </w:r>
      <w:r w:rsidR="00B30E07" w:rsidRPr="000269DD">
        <w:rPr>
          <w:rFonts w:ascii="Arial" w:hAnsi="Arial" w:cs="Arial"/>
          <w:b/>
          <w:iCs/>
        </w:rPr>
        <w:t>(section</w:t>
      </w:r>
      <w:r w:rsidR="000269DD">
        <w:rPr>
          <w:rFonts w:ascii="Arial" w:hAnsi="Arial" w:cs="Arial"/>
          <w:b/>
          <w:iCs/>
        </w:rPr>
        <w:t>1</w:t>
      </w:r>
      <w:r w:rsidR="00B30E07" w:rsidRPr="000269DD">
        <w:rPr>
          <w:rFonts w:ascii="Arial" w:hAnsi="Arial" w:cs="Arial"/>
          <w:b/>
          <w:iCs/>
        </w:rPr>
        <w:t>2</w:t>
      </w:r>
      <w:r w:rsidRPr="000269DD">
        <w:rPr>
          <w:rFonts w:ascii="Arial" w:hAnsi="Arial" w:cs="Arial"/>
          <w:b/>
          <w:iCs/>
        </w:rPr>
        <w:t>) and m</w:t>
      </w:r>
      <w:r w:rsidR="002A7F48" w:rsidRPr="000269DD">
        <w:rPr>
          <w:rFonts w:ascii="Arial" w:hAnsi="Arial" w:cs="Arial"/>
          <w:b/>
          <w:iCs/>
        </w:rPr>
        <w:t>ethods of a</w:t>
      </w:r>
      <w:r w:rsidR="00B30E07" w:rsidRPr="000269DD">
        <w:rPr>
          <w:rFonts w:ascii="Arial" w:hAnsi="Arial" w:cs="Arial"/>
          <w:b/>
          <w:iCs/>
        </w:rPr>
        <w:t>ssessment (section 13</w:t>
      </w:r>
      <w:r w:rsidR="00EF4933" w:rsidRPr="000269DD">
        <w:rPr>
          <w:rFonts w:ascii="Arial" w:hAnsi="Arial" w:cs="Arial"/>
          <w:b/>
          <w:iCs/>
        </w:rPr>
        <w:t>)</w:t>
      </w:r>
    </w:p>
    <w:tbl>
      <w:tblPr>
        <w:tblStyle w:val="TableGrid"/>
        <w:tblW w:w="6379" w:type="dxa"/>
        <w:jc w:val="center"/>
        <w:tblLayout w:type="fixed"/>
        <w:tblLook w:val="04A0" w:firstRow="1" w:lastRow="0" w:firstColumn="1" w:lastColumn="0" w:noHBand="0" w:noVBand="1"/>
      </w:tblPr>
      <w:tblGrid>
        <w:gridCol w:w="1730"/>
        <w:gridCol w:w="1247"/>
        <w:gridCol w:w="567"/>
        <w:gridCol w:w="567"/>
        <w:gridCol w:w="567"/>
        <w:gridCol w:w="567"/>
        <w:gridCol w:w="567"/>
        <w:gridCol w:w="567"/>
      </w:tblGrid>
      <w:tr w:rsidR="004916F4" w:rsidRPr="00515992" w14:paraId="6744BB4A" w14:textId="77777777" w:rsidTr="004916F4">
        <w:trPr>
          <w:jc w:val="center"/>
        </w:trPr>
        <w:tc>
          <w:tcPr>
            <w:tcW w:w="1730" w:type="dxa"/>
            <w:shd w:val="clear" w:color="auto" w:fill="D9D9D9" w:themeFill="background1" w:themeFillShade="D9"/>
          </w:tcPr>
          <w:p w14:paraId="144F5156" w14:textId="77777777" w:rsidR="004916F4" w:rsidRPr="00515992" w:rsidRDefault="004916F4" w:rsidP="000269DD">
            <w:pPr>
              <w:spacing w:line="276" w:lineRule="auto"/>
              <w:ind w:left="33"/>
              <w:rPr>
                <w:rFonts w:ascii="Arial" w:hAnsi="Arial" w:cs="Arial"/>
                <w:b/>
              </w:rPr>
            </w:pPr>
            <w:r w:rsidRPr="00515992">
              <w:rPr>
                <w:rFonts w:ascii="Arial" w:hAnsi="Arial" w:cs="Arial"/>
                <w:b/>
              </w:rPr>
              <w:lastRenderedPageBreak/>
              <w:t>Module learning outcome</w:t>
            </w:r>
          </w:p>
        </w:tc>
        <w:tc>
          <w:tcPr>
            <w:tcW w:w="1247" w:type="dxa"/>
          </w:tcPr>
          <w:p w14:paraId="41F0025F" w14:textId="77777777" w:rsidR="004916F4" w:rsidRPr="00515992" w:rsidRDefault="004916F4" w:rsidP="000269DD">
            <w:pPr>
              <w:spacing w:line="276" w:lineRule="auto"/>
              <w:rPr>
                <w:rFonts w:ascii="Arial" w:hAnsi="Arial" w:cs="Arial"/>
                <w:i/>
              </w:rPr>
            </w:pPr>
          </w:p>
        </w:tc>
        <w:tc>
          <w:tcPr>
            <w:tcW w:w="567" w:type="dxa"/>
          </w:tcPr>
          <w:p w14:paraId="2F97BDD8" w14:textId="77777777" w:rsidR="004916F4" w:rsidRPr="00515992" w:rsidRDefault="004916F4" w:rsidP="000269DD">
            <w:pPr>
              <w:spacing w:line="276" w:lineRule="auto"/>
              <w:rPr>
                <w:rFonts w:ascii="Arial" w:hAnsi="Arial" w:cs="Arial"/>
                <w:i/>
              </w:rPr>
            </w:pPr>
            <w:r w:rsidRPr="00515992">
              <w:rPr>
                <w:rFonts w:ascii="Arial" w:hAnsi="Arial" w:cs="Arial"/>
                <w:i/>
              </w:rPr>
              <w:t>8.1</w:t>
            </w:r>
          </w:p>
        </w:tc>
        <w:tc>
          <w:tcPr>
            <w:tcW w:w="567" w:type="dxa"/>
          </w:tcPr>
          <w:p w14:paraId="6B5ADE4F" w14:textId="77777777" w:rsidR="004916F4" w:rsidRPr="00515992" w:rsidRDefault="004916F4" w:rsidP="000269DD">
            <w:pPr>
              <w:spacing w:line="276" w:lineRule="auto"/>
              <w:rPr>
                <w:rFonts w:ascii="Arial" w:hAnsi="Arial" w:cs="Arial"/>
                <w:i/>
              </w:rPr>
            </w:pPr>
            <w:r w:rsidRPr="00515992">
              <w:rPr>
                <w:rFonts w:ascii="Arial" w:hAnsi="Arial" w:cs="Arial"/>
                <w:i/>
              </w:rPr>
              <w:t>8.2</w:t>
            </w:r>
          </w:p>
        </w:tc>
        <w:tc>
          <w:tcPr>
            <w:tcW w:w="567" w:type="dxa"/>
          </w:tcPr>
          <w:p w14:paraId="180F6A8C" w14:textId="77777777" w:rsidR="004916F4" w:rsidRPr="00515992" w:rsidRDefault="004916F4" w:rsidP="000269DD">
            <w:pPr>
              <w:spacing w:line="276" w:lineRule="auto"/>
              <w:rPr>
                <w:rFonts w:ascii="Arial" w:hAnsi="Arial" w:cs="Arial"/>
                <w:i/>
              </w:rPr>
            </w:pPr>
            <w:r w:rsidRPr="00515992">
              <w:rPr>
                <w:rFonts w:ascii="Arial" w:hAnsi="Arial" w:cs="Arial"/>
                <w:i/>
              </w:rPr>
              <w:t>8.3</w:t>
            </w:r>
          </w:p>
        </w:tc>
        <w:tc>
          <w:tcPr>
            <w:tcW w:w="567" w:type="dxa"/>
          </w:tcPr>
          <w:p w14:paraId="22773B6D" w14:textId="77777777" w:rsidR="004916F4" w:rsidRPr="00515992" w:rsidRDefault="004916F4" w:rsidP="000269DD">
            <w:pPr>
              <w:spacing w:line="276" w:lineRule="auto"/>
              <w:rPr>
                <w:rFonts w:ascii="Arial" w:hAnsi="Arial" w:cs="Arial"/>
                <w:i/>
              </w:rPr>
            </w:pPr>
            <w:r w:rsidRPr="00515992">
              <w:rPr>
                <w:rFonts w:ascii="Arial" w:hAnsi="Arial" w:cs="Arial"/>
                <w:i/>
              </w:rPr>
              <w:t>9.1</w:t>
            </w:r>
          </w:p>
        </w:tc>
        <w:tc>
          <w:tcPr>
            <w:tcW w:w="567" w:type="dxa"/>
          </w:tcPr>
          <w:p w14:paraId="532F91C6" w14:textId="77777777" w:rsidR="004916F4" w:rsidRPr="00515992" w:rsidRDefault="004916F4" w:rsidP="000269DD">
            <w:pPr>
              <w:spacing w:line="276" w:lineRule="auto"/>
              <w:rPr>
                <w:rFonts w:ascii="Arial" w:hAnsi="Arial" w:cs="Arial"/>
                <w:i/>
              </w:rPr>
            </w:pPr>
            <w:r w:rsidRPr="00515992">
              <w:rPr>
                <w:rFonts w:ascii="Arial" w:hAnsi="Arial" w:cs="Arial"/>
                <w:i/>
              </w:rPr>
              <w:t>9.2</w:t>
            </w:r>
          </w:p>
        </w:tc>
        <w:tc>
          <w:tcPr>
            <w:tcW w:w="567" w:type="dxa"/>
          </w:tcPr>
          <w:p w14:paraId="62F83637" w14:textId="77777777" w:rsidR="004916F4" w:rsidRPr="00515992" w:rsidRDefault="004916F4" w:rsidP="000269DD">
            <w:pPr>
              <w:rPr>
                <w:rFonts w:ascii="Arial" w:hAnsi="Arial" w:cs="Arial"/>
                <w:i/>
              </w:rPr>
            </w:pPr>
            <w:r>
              <w:rPr>
                <w:rFonts w:ascii="Arial" w:hAnsi="Arial" w:cs="Arial"/>
                <w:i/>
              </w:rPr>
              <w:t>9.3</w:t>
            </w:r>
          </w:p>
        </w:tc>
      </w:tr>
      <w:tr w:rsidR="004916F4" w:rsidRPr="00515992" w14:paraId="6C62CEA5" w14:textId="77777777" w:rsidTr="004916F4">
        <w:trPr>
          <w:jc w:val="center"/>
        </w:trPr>
        <w:tc>
          <w:tcPr>
            <w:tcW w:w="1730" w:type="dxa"/>
            <w:shd w:val="clear" w:color="auto" w:fill="D9D9D9" w:themeFill="background1" w:themeFillShade="D9"/>
          </w:tcPr>
          <w:p w14:paraId="52D1E185" w14:textId="77777777" w:rsidR="004916F4" w:rsidRPr="00515992" w:rsidRDefault="004916F4" w:rsidP="000269DD">
            <w:pPr>
              <w:spacing w:line="276" w:lineRule="auto"/>
              <w:rPr>
                <w:rFonts w:ascii="Arial" w:hAnsi="Arial" w:cs="Arial"/>
                <w:b/>
              </w:rPr>
            </w:pPr>
            <w:r w:rsidRPr="00515992">
              <w:rPr>
                <w:rFonts w:ascii="Arial" w:hAnsi="Arial" w:cs="Arial"/>
                <w:b/>
              </w:rPr>
              <w:t>Learning/ teaching method</w:t>
            </w:r>
          </w:p>
        </w:tc>
        <w:tc>
          <w:tcPr>
            <w:tcW w:w="1247" w:type="dxa"/>
            <w:shd w:val="clear" w:color="auto" w:fill="D9D9D9" w:themeFill="background1" w:themeFillShade="D9"/>
          </w:tcPr>
          <w:p w14:paraId="58C58AC6" w14:textId="77777777" w:rsidR="004916F4" w:rsidRPr="00515992" w:rsidRDefault="004916F4" w:rsidP="000269DD">
            <w:pPr>
              <w:spacing w:line="276" w:lineRule="auto"/>
              <w:rPr>
                <w:rFonts w:ascii="Arial" w:hAnsi="Arial" w:cs="Arial"/>
                <w:b/>
              </w:rPr>
            </w:pPr>
            <w:r w:rsidRPr="00515992">
              <w:rPr>
                <w:rFonts w:ascii="Arial" w:hAnsi="Arial" w:cs="Arial"/>
                <w:b/>
                <w:shd w:val="clear" w:color="auto" w:fill="D9D9D9" w:themeFill="background1" w:themeFillShade="D9"/>
              </w:rPr>
              <w:t>Hours allocated</w:t>
            </w:r>
          </w:p>
        </w:tc>
        <w:tc>
          <w:tcPr>
            <w:tcW w:w="567" w:type="dxa"/>
          </w:tcPr>
          <w:p w14:paraId="2D69B781" w14:textId="77777777" w:rsidR="004916F4" w:rsidRPr="00515992" w:rsidRDefault="004916F4" w:rsidP="000269DD">
            <w:pPr>
              <w:spacing w:line="276" w:lineRule="auto"/>
              <w:rPr>
                <w:rFonts w:ascii="Arial" w:hAnsi="Arial" w:cs="Arial"/>
                <w:b/>
              </w:rPr>
            </w:pPr>
          </w:p>
        </w:tc>
        <w:tc>
          <w:tcPr>
            <w:tcW w:w="567" w:type="dxa"/>
          </w:tcPr>
          <w:p w14:paraId="4BB1A714" w14:textId="77777777" w:rsidR="004916F4" w:rsidRPr="00515992" w:rsidRDefault="004916F4" w:rsidP="000269DD">
            <w:pPr>
              <w:spacing w:line="276" w:lineRule="auto"/>
              <w:rPr>
                <w:rFonts w:ascii="Arial" w:hAnsi="Arial" w:cs="Arial"/>
                <w:b/>
              </w:rPr>
            </w:pPr>
          </w:p>
        </w:tc>
        <w:tc>
          <w:tcPr>
            <w:tcW w:w="567" w:type="dxa"/>
          </w:tcPr>
          <w:p w14:paraId="79639496" w14:textId="77777777" w:rsidR="004916F4" w:rsidRPr="00515992" w:rsidRDefault="004916F4" w:rsidP="000269DD">
            <w:pPr>
              <w:spacing w:line="276" w:lineRule="auto"/>
              <w:rPr>
                <w:rFonts w:ascii="Arial" w:hAnsi="Arial" w:cs="Arial"/>
                <w:b/>
              </w:rPr>
            </w:pPr>
          </w:p>
        </w:tc>
        <w:tc>
          <w:tcPr>
            <w:tcW w:w="567" w:type="dxa"/>
          </w:tcPr>
          <w:p w14:paraId="7C483507" w14:textId="77777777" w:rsidR="004916F4" w:rsidRPr="00515992" w:rsidRDefault="004916F4" w:rsidP="000269DD">
            <w:pPr>
              <w:spacing w:line="276" w:lineRule="auto"/>
              <w:rPr>
                <w:rFonts w:ascii="Arial" w:hAnsi="Arial" w:cs="Arial"/>
                <w:b/>
              </w:rPr>
            </w:pPr>
          </w:p>
        </w:tc>
        <w:tc>
          <w:tcPr>
            <w:tcW w:w="567" w:type="dxa"/>
          </w:tcPr>
          <w:p w14:paraId="7927352A" w14:textId="77777777" w:rsidR="004916F4" w:rsidRPr="00515992" w:rsidRDefault="004916F4" w:rsidP="000269DD">
            <w:pPr>
              <w:spacing w:line="276" w:lineRule="auto"/>
              <w:rPr>
                <w:rFonts w:ascii="Arial" w:hAnsi="Arial" w:cs="Arial"/>
                <w:b/>
              </w:rPr>
            </w:pPr>
          </w:p>
        </w:tc>
        <w:tc>
          <w:tcPr>
            <w:tcW w:w="567" w:type="dxa"/>
          </w:tcPr>
          <w:p w14:paraId="702F948D" w14:textId="77777777" w:rsidR="004916F4" w:rsidRPr="00515992" w:rsidRDefault="004916F4" w:rsidP="000269DD">
            <w:pPr>
              <w:rPr>
                <w:rFonts w:ascii="Arial" w:hAnsi="Arial" w:cs="Arial"/>
                <w:b/>
              </w:rPr>
            </w:pPr>
          </w:p>
        </w:tc>
      </w:tr>
      <w:tr w:rsidR="004916F4" w:rsidRPr="00515992" w14:paraId="5D8D24D6" w14:textId="77777777" w:rsidTr="004916F4">
        <w:trPr>
          <w:jc w:val="center"/>
        </w:trPr>
        <w:tc>
          <w:tcPr>
            <w:tcW w:w="1730" w:type="dxa"/>
          </w:tcPr>
          <w:p w14:paraId="259E7FA9" w14:textId="77777777" w:rsidR="004916F4" w:rsidRPr="00515992" w:rsidRDefault="004916F4" w:rsidP="000269DD">
            <w:pPr>
              <w:spacing w:line="276" w:lineRule="auto"/>
              <w:rPr>
                <w:rFonts w:ascii="Arial" w:hAnsi="Arial" w:cs="Arial"/>
                <w:b/>
              </w:rPr>
            </w:pPr>
            <w:r w:rsidRPr="00515992">
              <w:rPr>
                <w:rFonts w:ascii="Arial" w:hAnsi="Arial" w:cs="Arial"/>
                <w:b/>
              </w:rPr>
              <w:t>Private Study</w:t>
            </w:r>
          </w:p>
        </w:tc>
        <w:tc>
          <w:tcPr>
            <w:tcW w:w="1247" w:type="dxa"/>
          </w:tcPr>
          <w:p w14:paraId="4C9449A4" w14:textId="77777777" w:rsidR="004916F4" w:rsidRPr="00515992" w:rsidRDefault="004916F4" w:rsidP="000269DD">
            <w:pPr>
              <w:spacing w:line="276" w:lineRule="auto"/>
              <w:rPr>
                <w:rFonts w:ascii="Arial" w:hAnsi="Arial" w:cs="Arial"/>
              </w:rPr>
            </w:pPr>
            <w:r w:rsidRPr="00515992">
              <w:rPr>
                <w:rFonts w:ascii="Arial" w:hAnsi="Arial" w:cs="Arial"/>
              </w:rPr>
              <w:t>13</w:t>
            </w:r>
            <w:r>
              <w:rPr>
                <w:rFonts w:ascii="Arial" w:hAnsi="Arial" w:cs="Arial"/>
              </w:rPr>
              <w:t>5</w:t>
            </w:r>
          </w:p>
        </w:tc>
        <w:tc>
          <w:tcPr>
            <w:tcW w:w="567" w:type="dxa"/>
          </w:tcPr>
          <w:p w14:paraId="6FD9EAD9"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1613719C"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02FA1B02"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4FEACB15"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7D7DB6AD"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5AD5F7B8" w14:textId="77777777" w:rsidR="004916F4" w:rsidRPr="00515992" w:rsidRDefault="004916F4" w:rsidP="000269DD">
            <w:pPr>
              <w:rPr>
                <w:rFonts w:ascii="Arial" w:hAnsi="Arial" w:cs="Arial"/>
                <w:b/>
              </w:rPr>
            </w:pPr>
            <w:r>
              <w:rPr>
                <w:rFonts w:ascii="Arial" w:hAnsi="Arial" w:cs="Arial"/>
                <w:b/>
              </w:rPr>
              <w:t>X</w:t>
            </w:r>
          </w:p>
        </w:tc>
      </w:tr>
      <w:tr w:rsidR="004916F4" w:rsidRPr="00515992" w14:paraId="47BF430F" w14:textId="77777777" w:rsidTr="004916F4">
        <w:trPr>
          <w:jc w:val="center"/>
        </w:trPr>
        <w:tc>
          <w:tcPr>
            <w:tcW w:w="1730" w:type="dxa"/>
          </w:tcPr>
          <w:p w14:paraId="0ACAFB2A" w14:textId="77777777" w:rsidR="004916F4" w:rsidRPr="00515992" w:rsidRDefault="004916F4" w:rsidP="000269DD">
            <w:pPr>
              <w:spacing w:line="276" w:lineRule="auto"/>
              <w:rPr>
                <w:rFonts w:ascii="Arial" w:hAnsi="Arial" w:cs="Arial"/>
                <w:b/>
              </w:rPr>
            </w:pPr>
            <w:r w:rsidRPr="00515992">
              <w:rPr>
                <w:rFonts w:ascii="Arial" w:hAnsi="Arial" w:cs="Arial"/>
                <w:b/>
              </w:rPr>
              <w:t>Seminars</w:t>
            </w:r>
          </w:p>
        </w:tc>
        <w:tc>
          <w:tcPr>
            <w:tcW w:w="1247" w:type="dxa"/>
          </w:tcPr>
          <w:p w14:paraId="2812306F" w14:textId="77777777" w:rsidR="004916F4" w:rsidRPr="00515992" w:rsidRDefault="004916F4" w:rsidP="000269DD">
            <w:pPr>
              <w:spacing w:line="276" w:lineRule="auto"/>
              <w:rPr>
                <w:rFonts w:ascii="Arial" w:hAnsi="Arial" w:cs="Arial"/>
              </w:rPr>
            </w:pPr>
            <w:r>
              <w:rPr>
                <w:rFonts w:ascii="Arial" w:hAnsi="Arial" w:cs="Arial"/>
              </w:rPr>
              <w:t>12.5</w:t>
            </w:r>
          </w:p>
        </w:tc>
        <w:tc>
          <w:tcPr>
            <w:tcW w:w="567" w:type="dxa"/>
          </w:tcPr>
          <w:p w14:paraId="5CD8D250"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0509258D"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4AF24792"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4BB09277"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4FEFC4AF"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3C59452A" w14:textId="77777777" w:rsidR="004916F4" w:rsidRPr="00515992" w:rsidRDefault="004916F4" w:rsidP="000269DD">
            <w:pPr>
              <w:rPr>
                <w:rFonts w:ascii="Arial" w:hAnsi="Arial" w:cs="Arial"/>
                <w:b/>
              </w:rPr>
            </w:pPr>
          </w:p>
        </w:tc>
      </w:tr>
      <w:tr w:rsidR="004916F4" w:rsidRPr="00515992" w14:paraId="70F6C520" w14:textId="77777777" w:rsidTr="004916F4">
        <w:trPr>
          <w:jc w:val="center"/>
        </w:trPr>
        <w:tc>
          <w:tcPr>
            <w:tcW w:w="1730" w:type="dxa"/>
          </w:tcPr>
          <w:p w14:paraId="0F7C7862" w14:textId="77777777" w:rsidR="004916F4" w:rsidRPr="00515992" w:rsidRDefault="004916F4" w:rsidP="000269DD">
            <w:pPr>
              <w:spacing w:line="276" w:lineRule="auto"/>
              <w:rPr>
                <w:rFonts w:ascii="Arial" w:hAnsi="Arial" w:cs="Arial"/>
                <w:b/>
              </w:rPr>
            </w:pPr>
            <w:r w:rsidRPr="00515992">
              <w:rPr>
                <w:rFonts w:ascii="Arial" w:hAnsi="Arial" w:cs="Arial"/>
                <w:b/>
              </w:rPr>
              <w:t>Tutorials</w:t>
            </w:r>
          </w:p>
        </w:tc>
        <w:tc>
          <w:tcPr>
            <w:tcW w:w="1247" w:type="dxa"/>
          </w:tcPr>
          <w:p w14:paraId="35230A97" w14:textId="77777777" w:rsidR="004916F4" w:rsidRPr="00515992" w:rsidRDefault="004916F4" w:rsidP="000269DD">
            <w:pPr>
              <w:spacing w:line="276" w:lineRule="auto"/>
              <w:rPr>
                <w:rFonts w:ascii="Arial" w:hAnsi="Arial" w:cs="Arial"/>
              </w:rPr>
            </w:pPr>
            <w:r w:rsidRPr="00515992">
              <w:rPr>
                <w:rFonts w:ascii="Arial" w:hAnsi="Arial" w:cs="Arial"/>
              </w:rPr>
              <w:t>2</w:t>
            </w:r>
            <w:r>
              <w:rPr>
                <w:rFonts w:ascii="Arial" w:hAnsi="Arial" w:cs="Arial"/>
              </w:rPr>
              <w:t>.5</w:t>
            </w:r>
          </w:p>
        </w:tc>
        <w:tc>
          <w:tcPr>
            <w:tcW w:w="567" w:type="dxa"/>
          </w:tcPr>
          <w:p w14:paraId="1C5A052B" w14:textId="77777777" w:rsidR="004916F4" w:rsidRPr="00515992" w:rsidRDefault="004916F4" w:rsidP="000269DD">
            <w:pPr>
              <w:spacing w:line="276" w:lineRule="auto"/>
              <w:rPr>
                <w:rFonts w:ascii="Arial" w:hAnsi="Arial" w:cs="Arial"/>
                <w:b/>
              </w:rPr>
            </w:pPr>
          </w:p>
        </w:tc>
        <w:tc>
          <w:tcPr>
            <w:tcW w:w="567" w:type="dxa"/>
          </w:tcPr>
          <w:p w14:paraId="448512F2" w14:textId="77777777" w:rsidR="004916F4" w:rsidRPr="00515992" w:rsidRDefault="004916F4" w:rsidP="000269DD">
            <w:pPr>
              <w:spacing w:line="276" w:lineRule="auto"/>
              <w:rPr>
                <w:rFonts w:ascii="Arial" w:hAnsi="Arial" w:cs="Arial"/>
                <w:b/>
              </w:rPr>
            </w:pPr>
          </w:p>
        </w:tc>
        <w:tc>
          <w:tcPr>
            <w:tcW w:w="567" w:type="dxa"/>
          </w:tcPr>
          <w:p w14:paraId="40349CF7"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3D767B69" w14:textId="77777777" w:rsidR="004916F4" w:rsidRPr="00515992" w:rsidRDefault="004916F4" w:rsidP="000269DD">
            <w:pPr>
              <w:spacing w:line="276" w:lineRule="auto"/>
              <w:rPr>
                <w:rFonts w:ascii="Arial" w:hAnsi="Arial" w:cs="Arial"/>
                <w:b/>
              </w:rPr>
            </w:pPr>
          </w:p>
        </w:tc>
        <w:tc>
          <w:tcPr>
            <w:tcW w:w="567" w:type="dxa"/>
          </w:tcPr>
          <w:p w14:paraId="05693028"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2F692D2C" w14:textId="77777777" w:rsidR="004916F4" w:rsidRPr="00515992" w:rsidRDefault="004916F4" w:rsidP="000269DD">
            <w:pPr>
              <w:rPr>
                <w:rFonts w:ascii="Arial" w:hAnsi="Arial" w:cs="Arial"/>
                <w:b/>
              </w:rPr>
            </w:pPr>
            <w:r>
              <w:rPr>
                <w:rFonts w:ascii="Arial" w:hAnsi="Arial" w:cs="Arial"/>
                <w:b/>
              </w:rPr>
              <w:t>X</w:t>
            </w:r>
          </w:p>
        </w:tc>
      </w:tr>
      <w:tr w:rsidR="004916F4" w:rsidRPr="00515992" w14:paraId="37A9A89A" w14:textId="77777777" w:rsidTr="004916F4">
        <w:trPr>
          <w:jc w:val="center"/>
        </w:trPr>
        <w:tc>
          <w:tcPr>
            <w:tcW w:w="1730" w:type="dxa"/>
          </w:tcPr>
          <w:p w14:paraId="45F55C27" w14:textId="77777777" w:rsidR="004916F4" w:rsidRPr="00515992" w:rsidRDefault="004916F4" w:rsidP="000269DD">
            <w:pPr>
              <w:spacing w:line="276" w:lineRule="auto"/>
              <w:rPr>
                <w:rFonts w:ascii="Arial" w:hAnsi="Arial" w:cs="Arial"/>
                <w:i/>
              </w:rPr>
            </w:pPr>
          </w:p>
        </w:tc>
        <w:tc>
          <w:tcPr>
            <w:tcW w:w="1247" w:type="dxa"/>
          </w:tcPr>
          <w:p w14:paraId="70DD2400" w14:textId="77777777" w:rsidR="004916F4" w:rsidRPr="00515992" w:rsidRDefault="004916F4" w:rsidP="000269DD">
            <w:pPr>
              <w:spacing w:line="276" w:lineRule="auto"/>
              <w:rPr>
                <w:rFonts w:ascii="Arial" w:hAnsi="Arial" w:cs="Arial"/>
                <w:i/>
              </w:rPr>
            </w:pPr>
          </w:p>
        </w:tc>
        <w:tc>
          <w:tcPr>
            <w:tcW w:w="567" w:type="dxa"/>
          </w:tcPr>
          <w:p w14:paraId="6EBAFA0D" w14:textId="77777777" w:rsidR="004916F4" w:rsidRPr="00515992" w:rsidRDefault="004916F4" w:rsidP="000269DD">
            <w:pPr>
              <w:spacing w:line="276" w:lineRule="auto"/>
              <w:rPr>
                <w:rFonts w:ascii="Arial" w:hAnsi="Arial" w:cs="Arial"/>
                <w:b/>
              </w:rPr>
            </w:pPr>
          </w:p>
        </w:tc>
        <w:tc>
          <w:tcPr>
            <w:tcW w:w="567" w:type="dxa"/>
          </w:tcPr>
          <w:p w14:paraId="1617ADDA" w14:textId="77777777" w:rsidR="004916F4" w:rsidRPr="00515992" w:rsidRDefault="004916F4" w:rsidP="000269DD">
            <w:pPr>
              <w:spacing w:line="276" w:lineRule="auto"/>
              <w:rPr>
                <w:rFonts w:ascii="Arial" w:hAnsi="Arial" w:cs="Arial"/>
                <w:b/>
              </w:rPr>
            </w:pPr>
          </w:p>
        </w:tc>
        <w:tc>
          <w:tcPr>
            <w:tcW w:w="567" w:type="dxa"/>
          </w:tcPr>
          <w:p w14:paraId="257531AE" w14:textId="77777777" w:rsidR="004916F4" w:rsidRPr="00515992" w:rsidRDefault="004916F4" w:rsidP="000269DD">
            <w:pPr>
              <w:spacing w:line="276" w:lineRule="auto"/>
              <w:rPr>
                <w:rFonts w:ascii="Arial" w:hAnsi="Arial" w:cs="Arial"/>
                <w:b/>
              </w:rPr>
            </w:pPr>
          </w:p>
        </w:tc>
        <w:tc>
          <w:tcPr>
            <w:tcW w:w="567" w:type="dxa"/>
          </w:tcPr>
          <w:p w14:paraId="1BFF9D81" w14:textId="77777777" w:rsidR="004916F4" w:rsidRPr="00515992" w:rsidRDefault="004916F4" w:rsidP="000269DD">
            <w:pPr>
              <w:spacing w:line="276" w:lineRule="auto"/>
              <w:rPr>
                <w:rFonts w:ascii="Arial" w:hAnsi="Arial" w:cs="Arial"/>
                <w:b/>
              </w:rPr>
            </w:pPr>
          </w:p>
        </w:tc>
        <w:tc>
          <w:tcPr>
            <w:tcW w:w="567" w:type="dxa"/>
          </w:tcPr>
          <w:p w14:paraId="384A27AB" w14:textId="77777777" w:rsidR="004916F4" w:rsidRPr="00515992" w:rsidRDefault="004916F4" w:rsidP="000269DD">
            <w:pPr>
              <w:spacing w:line="276" w:lineRule="auto"/>
              <w:rPr>
                <w:rFonts w:ascii="Arial" w:hAnsi="Arial" w:cs="Arial"/>
                <w:b/>
              </w:rPr>
            </w:pPr>
          </w:p>
        </w:tc>
        <w:tc>
          <w:tcPr>
            <w:tcW w:w="567" w:type="dxa"/>
          </w:tcPr>
          <w:p w14:paraId="0FE0A1BE" w14:textId="77777777" w:rsidR="004916F4" w:rsidRPr="00515992" w:rsidRDefault="004916F4" w:rsidP="000269DD">
            <w:pPr>
              <w:rPr>
                <w:rFonts w:ascii="Arial" w:hAnsi="Arial" w:cs="Arial"/>
                <w:b/>
              </w:rPr>
            </w:pPr>
          </w:p>
        </w:tc>
      </w:tr>
      <w:tr w:rsidR="004916F4" w:rsidRPr="00515992" w14:paraId="28BB0F07" w14:textId="77777777" w:rsidTr="004916F4">
        <w:trPr>
          <w:jc w:val="center"/>
        </w:trPr>
        <w:tc>
          <w:tcPr>
            <w:tcW w:w="1730" w:type="dxa"/>
            <w:shd w:val="clear" w:color="auto" w:fill="D9D9D9" w:themeFill="background1" w:themeFillShade="D9"/>
          </w:tcPr>
          <w:p w14:paraId="02B5E6BA" w14:textId="77777777" w:rsidR="004916F4" w:rsidRPr="00515992" w:rsidRDefault="004916F4" w:rsidP="000269DD">
            <w:pPr>
              <w:spacing w:line="276" w:lineRule="auto"/>
              <w:rPr>
                <w:rFonts w:ascii="Arial" w:hAnsi="Arial" w:cs="Arial"/>
                <w:b/>
              </w:rPr>
            </w:pPr>
            <w:r w:rsidRPr="0051599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17612BB0" w14:textId="77777777" w:rsidR="004916F4" w:rsidRPr="00515992" w:rsidRDefault="004916F4" w:rsidP="000269DD">
            <w:pPr>
              <w:spacing w:line="276" w:lineRule="auto"/>
              <w:rPr>
                <w:rFonts w:ascii="Arial" w:hAnsi="Arial" w:cs="Arial"/>
                <w:b/>
              </w:rPr>
            </w:pPr>
          </w:p>
        </w:tc>
        <w:tc>
          <w:tcPr>
            <w:tcW w:w="567" w:type="dxa"/>
          </w:tcPr>
          <w:p w14:paraId="05D5C8AC" w14:textId="77777777" w:rsidR="004916F4" w:rsidRPr="00515992" w:rsidRDefault="004916F4" w:rsidP="000269DD">
            <w:pPr>
              <w:spacing w:line="276" w:lineRule="auto"/>
              <w:rPr>
                <w:rFonts w:ascii="Arial" w:hAnsi="Arial" w:cs="Arial"/>
                <w:b/>
              </w:rPr>
            </w:pPr>
          </w:p>
        </w:tc>
        <w:tc>
          <w:tcPr>
            <w:tcW w:w="567" w:type="dxa"/>
          </w:tcPr>
          <w:p w14:paraId="75802EC5" w14:textId="77777777" w:rsidR="004916F4" w:rsidRPr="00515992" w:rsidRDefault="004916F4" w:rsidP="000269DD">
            <w:pPr>
              <w:spacing w:line="276" w:lineRule="auto"/>
              <w:rPr>
                <w:rFonts w:ascii="Arial" w:hAnsi="Arial" w:cs="Arial"/>
                <w:b/>
              </w:rPr>
            </w:pPr>
          </w:p>
        </w:tc>
        <w:tc>
          <w:tcPr>
            <w:tcW w:w="567" w:type="dxa"/>
          </w:tcPr>
          <w:p w14:paraId="518F35EC" w14:textId="77777777" w:rsidR="004916F4" w:rsidRPr="00515992" w:rsidRDefault="004916F4" w:rsidP="000269DD">
            <w:pPr>
              <w:spacing w:line="276" w:lineRule="auto"/>
              <w:rPr>
                <w:rFonts w:ascii="Arial" w:hAnsi="Arial" w:cs="Arial"/>
                <w:b/>
              </w:rPr>
            </w:pPr>
          </w:p>
        </w:tc>
        <w:tc>
          <w:tcPr>
            <w:tcW w:w="567" w:type="dxa"/>
          </w:tcPr>
          <w:p w14:paraId="7E149066" w14:textId="77777777" w:rsidR="004916F4" w:rsidRPr="00515992" w:rsidRDefault="004916F4" w:rsidP="000269DD">
            <w:pPr>
              <w:spacing w:line="276" w:lineRule="auto"/>
              <w:rPr>
                <w:rFonts w:ascii="Arial" w:hAnsi="Arial" w:cs="Arial"/>
                <w:b/>
              </w:rPr>
            </w:pPr>
          </w:p>
        </w:tc>
        <w:tc>
          <w:tcPr>
            <w:tcW w:w="567" w:type="dxa"/>
          </w:tcPr>
          <w:p w14:paraId="75F487F2" w14:textId="77777777" w:rsidR="004916F4" w:rsidRPr="00515992" w:rsidRDefault="004916F4" w:rsidP="000269DD">
            <w:pPr>
              <w:spacing w:line="276" w:lineRule="auto"/>
              <w:rPr>
                <w:rFonts w:ascii="Arial" w:hAnsi="Arial" w:cs="Arial"/>
                <w:b/>
              </w:rPr>
            </w:pPr>
          </w:p>
        </w:tc>
        <w:tc>
          <w:tcPr>
            <w:tcW w:w="567" w:type="dxa"/>
          </w:tcPr>
          <w:p w14:paraId="41104886" w14:textId="77777777" w:rsidR="004916F4" w:rsidRPr="00515992" w:rsidRDefault="004916F4" w:rsidP="000269DD">
            <w:pPr>
              <w:rPr>
                <w:rFonts w:ascii="Arial" w:hAnsi="Arial" w:cs="Arial"/>
                <w:b/>
              </w:rPr>
            </w:pPr>
          </w:p>
        </w:tc>
      </w:tr>
      <w:tr w:rsidR="004916F4" w:rsidRPr="00515992" w14:paraId="1D726C14" w14:textId="77777777" w:rsidTr="004916F4">
        <w:trPr>
          <w:jc w:val="center"/>
        </w:trPr>
        <w:tc>
          <w:tcPr>
            <w:tcW w:w="1730" w:type="dxa"/>
          </w:tcPr>
          <w:p w14:paraId="2B3C4AEC" w14:textId="77777777" w:rsidR="004916F4" w:rsidRPr="00515992" w:rsidRDefault="004916F4" w:rsidP="000269DD">
            <w:pPr>
              <w:spacing w:line="276" w:lineRule="auto"/>
              <w:rPr>
                <w:rFonts w:ascii="Arial" w:hAnsi="Arial" w:cs="Arial"/>
                <w:b/>
              </w:rPr>
            </w:pPr>
            <w:r w:rsidRPr="00515992">
              <w:rPr>
                <w:rFonts w:ascii="Arial" w:hAnsi="Arial" w:cs="Arial"/>
                <w:b/>
              </w:rPr>
              <w:t>Portfolio equivalent to 3000 words</w:t>
            </w:r>
          </w:p>
        </w:tc>
        <w:tc>
          <w:tcPr>
            <w:tcW w:w="1247" w:type="dxa"/>
            <w:shd w:val="clear" w:color="auto" w:fill="D9D9D9" w:themeFill="background1" w:themeFillShade="D9"/>
          </w:tcPr>
          <w:p w14:paraId="43130F3C" w14:textId="77777777" w:rsidR="004916F4" w:rsidRPr="00515992" w:rsidRDefault="004916F4" w:rsidP="000269DD">
            <w:pPr>
              <w:spacing w:line="276" w:lineRule="auto"/>
              <w:rPr>
                <w:rFonts w:ascii="Arial" w:hAnsi="Arial" w:cs="Arial"/>
                <w:i/>
              </w:rPr>
            </w:pPr>
          </w:p>
        </w:tc>
        <w:tc>
          <w:tcPr>
            <w:tcW w:w="567" w:type="dxa"/>
          </w:tcPr>
          <w:p w14:paraId="4D3C3FEC"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1B6D1362"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428D577D"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43623BCA"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2A9C8502" w14:textId="77777777" w:rsidR="004916F4" w:rsidRPr="00515992" w:rsidRDefault="004916F4" w:rsidP="000269DD">
            <w:pPr>
              <w:spacing w:line="276" w:lineRule="auto"/>
              <w:rPr>
                <w:rFonts w:ascii="Arial" w:hAnsi="Arial" w:cs="Arial"/>
                <w:b/>
              </w:rPr>
            </w:pPr>
            <w:r w:rsidRPr="00515992">
              <w:rPr>
                <w:rFonts w:ascii="Arial" w:hAnsi="Arial" w:cs="Arial"/>
                <w:b/>
              </w:rPr>
              <w:t>X</w:t>
            </w:r>
          </w:p>
        </w:tc>
        <w:tc>
          <w:tcPr>
            <w:tcW w:w="567" w:type="dxa"/>
          </w:tcPr>
          <w:p w14:paraId="51A76249" w14:textId="77777777" w:rsidR="004916F4" w:rsidRPr="00515992" w:rsidRDefault="004916F4" w:rsidP="000269DD">
            <w:pPr>
              <w:rPr>
                <w:rFonts w:ascii="Arial" w:hAnsi="Arial" w:cs="Arial"/>
                <w:b/>
              </w:rPr>
            </w:pPr>
            <w:r>
              <w:rPr>
                <w:rFonts w:ascii="Arial" w:hAnsi="Arial" w:cs="Arial"/>
                <w:b/>
              </w:rPr>
              <w:t>X</w:t>
            </w:r>
          </w:p>
        </w:tc>
      </w:tr>
    </w:tbl>
    <w:p w14:paraId="49A901C6" w14:textId="77777777" w:rsidR="007A6245" w:rsidRPr="00515992" w:rsidRDefault="007A6245" w:rsidP="000269DD">
      <w:pPr>
        <w:spacing w:after="0"/>
        <w:ind w:left="426" w:right="260"/>
        <w:rPr>
          <w:rFonts w:ascii="Arial" w:hAnsi="Arial" w:cs="Arial"/>
          <w:b/>
          <w:iCs/>
        </w:rPr>
      </w:pPr>
    </w:p>
    <w:p w14:paraId="73B5DFD8" w14:textId="77777777" w:rsidR="00D50113" w:rsidRPr="00515992" w:rsidRDefault="002A7F48" w:rsidP="000269DD">
      <w:pPr>
        <w:numPr>
          <w:ilvl w:val="0"/>
          <w:numId w:val="1"/>
        </w:numPr>
        <w:spacing w:after="0"/>
        <w:ind w:left="426" w:right="260" w:hanging="426"/>
        <w:rPr>
          <w:rFonts w:ascii="Arial" w:hAnsi="Arial" w:cs="Arial"/>
          <w:iCs/>
        </w:rPr>
      </w:pPr>
      <w:r w:rsidRPr="00515992">
        <w:rPr>
          <w:rFonts w:ascii="Arial" w:hAnsi="Arial" w:cs="Arial"/>
          <w:b/>
          <w:bCs/>
        </w:rPr>
        <w:t>Inclusive m</w:t>
      </w:r>
      <w:r w:rsidR="00D50113" w:rsidRPr="00515992">
        <w:rPr>
          <w:rFonts w:ascii="Arial" w:hAnsi="Arial" w:cs="Arial"/>
          <w:b/>
          <w:bCs/>
        </w:rPr>
        <w:t xml:space="preserve">odule </w:t>
      </w:r>
      <w:r w:rsidRPr="00515992">
        <w:rPr>
          <w:rFonts w:ascii="Arial" w:hAnsi="Arial" w:cs="Arial"/>
          <w:b/>
          <w:bCs/>
        </w:rPr>
        <w:t>d</w:t>
      </w:r>
      <w:r w:rsidR="00D50113" w:rsidRPr="00515992">
        <w:rPr>
          <w:rFonts w:ascii="Arial" w:hAnsi="Arial" w:cs="Arial"/>
          <w:b/>
          <w:bCs/>
        </w:rPr>
        <w:t xml:space="preserve">esign </w:t>
      </w:r>
    </w:p>
    <w:p w14:paraId="23595649" w14:textId="77777777" w:rsidR="00D50113" w:rsidRPr="00515992" w:rsidRDefault="00372D45" w:rsidP="000269DD">
      <w:pPr>
        <w:autoSpaceDE w:val="0"/>
        <w:autoSpaceDN w:val="0"/>
        <w:adjustRightInd w:val="0"/>
        <w:spacing w:after="0"/>
        <w:ind w:left="426" w:right="260"/>
        <w:rPr>
          <w:rFonts w:ascii="Arial" w:hAnsi="Arial" w:cs="Arial"/>
        </w:rPr>
      </w:pPr>
      <w:r w:rsidRPr="00515992">
        <w:rPr>
          <w:rFonts w:ascii="Arial" w:hAnsi="Arial" w:cs="Arial"/>
        </w:rPr>
        <w:t>The School</w:t>
      </w:r>
      <w:r w:rsidR="00D50113" w:rsidRPr="0051599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4FE8E4" w14:textId="77777777" w:rsidR="00D50113" w:rsidRPr="00515992" w:rsidRDefault="00D50113" w:rsidP="000269DD">
      <w:pPr>
        <w:autoSpaceDE w:val="0"/>
        <w:autoSpaceDN w:val="0"/>
        <w:adjustRightInd w:val="0"/>
        <w:spacing w:after="0"/>
        <w:ind w:left="426" w:right="260"/>
        <w:rPr>
          <w:rFonts w:ascii="Arial" w:hAnsi="Arial" w:cs="Arial"/>
        </w:rPr>
      </w:pPr>
      <w:r w:rsidRPr="00515992">
        <w:rPr>
          <w:rFonts w:ascii="Arial" w:hAnsi="Arial" w:cs="Arial"/>
        </w:rPr>
        <w:t>The inclusive practices in the guidance (see Annex B Appendix A) have been considered in order to support all students in the following areas:</w:t>
      </w:r>
    </w:p>
    <w:p w14:paraId="55A63969" w14:textId="77777777" w:rsidR="00D50113" w:rsidRPr="00515992" w:rsidRDefault="00D50113" w:rsidP="000269DD">
      <w:pPr>
        <w:autoSpaceDE w:val="0"/>
        <w:autoSpaceDN w:val="0"/>
        <w:adjustRightInd w:val="0"/>
        <w:spacing w:after="0"/>
        <w:ind w:left="426" w:right="260"/>
        <w:rPr>
          <w:rFonts w:ascii="Arial" w:hAnsi="Arial" w:cs="Arial"/>
          <w:bCs/>
        </w:rPr>
      </w:pPr>
      <w:r w:rsidRPr="00515992">
        <w:rPr>
          <w:rFonts w:ascii="Arial" w:hAnsi="Arial" w:cs="Arial"/>
        </w:rPr>
        <w:t xml:space="preserve">a) </w:t>
      </w:r>
      <w:r w:rsidRPr="00515992">
        <w:rPr>
          <w:rFonts w:ascii="Arial" w:hAnsi="Arial" w:cs="Arial"/>
          <w:bCs/>
        </w:rPr>
        <w:t>Accessible resources and curriculum</w:t>
      </w:r>
      <w:r w:rsidR="00372D45" w:rsidRPr="00515992">
        <w:rPr>
          <w:rFonts w:ascii="Arial" w:hAnsi="Arial" w:cs="Arial"/>
          <w:bCs/>
        </w:rPr>
        <w:t xml:space="preserve">.  Where possible all books and resources will be available electronically, and the reading list will be prioritised.  </w:t>
      </w:r>
    </w:p>
    <w:p w14:paraId="64F54F07" w14:textId="77777777" w:rsidR="00372D45" w:rsidRPr="00515992" w:rsidRDefault="00D50113" w:rsidP="000269DD">
      <w:pPr>
        <w:autoSpaceDE w:val="0"/>
        <w:autoSpaceDN w:val="0"/>
        <w:adjustRightInd w:val="0"/>
        <w:spacing w:after="0"/>
        <w:ind w:left="426" w:right="260"/>
        <w:rPr>
          <w:rFonts w:ascii="Arial" w:hAnsi="Arial" w:cs="Arial"/>
          <w:bCs/>
        </w:rPr>
      </w:pPr>
      <w:r w:rsidRPr="00515992">
        <w:rPr>
          <w:rFonts w:ascii="Arial" w:hAnsi="Arial" w:cs="Arial"/>
        </w:rPr>
        <w:t xml:space="preserve">b) </w:t>
      </w:r>
      <w:r w:rsidRPr="00515992">
        <w:rPr>
          <w:rFonts w:ascii="Arial" w:hAnsi="Arial" w:cs="Arial"/>
          <w:bCs/>
        </w:rPr>
        <w:t>Learning</w:t>
      </w:r>
      <w:r w:rsidR="00D54F04" w:rsidRPr="00515992">
        <w:rPr>
          <w:rFonts w:ascii="Arial" w:hAnsi="Arial" w:cs="Arial"/>
          <w:bCs/>
        </w:rPr>
        <w:t>,</w:t>
      </w:r>
      <w:r w:rsidRPr="00515992">
        <w:rPr>
          <w:rFonts w:ascii="Arial" w:hAnsi="Arial" w:cs="Arial"/>
          <w:bCs/>
        </w:rPr>
        <w:t xml:space="preserve"> teaching and assessment methods</w:t>
      </w:r>
      <w:r w:rsidR="00372D45" w:rsidRPr="00515992">
        <w:rPr>
          <w:rFonts w:ascii="Arial" w:hAnsi="Arial" w:cs="Arial"/>
          <w:bCs/>
        </w:rPr>
        <w:t>.  The learning, teaching and assessment methods have been designed to be inclusive.  Lecture capture may not be appropriate given the seminar format, but the possibility of recording sessions will be discussed with students at the start of the module.</w:t>
      </w:r>
    </w:p>
    <w:p w14:paraId="31E5B03C" w14:textId="77777777" w:rsidR="009A2D37" w:rsidRPr="00515992" w:rsidRDefault="002A7F48" w:rsidP="000269DD">
      <w:pPr>
        <w:numPr>
          <w:ilvl w:val="0"/>
          <w:numId w:val="1"/>
        </w:numPr>
        <w:spacing w:after="0"/>
        <w:ind w:left="426" w:right="260" w:hanging="426"/>
        <w:rPr>
          <w:rFonts w:ascii="Arial" w:hAnsi="Arial" w:cs="Arial"/>
          <w:b/>
        </w:rPr>
      </w:pPr>
      <w:r w:rsidRPr="00515992">
        <w:rPr>
          <w:rFonts w:ascii="Arial" w:hAnsi="Arial" w:cs="Arial"/>
          <w:b/>
        </w:rPr>
        <w:t>Campus(es) or c</w:t>
      </w:r>
      <w:r w:rsidR="009A2D37" w:rsidRPr="00515992">
        <w:rPr>
          <w:rFonts w:ascii="Arial" w:hAnsi="Arial" w:cs="Arial"/>
          <w:b/>
        </w:rPr>
        <w:t>entre(s) w</w:t>
      </w:r>
      <w:r w:rsidRPr="00515992">
        <w:rPr>
          <w:rFonts w:ascii="Arial" w:hAnsi="Arial" w:cs="Arial"/>
          <w:b/>
        </w:rPr>
        <w:t>here module will be delivered</w:t>
      </w:r>
    </w:p>
    <w:p w14:paraId="53A6CED4" w14:textId="77777777" w:rsidR="002A7F48" w:rsidRPr="00515992" w:rsidRDefault="00372D45" w:rsidP="000269DD">
      <w:pPr>
        <w:spacing w:after="0"/>
        <w:ind w:left="426" w:right="260"/>
        <w:rPr>
          <w:rFonts w:ascii="Arial" w:hAnsi="Arial" w:cs="Arial"/>
        </w:rPr>
      </w:pPr>
      <w:r w:rsidRPr="00515992">
        <w:rPr>
          <w:rFonts w:ascii="Arial" w:hAnsi="Arial" w:cs="Arial"/>
        </w:rPr>
        <w:t>Canterbury</w:t>
      </w:r>
    </w:p>
    <w:p w14:paraId="41597D79" w14:textId="77777777" w:rsidR="002A7F48" w:rsidRPr="00515992" w:rsidRDefault="002A7F48" w:rsidP="000269DD">
      <w:pPr>
        <w:numPr>
          <w:ilvl w:val="0"/>
          <w:numId w:val="1"/>
        </w:numPr>
        <w:spacing w:after="0"/>
        <w:ind w:left="425" w:right="261" w:hanging="426"/>
        <w:rPr>
          <w:rFonts w:ascii="Arial" w:hAnsi="Arial" w:cs="Arial"/>
          <w:b/>
        </w:rPr>
      </w:pPr>
      <w:r w:rsidRPr="00515992">
        <w:rPr>
          <w:rFonts w:ascii="Arial" w:hAnsi="Arial" w:cs="Arial"/>
          <w:b/>
        </w:rPr>
        <w:t xml:space="preserve">Internationalisation </w:t>
      </w:r>
    </w:p>
    <w:p w14:paraId="212F585C" w14:textId="77777777" w:rsidR="009A2D37" w:rsidRPr="00515992" w:rsidRDefault="00520556" w:rsidP="000269DD">
      <w:pPr>
        <w:spacing w:after="0"/>
        <w:ind w:left="426" w:right="260"/>
        <w:rPr>
          <w:rFonts w:ascii="Arial" w:hAnsi="Arial" w:cs="Arial"/>
          <w:iCs/>
        </w:rPr>
      </w:pPr>
      <w:r>
        <w:rPr>
          <w:rFonts w:ascii="Arial" w:hAnsi="Arial" w:cs="Arial"/>
          <w:iCs/>
        </w:rPr>
        <w:t>Module</w:t>
      </w:r>
      <w:r w:rsidR="00372D45" w:rsidRPr="00515992">
        <w:rPr>
          <w:rFonts w:ascii="Arial" w:hAnsi="Arial" w:cs="Arial"/>
          <w:iCs/>
        </w:rPr>
        <w:t xml:space="preserve"> resources are </w:t>
      </w:r>
      <w:r w:rsidR="00F4498E">
        <w:rPr>
          <w:rFonts w:ascii="Arial" w:hAnsi="Arial" w:cs="Arial"/>
          <w:iCs/>
        </w:rPr>
        <w:t xml:space="preserve">drawn </w:t>
      </w:r>
      <w:r w:rsidR="00372D45" w:rsidRPr="00515992">
        <w:rPr>
          <w:rFonts w:ascii="Arial" w:hAnsi="Arial" w:cs="Arial"/>
          <w:iCs/>
        </w:rPr>
        <w:t>from international journals and authors.</w:t>
      </w:r>
    </w:p>
    <w:p w14:paraId="305D8D40" w14:textId="77777777" w:rsidR="009A2D37" w:rsidRPr="00515992" w:rsidRDefault="009A2D37" w:rsidP="000269DD">
      <w:pPr>
        <w:pStyle w:val="ListParagraph"/>
        <w:spacing w:after="0"/>
        <w:ind w:left="426" w:right="261"/>
        <w:contextualSpacing w:val="0"/>
        <w:rPr>
          <w:rFonts w:ascii="Arial" w:hAnsi="Arial" w:cs="Arial"/>
        </w:rPr>
      </w:pPr>
    </w:p>
    <w:p w14:paraId="1000A333" w14:textId="77777777" w:rsidR="00F176DE" w:rsidRPr="00515992" w:rsidRDefault="009A2D37" w:rsidP="000269DD">
      <w:pPr>
        <w:pStyle w:val="ListParagraph"/>
        <w:numPr>
          <w:ilvl w:val="0"/>
          <w:numId w:val="1"/>
        </w:numPr>
        <w:spacing w:after="0"/>
        <w:ind w:left="426" w:right="261" w:hanging="426"/>
        <w:contextualSpacing w:val="0"/>
        <w:rPr>
          <w:rFonts w:ascii="Arial" w:hAnsi="Arial" w:cs="Arial"/>
          <w:b/>
        </w:rPr>
      </w:pPr>
      <w:r w:rsidRPr="00515992">
        <w:rPr>
          <w:rFonts w:ascii="Arial" w:hAnsi="Arial" w:cs="Arial"/>
          <w:b/>
        </w:rPr>
        <w:t>University Schoo</w:t>
      </w:r>
      <w:r w:rsidR="002A7F48" w:rsidRPr="00515992">
        <w:rPr>
          <w:rFonts w:ascii="Arial" w:hAnsi="Arial" w:cs="Arial"/>
          <w:b/>
        </w:rPr>
        <w:t>l responsible for the programme</w:t>
      </w:r>
    </w:p>
    <w:p w14:paraId="038191EE" w14:textId="77777777" w:rsidR="002A7F48" w:rsidRPr="00515992" w:rsidRDefault="00372D45" w:rsidP="000269DD">
      <w:pPr>
        <w:spacing w:after="0"/>
        <w:ind w:right="261" w:firstLine="426"/>
        <w:rPr>
          <w:rFonts w:ascii="Arial" w:hAnsi="Arial" w:cs="Arial"/>
        </w:rPr>
      </w:pPr>
      <w:r w:rsidRPr="00515992">
        <w:rPr>
          <w:rFonts w:ascii="Arial" w:hAnsi="Arial" w:cs="Arial"/>
        </w:rPr>
        <w:t>UELT / CSHE</w:t>
      </w:r>
    </w:p>
    <w:p w14:paraId="1CC805FE" w14:textId="77777777" w:rsidR="00641D6D" w:rsidRPr="00515992" w:rsidRDefault="00641D6D" w:rsidP="000269DD">
      <w:pPr>
        <w:pBdr>
          <w:bottom w:val="single" w:sz="6" w:space="1" w:color="auto"/>
        </w:pBdr>
        <w:spacing w:after="0"/>
        <w:ind w:right="261"/>
        <w:rPr>
          <w:rFonts w:ascii="Arial" w:hAnsi="Arial" w:cs="Arial"/>
        </w:rPr>
      </w:pPr>
    </w:p>
    <w:p w14:paraId="409AB365" w14:textId="77777777" w:rsidR="00441E76" w:rsidRPr="00515992" w:rsidRDefault="00422B69" w:rsidP="000269DD">
      <w:pPr>
        <w:spacing w:after="0"/>
        <w:ind w:right="260"/>
        <w:rPr>
          <w:rFonts w:ascii="Arial" w:hAnsi="Arial" w:cs="Arial"/>
          <w:b/>
        </w:rPr>
      </w:pPr>
      <w:r w:rsidRPr="00515992">
        <w:rPr>
          <w:rFonts w:ascii="Arial" w:hAnsi="Arial" w:cs="Arial"/>
          <w:b/>
        </w:rPr>
        <w:t>FACULTIES SUPPORT OFFICE</w:t>
      </w:r>
      <w:r w:rsidR="00441E76" w:rsidRPr="00515992">
        <w:rPr>
          <w:rFonts w:ascii="Arial" w:hAnsi="Arial" w:cs="Arial"/>
          <w:b/>
        </w:rPr>
        <w:t xml:space="preserve"> USE ONLY</w:t>
      </w:r>
      <w:r w:rsidR="00C612A8" w:rsidRPr="00515992">
        <w:rPr>
          <w:rFonts w:ascii="Arial" w:hAnsi="Arial" w:cs="Arial"/>
          <w:b/>
        </w:rPr>
        <w:t xml:space="preserve"> </w:t>
      </w:r>
    </w:p>
    <w:p w14:paraId="09E10688" w14:textId="77777777" w:rsidR="00D83563" w:rsidRPr="00515992" w:rsidRDefault="00D83563" w:rsidP="000269DD">
      <w:pPr>
        <w:spacing w:after="0"/>
        <w:ind w:right="260"/>
        <w:rPr>
          <w:rFonts w:ascii="Arial" w:hAnsi="Arial" w:cs="Arial"/>
          <w:b/>
        </w:rPr>
      </w:pPr>
      <w:r w:rsidRPr="00515992">
        <w:rPr>
          <w:rFonts w:ascii="Arial" w:hAnsi="Arial" w:cs="Arial"/>
          <w:b/>
        </w:rPr>
        <w:t>Revision record – all revisions must be recorded in the grid and full details of the change retained in the appropriate committee records.</w:t>
      </w:r>
    </w:p>
    <w:p w14:paraId="18C444E8" w14:textId="77777777" w:rsidR="00422B69" w:rsidRPr="00515992" w:rsidRDefault="00422B69" w:rsidP="000269DD">
      <w:pPr>
        <w:spacing w:after="0"/>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15992" w14:paraId="5FEF748F" w14:textId="77777777" w:rsidTr="00694309">
        <w:trPr>
          <w:trHeight w:val="317"/>
        </w:trPr>
        <w:tc>
          <w:tcPr>
            <w:tcW w:w="1526" w:type="dxa"/>
          </w:tcPr>
          <w:p w14:paraId="3C944648" w14:textId="77777777" w:rsidR="00422B69" w:rsidRPr="00515992" w:rsidRDefault="00422B69" w:rsidP="000269DD">
            <w:pPr>
              <w:spacing w:line="276" w:lineRule="auto"/>
              <w:ind w:right="-330"/>
              <w:rPr>
                <w:rFonts w:ascii="Arial" w:hAnsi="Arial" w:cs="Arial"/>
              </w:rPr>
            </w:pPr>
            <w:r w:rsidRPr="00515992">
              <w:rPr>
                <w:rFonts w:ascii="Arial" w:hAnsi="Arial" w:cs="Arial"/>
              </w:rPr>
              <w:t>Date approved</w:t>
            </w:r>
          </w:p>
        </w:tc>
        <w:tc>
          <w:tcPr>
            <w:tcW w:w="1701" w:type="dxa"/>
          </w:tcPr>
          <w:p w14:paraId="1F59155F" w14:textId="77777777" w:rsidR="00422B69" w:rsidRPr="00515992" w:rsidRDefault="00422B69" w:rsidP="000269DD">
            <w:pPr>
              <w:spacing w:line="276" w:lineRule="auto"/>
              <w:rPr>
                <w:rFonts w:ascii="Arial" w:hAnsi="Arial" w:cs="Arial"/>
              </w:rPr>
            </w:pPr>
            <w:r w:rsidRPr="00515992">
              <w:rPr>
                <w:rFonts w:ascii="Arial" w:hAnsi="Arial" w:cs="Arial"/>
              </w:rPr>
              <w:t>Major/minor revision</w:t>
            </w:r>
          </w:p>
        </w:tc>
        <w:tc>
          <w:tcPr>
            <w:tcW w:w="2410" w:type="dxa"/>
          </w:tcPr>
          <w:p w14:paraId="37958F7D" w14:textId="77777777" w:rsidR="00422B69" w:rsidRPr="00515992" w:rsidRDefault="00422B69" w:rsidP="000269DD">
            <w:pPr>
              <w:spacing w:line="276" w:lineRule="auto"/>
              <w:ind w:right="-34"/>
              <w:rPr>
                <w:rFonts w:ascii="Arial" w:hAnsi="Arial" w:cs="Arial"/>
              </w:rPr>
            </w:pPr>
            <w:r w:rsidRPr="00515992">
              <w:rPr>
                <w:rFonts w:ascii="Arial" w:hAnsi="Arial" w:cs="Arial"/>
              </w:rPr>
              <w:t>Start date of the delivery of  revised version</w:t>
            </w:r>
          </w:p>
        </w:tc>
        <w:tc>
          <w:tcPr>
            <w:tcW w:w="2448" w:type="dxa"/>
          </w:tcPr>
          <w:p w14:paraId="7FAE8E2A" w14:textId="77777777" w:rsidR="00422B69" w:rsidRPr="00515992" w:rsidRDefault="00422B69" w:rsidP="000269DD">
            <w:pPr>
              <w:spacing w:line="276" w:lineRule="auto"/>
              <w:ind w:right="-330"/>
              <w:rPr>
                <w:rFonts w:ascii="Arial" w:hAnsi="Arial" w:cs="Arial"/>
              </w:rPr>
            </w:pPr>
            <w:r w:rsidRPr="00515992">
              <w:rPr>
                <w:rFonts w:ascii="Arial" w:hAnsi="Arial" w:cs="Arial"/>
              </w:rPr>
              <w:t>Section revised</w:t>
            </w:r>
          </w:p>
        </w:tc>
        <w:tc>
          <w:tcPr>
            <w:tcW w:w="2597" w:type="dxa"/>
          </w:tcPr>
          <w:p w14:paraId="6690E6B4" w14:textId="77777777" w:rsidR="00422B69" w:rsidRPr="00515992" w:rsidRDefault="00422B69" w:rsidP="000269DD">
            <w:pPr>
              <w:spacing w:line="276" w:lineRule="auto"/>
              <w:ind w:right="-330"/>
              <w:rPr>
                <w:rFonts w:ascii="Arial" w:hAnsi="Arial" w:cs="Arial"/>
              </w:rPr>
            </w:pPr>
            <w:r w:rsidRPr="00515992">
              <w:rPr>
                <w:rFonts w:ascii="Arial" w:hAnsi="Arial" w:cs="Arial"/>
              </w:rPr>
              <w:t>Impacts PLOs</w:t>
            </w:r>
            <w:r w:rsidR="00694309" w:rsidRPr="00515992">
              <w:rPr>
                <w:rFonts w:ascii="Arial" w:hAnsi="Arial" w:cs="Arial"/>
              </w:rPr>
              <w:t xml:space="preserve"> (</w:t>
            </w:r>
            <w:r w:rsidR="001A425B" w:rsidRPr="00515992">
              <w:rPr>
                <w:rFonts w:ascii="Arial" w:hAnsi="Arial" w:cs="Arial"/>
              </w:rPr>
              <w:t>Q6&amp;7 cover sheet)</w:t>
            </w:r>
          </w:p>
        </w:tc>
      </w:tr>
      <w:tr w:rsidR="00302082" w:rsidRPr="00515992" w14:paraId="509669BC" w14:textId="77777777" w:rsidTr="00694309">
        <w:trPr>
          <w:trHeight w:val="305"/>
        </w:trPr>
        <w:tc>
          <w:tcPr>
            <w:tcW w:w="1526" w:type="dxa"/>
          </w:tcPr>
          <w:p w14:paraId="005784BE" w14:textId="77777777" w:rsidR="00422B69" w:rsidRPr="00515992" w:rsidRDefault="00422B69" w:rsidP="000269DD">
            <w:pPr>
              <w:spacing w:line="276" w:lineRule="auto"/>
              <w:ind w:right="-330"/>
              <w:rPr>
                <w:rFonts w:ascii="Arial" w:hAnsi="Arial" w:cs="Arial"/>
              </w:rPr>
            </w:pPr>
          </w:p>
        </w:tc>
        <w:tc>
          <w:tcPr>
            <w:tcW w:w="1701" w:type="dxa"/>
          </w:tcPr>
          <w:p w14:paraId="388C2AFD" w14:textId="77777777" w:rsidR="00422B69" w:rsidRPr="00515992" w:rsidRDefault="00422B69" w:rsidP="000269DD">
            <w:pPr>
              <w:spacing w:line="276" w:lineRule="auto"/>
              <w:ind w:right="-330"/>
              <w:rPr>
                <w:rFonts w:ascii="Arial" w:hAnsi="Arial" w:cs="Arial"/>
              </w:rPr>
            </w:pPr>
          </w:p>
        </w:tc>
        <w:tc>
          <w:tcPr>
            <w:tcW w:w="2410" w:type="dxa"/>
          </w:tcPr>
          <w:p w14:paraId="745A0E11" w14:textId="77777777" w:rsidR="00422B69" w:rsidRPr="00515992" w:rsidRDefault="00422B69" w:rsidP="000269DD">
            <w:pPr>
              <w:spacing w:line="276" w:lineRule="auto"/>
              <w:ind w:right="-330"/>
              <w:rPr>
                <w:rFonts w:ascii="Arial" w:hAnsi="Arial" w:cs="Arial"/>
              </w:rPr>
            </w:pPr>
          </w:p>
        </w:tc>
        <w:tc>
          <w:tcPr>
            <w:tcW w:w="2448" w:type="dxa"/>
          </w:tcPr>
          <w:p w14:paraId="3DDA8874" w14:textId="77777777" w:rsidR="00422B69" w:rsidRPr="00515992" w:rsidRDefault="00422B69" w:rsidP="000269DD">
            <w:pPr>
              <w:spacing w:line="276" w:lineRule="auto"/>
              <w:ind w:right="-330"/>
              <w:rPr>
                <w:rFonts w:ascii="Arial" w:hAnsi="Arial" w:cs="Arial"/>
              </w:rPr>
            </w:pPr>
          </w:p>
        </w:tc>
        <w:tc>
          <w:tcPr>
            <w:tcW w:w="2597" w:type="dxa"/>
          </w:tcPr>
          <w:p w14:paraId="03B1A1BC" w14:textId="77777777" w:rsidR="00422B69" w:rsidRPr="00515992" w:rsidRDefault="00422B69" w:rsidP="000269DD">
            <w:pPr>
              <w:spacing w:line="276" w:lineRule="auto"/>
              <w:ind w:right="-330"/>
              <w:rPr>
                <w:rFonts w:ascii="Arial" w:hAnsi="Arial" w:cs="Arial"/>
              </w:rPr>
            </w:pPr>
          </w:p>
        </w:tc>
      </w:tr>
      <w:tr w:rsidR="00302082" w:rsidRPr="00515992" w14:paraId="5DC6D260" w14:textId="77777777" w:rsidTr="00694309">
        <w:trPr>
          <w:trHeight w:val="305"/>
        </w:trPr>
        <w:tc>
          <w:tcPr>
            <w:tcW w:w="1526" w:type="dxa"/>
          </w:tcPr>
          <w:p w14:paraId="3563333B" w14:textId="77777777" w:rsidR="00422B69" w:rsidRPr="00515992" w:rsidRDefault="00422B69" w:rsidP="000269DD">
            <w:pPr>
              <w:spacing w:line="276" w:lineRule="auto"/>
              <w:ind w:right="-330"/>
              <w:rPr>
                <w:rFonts w:ascii="Arial" w:hAnsi="Arial" w:cs="Arial"/>
              </w:rPr>
            </w:pPr>
          </w:p>
        </w:tc>
        <w:tc>
          <w:tcPr>
            <w:tcW w:w="1701" w:type="dxa"/>
          </w:tcPr>
          <w:p w14:paraId="39B1216C" w14:textId="77777777" w:rsidR="00422B69" w:rsidRPr="00515992" w:rsidRDefault="00422B69" w:rsidP="000269DD">
            <w:pPr>
              <w:spacing w:line="276" w:lineRule="auto"/>
              <w:ind w:right="-330"/>
              <w:rPr>
                <w:rFonts w:ascii="Arial" w:hAnsi="Arial" w:cs="Arial"/>
              </w:rPr>
            </w:pPr>
          </w:p>
        </w:tc>
        <w:tc>
          <w:tcPr>
            <w:tcW w:w="2410" w:type="dxa"/>
          </w:tcPr>
          <w:p w14:paraId="5B5BEE8B" w14:textId="77777777" w:rsidR="00422B69" w:rsidRPr="00515992" w:rsidRDefault="00422B69" w:rsidP="000269DD">
            <w:pPr>
              <w:spacing w:line="276" w:lineRule="auto"/>
              <w:ind w:right="-330"/>
              <w:rPr>
                <w:rFonts w:ascii="Arial" w:hAnsi="Arial" w:cs="Arial"/>
              </w:rPr>
            </w:pPr>
          </w:p>
        </w:tc>
        <w:tc>
          <w:tcPr>
            <w:tcW w:w="2448" w:type="dxa"/>
          </w:tcPr>
          <w:p w14:paraId="70DB412E" w14:textId="77777777" w:rsidR="00422B69" w:rsidRPr="00515992" w:rsidRDefault="00422B69" w:rsidP="000269DD">
            <w:pPr>
              <w:spacing w:line="276" w:lineRule="auto"/>
              <w:ind w:right="-330"/>
              <w:rPr>
                <w:rFonts w:ascii="Arial" w:hAnsi="Arial" w:cs="Arial"/>
              </w:rPr>
            </w:pPr>
          </w:p>
        </w:tc>
        <w:tc>
          <w:tcPr>
            <w:tcW w:w="2597" w:type="dxa"/>
          </w:tcPr>
          <w:p w14:paraId="26607720" w14:textId="77777777" w:rsidR="00422B69" w:rsidRPr="00515992" w:rsidRDefault="00422B69" w:rsidP="000269DD">
            <w:pPr>
              <w:spacing w:line="276" w:lineRule="auto"/>
              <w:ind w:right="-330"/>
              <w:rPr>
                <w:rFonts w:ascii="Arial" w:hAnsi="Arial" w:cs="Arial"/>
              </w:rPr>
            </w:pPr>
          </w:p>
        </w:tc>
      </w:tr>
    </w:tbl>
    <w:p w14:paraId="2F819F38" w14:textId="77777777" w:rsidR="00D83563" w:rsidRPr="00515992" w:rsidRDefault="00D83563" w:rsidP="000269DD">
      <w:pPr>
        <w:spacing w:after="0"/>
        <w:ind w:right="-330"/>
        <w:rPr>
          <w:rFonts w:ascii="Arial" w:hAnsi="Arial" w:cs="Arial"/>
        </w:rPr>
      </w:pPr>
    </w:p>
    <w:sectPr w:rsidR="00D83563" w:rsidRPr="0051599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9546" w14:textId="77777777" w:rsidR="00EC6D37" w:rsidRDefault="00EC6D37" w:rsidP="009A2D37">
      <w:pPr>
        <w:spacing w:after="0" w:line="240" w:lineRule="auto"/>
      </w:pPr>
      <w:r>
        <w:separator/>
      </w:r>
    </w:p>
  </w:endnote>
  <w:endnote w:type="continuationSeparator" w:id="0">
    <w:p w14:paraId="2838F37E" w14:textId="77777777" w:rsidR="00EC6D37" w:rsidRDefault="00EC6D37" w:rsidP="009A2D37">
      <w:pPr>
        <w:spacing w:after="0" w:line="240" w:lineRule="auto"/>
      </w:pPr>
      <w:r>
        <w:continuationSeparator/>
      </w:r>
    </w:p>
  </w:endnote>
  <w:endnote w:type="continuationNotice" w:id="1">
    <w:p w14:paraId="160A0F8D" w14:textId="77777777" w:rsidR="00EC6D37" w:rsidRDefault="00EC6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324154E" w14:textId="77777777" w:rsidR="008B2543" w:rsidRDefault="0019787E" w:rsidP="009A2D37">
        <w:pPr>
          <w:pStyle w:val="Footer"/>
          <w:jc w:val="center"/>
        </w:pPr>
        <w:r>
          <w:fldChar w:fldCharType="begin"/>
        </w:r>
        <w:r>
          <w:instrText xml:space="preserve"> PAGE   \* MERGEFORMAT </w:instrText>
        </w:r>
        <w:r>
          <w:fldChar w:fldCharType="separate"/>
        </w:r>
        <w:r w:rsidR="007C1252">
          <w:rPr>
            <w:noProof/>
          </w:rPr>
          <w:t>4</w:t>
        </w:r>
        <w:r>
          <w:rPr>
            <w:noProof/>
          </w:rPr>
          <w:fldChar w:fldCharType="end"/>
        </w:r>
      </w:p>
    </w:sdtContent>
  </w:sdt>
  <w:p w14:paraId="5A521E2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5E1DE" w14:textId="77777777" w:rsidR="00EC6D37" w:rsidRDefault="00EC6D37" w:rsidP="009A2D37">
      <w:pPr>
        <w:spacing w:after="0" w:line="240" w:lineRule="auto"/>
      </w:pPr>
      <w:r>
        <w:separator/>
      </w:r>
    </w:p>
  </w:footnote>
  <w:footnote w:type="continuationSeparator" w:id="0">
    <w:p w14:paraId="4843477B" w14:textId="77777777" w:rsidR="00EC6D37" w:rsidRDefault="00EC6D37" w:rsidP="009A2D37">
      <w:pPr>
        <w:spacing w:after="0" w:line="240" w:lineRule="auto"/>
      </w:pPr>
      <w:r>
        <w:continuationSeparator/>
      </w:r>
    </w:p>
  </w:footnote>
  <w:footnote w:type="continuationNotice" w:id="1">
    <w:p w14:paraId="793586D3" w14:textId="77777777" w:rsidR="00EC6D37" w:rsidRDefault="00EC6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137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3434C3" wp14:editId="64D912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EA0096" w14:textId="77777777" w:rsidR="008B2543" w:rsidRPr="008C00F8" w:rsidRDefault="008B2543" w:rsidP="005E6D38">
    <w:pPr>
      <w:pStyle w:val="Heading1"/>
      <w:spacing w:before="60" w:after="60"/>
      <w:rPr>
        <w:rFonts w:ascii="Arial" w:hAnsi="Arial" w:cs="Arial"/>
      </w:rPr>
    </w:pPr>
  </w:p>
  <w:p w14:paraId="0A25643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B33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A6B2E6" wp14:editId="742A26E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FBBB83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831B4B"/>
    <w:multiLevelType w:val="hybridMultilevel"/>
    <w:tmpl w:val="7230FDB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852A13"/>
    <w:multiLevelType w:val="hybridMultilevel"/>
    <w:tmpl w:val="9664F004"/>
    <w:lvl w:ilvl="0" w:tplc="08090011">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4" w15:restartNumberingAfterBreak="0">
    <w:nsid w:val="183D225C"/>
    <w:multiLevelType w:val="hybridMultilevel"/>
    <w:tmpl w:val="CD6E6AF8"/>
    <w:lvl w:ilvl="0" w:tplc="320071D0">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479FD"/>
    <w:multiLevelType w:val="hybridMultilevel"/>
    <w:tmpl w:val="63B8F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B5CA3"/>
    <w:multiLevelType w:val="hybridMultilevel"/>
    <w:tmpl w:val="3DFA28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5D805680"/>
    <w:lvl w:ilvl="0" w:tplc="3854776E">
      <w:start w:val="1"/>
      <w:numFmt w:val="decimal"/>
      <w:lvlText w:val="%1."/>
      <w:lvlJc w:val="left"/>
      <w:pPr>
        <w:ind w:left="720" w:hanging="360"/>
      </w:pPr>
      <w:rPr>
        <w:rFonts w:ascii="Arial" w:hAnsi="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5125D"/>
    <w:multiLevelType w:val="hybridMultilevel"/>
    <w:tmpl w:val="66D8F6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D7C1EAC"/>
    <w:multiLevelType w:val="multilevel"/>
    <w:tmpl w:val="C0168262"/>
    <w:lvl w:ilvl="0">
      <w:start w:val="9"/>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E374FB"/>
    <w:multiLevelType w:val="hybridMultilevel"/>
    <w:tmpl w:val="134249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3425ADD"/>
    <w:multiLevelType w:val="hybridMultilevel"/>
    <w:tmpl w:val="33A0E408"/>
    <w:lvl w:ilvl="0" w:tplc="08090019">
      <w:start w:val="1"/>
      <w:numFmt w:val="lowerLetter"/>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DF51600"/>
    <w:multiLevelType w:val="hybridMultilevel"/>
    <w:tmpl w:val="7996E1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6524F9"/>
    <w:multiLevelType w:val="multilevel"/>
    <w:tmpl w:val="3F88AEC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
  </w:num>
  <w:num w:numId="5">
    <w:abstractNumId w:val="15"/>
  </w:num>
  <w:num w:numId="6">
    <w:abstractNumId w:val="13"/>
  </w:num>
  <w:num w:numId="7">
    <w:abstractNumId w:val="18"/>
  </w:num>
  <w:num w:numId="8">
    <w:abstractNumId w:val="14"/>
  </w:num>
  <w:num w:numId="9">
    <w:abstractNumId w:val="12"/>
  </w:num>
  <w:num w:numId="10">
    <w:abstractNumId w:val="5"/>
  </w:num>
  <w:num w:numId="11">
    <w:abstractNumId w:val="2"/>
  </w:num>
  <w:num w:numId="12">
    <w:abstractNumId w:val="6"/>
  </w:num>
  <w:num w:numId="13">
    <w:abstractNumId w:val="16"/>
  </w:num>
  <w:num w:numId="14">
    <w:abstractNumId w:val="4"/>
  </w:num>
  <w:num w:numId="15">
    <w:abstractNumId w:val="17"/>
  </w:num>
  <w:num w:numId="16">
    <w:abstractNumId w:val="3"/>
  </w:num>
  <w:num w:numId="17">
    <w:abstractNumId w:val="9"/>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69DD"/>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5156"/>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075D"/>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0E63"/>
    <w:rsid w:val="003262B9"/>
    <w:rsid w:val="00334A02"/>
    <w:rsid w:val="00335875"/>
    <w:rsid w:val="00335FBE"/>
    <w:rsid w:val="00352D8E"/>
    <w:rsid w:val="00356B68"/>
    <w:rsid w:val="0035702D"/>
    <w:rsid w:val="003604D4"/>
    <w:rsid w:val="0036174D"/>
    <w:rsid w:val="003627B0"/>
    <w:rsid w:val="00372D45"/>
    <w:rsid w:val="00374DF6"/>
    <w:rsid w:val="003759B0"/>
    <w:rsid w:val="00375F84"/>
    <w:rsid w:val="00376E34"/>
    <w:rsid w:val="003804E7"/>
    <w:rsid w:val="00382758"/>
    <w:rsid w:val="003934D2"/>
    <w:rsid w:val="003973A1"/>
    <w:rsid w:val="003A5DA0"/>
    <w:rsid w:val="003A5EEB"/>
    <w:rsid w:val="003A6143"/>
    <w:rsid w:val="003B35F4"/>
    <w:rsid w:val="003B7C76"/>
    <w:rsid w:val="003C3E0C"/>
    <w:rsid w:val="003C776B"/>
    <w:rsid w:val="003D3AD9"/>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16F4"/>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15992"/>
    <w:rsid w:val="00520556"/>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1E9"/>
    <w:rsid w:val="00694309"/>
    <w:rsid w:val="00695285"/>
    <w:rsid w:val="006A6BB4"/>
    <w:rsid w:val="006A7FB0"/>
    <w:rsid w:val="006C2A9A"/>
    <w:rsid w:val="006C423D"/>
    <w:rsid w:val="006C46EF"/>
    <w:rsid w:val="006C4C67"/>
    <w:rsid w:val="006D13C0"/>
    <w:rsid w:val="006D41AB"/>
    <w:rsid w:val="006D444F"/>
    <w:rsid w:val="006F1A15"/>
    <w:rsid w:val="006F1C4A"/>
    <w:rsid w:val="006F3F8B"/>
    <w:rsid w:val="00700488"/>
    <w:rsid w:val="00703404"/>
    <w:rsid w:val="00703F92"/>
    <w:rsid w:val="00704637"/>
    <w:rsid w:val="007105E4"/>
    <w:rsid w:val="00714EE5"/>
    <w:rsid w:val="00720270"/>
    <w:rsid w:val="00724362"/>
    <w:rsid w:val="00727780"/>
    <w:rsid w:val="0073792C"/>
    <w:rsid w:val="00754069"/>
    <w:rsid w:val="00761F41"/>
    <w:rsid w:val="007667DF"/>
    <w:rsid w:val="0077080B"/>
    <w:rsid w:val="00771D18"/>
    <w:rsid w:val="00787070"/>
    <w:rsid w:val="007906FD"/>
    <w:rsid w:val="00797197"/>
    <w:rsid w:val="007972A7"/>
    <w:rsid w:val="007A2BA2"/>
    <w:rsid w:val="007A6245"/>
    <w:rsid w:val="007B1DB2"/>
    <w:rsid w:val="007B375B"/>
    <w:rsid w:val="007B412A"/>
    <w:rsid w:val="007B635E"/>
    <w:rsid w:val="007B7724"/>
    <w:rsid w:val="007B7CDC"/>
    <w:rsid w:val="007C1252"/>
    <w:rsid w:val="007C74B4"/>
    <w:rsid w:val="007D1081"/>
    <w:rsid w:val="007E3412"/>
    <w:rsid w:val="007F393D"/>
    <w:rsid w:val="008029AF"/>
    <w:rsid w:val="00802FFA"/>
    <w:rsid w:val="008102E5"/>
    <w:rsid w:val="008111B4"/>
    <w:rsid w:val="008133F0"/>
    <w:rsid w:val="00815880"/>
    <w:rsid w:val="0082322C"/>
    <w:rsid w:val="00823942"/>
    <w:rsid w:val="00827FFD"/>
    <w:rsid w:val="00843ECA"/>
    <w:rsid w:val="00854535"/>
    <w:rsid w:val="00856EB3"/>
    <w:rsid w:val="00863C96"/>
    <w:rsid w:val="00864A72"/>
    <w:rsid w:val="00873E9F"/>
    <w:rsid w:val="00874047"/>
    <w:rsid w:val="008778CB"/>
    <w:rsid w:val="00881545"/>
    <w:rsid w:val="00883A3E"/>
    <w:rsid w:val="0089148D"/>
    <w:rsid w:val="00891E0D"/>
    <w:rsid w:val="0089720A"/>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7610"/>
    <w:rsid w:val="009F3A2A"/>
    <w:rsid w:val="009F731F"/>
    <w:rsid w:val="00A021FE"/>
    <w:rsid w:val="00A03D91"/>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4E54"/>
    <w:rsid w:val="00AA6330"/>
    <w:rsid w:val="00AA74C9"/>
    <w:rsid w:val="00AC7501"/>
    <w:rsid w:val="00AD748B"/>
    <w:rsid w:val="00AE4865"/>
    <w:rsid w:val="00AE5D92"/>
    <w:rsid w:val="00AF50EE"/>
    <w:rsid w:val="00B0591D"/>
    <w:rsid w:val="00B13402"/>
    <w:rsid w:val="00B14BC2"/>
    <w:rsid w:val="00B17024"/>
    <w:rsid w:val="00B17CD2"/>
    <w:rsid w:val="00B213D2"/>
    <w:rsid w:val="00B248BA"/>
    <w:rsid w:val="00B24B56"/>
    <w:rsid w:val="00B30E07"/>
    <w:rsid w:val="00B34ADD"/>
    <w:rsid w:val="00B52FF5"/>
    <w:rsid w:val="00B5379E"/>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534"/>
    <w:rsid w:val="00C12613"/>
    <w:rsid w:val="00C16DEF"/>
    <w:rsid w:val="00C2492F"/>
    <w:rsid w:val="00C31EBE"/>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956"/>
    <w:rsid w:val="00E22F03"/>
    <w:rsid w:val="00E233C1"/>
    <w:rsid w:val="00E51404"/>
    <w:rsid w:val="00E574C9"/>
    <w:rsid w:val="00E610DE"/>
    <w:rsid w:val="00E66167"/>
    <w:rsid w:val="00E71F2F"/>
    <w:rsid w:val="00E77786"/>
    <w:rsid w:val="00E806FB"/>
    <w:rsid w:val="00EB1C2D"/>
    <w:rsid w:val="00EC1810"/>
    <w:rsid w:val="00EC3FCC"/>
    <w:rsid w:val="00EC6D37"/>
    <w:rsid w:val="00ED32FF"/>
    <w:rsid w:val="00EE25CA"/>
    <w:rsid w:val="00EF039B"/>
    <w:rsid w:val="00EF4933"/>
    <w:rsid w:val="00EF5044"/>
    <w:rsid w:val="00F01956"/>
    <w:rsid w:val="00F116CE"/>
    <w:rsid w:val="00F176DE"/>
    <w:rsid w:val="00F21C47"/>
    <w:rsid w:val="00F244E2"/>
    <w:rsid w:val="00F340DE"/>
    <w:rsid w:val="00F43542"/>
    <w:rsid w:val="00F4498E"/>
    <w:rsid w:val="00F527CB"/>
    <w:rsid w:val="00F54804"/>
    <w:rsid w:val="00F562AA"/>
    <w:rsid w:val="00F7105A"/>
    <w:rsid w:val="00F77676"/>
    <w:rsid w:val="00F8197C"/>
    <w:rsid w:val="00F824ED"/>
    <w:rsid w:val="00F82B4E"/>
    <w:rsid w:val="00F87559"/>
    <w:rsid w:val="00F962BF"/>
    <w:rsid w:val="00F96D71"/>
    <w:rsid w:val="00F97C9E"/>
    <w:rsid w:val="00FA20DE"/>
    <w:rsid w:val="00FA4EE8"/>
    <w:rsid w:val="00FB12CA"/>
    <w:rsid w:val="00FB36EC"/>
    <w:rsid w:val="00FB4E1B"/>
    <w:rsid w:val="00FC0291"/>
    <w:rsid w:val="00FC1C92"/>
    <w:rsid w:val="00FD333B"/>
    <w:rsid w:val="00FD689C"/>
    <w:rsid w:val="00FD6DE1"/>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DD2B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slug-metadata-note">
    <w:name w:val="slug-metadata-note"/>
    <w:basedOn w:val="DefaultParagraphFont"/>
    <w:rsid w:val="00AE5D92"/>
  </w:style>
  <w:style w:type="character" w:customStyle="1" w:styleId="slug-doi">
    <w:name w:val="slug-doi"/>
    <w:basedOn w:val="DefaultParagraphFont"/>
    <w:rsid w:val="00AE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7EBE3-DAFF-4F5F-B45B-865C865FB9F2}">
  <ds:schemaRefs>
    <ds:schemaRef ds:uri="http://schemas.openxmlformats.org/officeDocument/2006/bibliography"/>
  </ds:schemaRefs>
</ds:datastoreItem>
</file>

<file path=customXml/itemProps2.xml><?xml version="1.0" encoding="utf-8"?>
<ds:datastoreItem xmlns:ds="http://schemas.openxmlformats.org/officeDocument/2006/customXml" ds:itemID="{FA810707-B23E-4B71-A9DD-A93B67AC3F88}"/>
</file>

<file path=customXml/itemProps3.xml><?xml version="1.0" encoding="utf-8"?>
<ds:datastoreItem xmlns:ds="http://schemas.openxmlformats.org/officeDocument/2006/customXml" ds:itemID="{21582024-6541-43B8-8F78-CFE4270DB717}"/>
</file>

<file path=customXml/itemProps4.xml><?xml version="1.0" encoding="utf-8"?>
<ds:datastoreItem xmlns:ds="http://schemas.openxmlformats.org/officeDocument/2006/customXml" ds:itemID="{3026AF8F-7DF9-417C-A464-C55E7DA28785}"/>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4</cp:revision>
  <cp:lastPrinted>2015-09-09T08:37:00Z</cp:lastPrinted>
  <dcterms:created xsi:type="dcterms:W3CDTF">2017-06-26T09:16:00Z</dcterms:created>
  <dcterms:modified xsi:type="dcterms:W3CDTF">2021-01-28T14:14:00Z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