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D2A0"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Title of the module</w:t>
      </w:r>
    </w:p>
    <w:p w14:paraId="492B0071" w14:textId="77777777" w:rsidR="00CE576D" w:rsidRDefault="00E61E05">
      <w:pPr>
        <w:spacing w:after="120"/>
        <w:ind w:left="567" w:right="260"/>
        <w:jc w:val="both"/>
        <w:rPr>
          <w:rFonts w:ascii="Arial" w:eastAsia="Arial" w:hAnsi="Arial" w:cs="Arial"/>
        </w:rPr>
      </w:pPr>
      <w:r>
        <w:rPr>
          <w:rFonts w:ascii="Arial" w:eastAsia="Arial" w:hAnsi="Arial" w:cs="Arial"/>
        </w:rPr>
        <w:t xml:space="preserve">SOCI7210 (SO721) - Practice Placement 2  </w:t>
      </w:r>
    </w:p>
    <w:p w14:paraId="11BCD15C" w14:textId="77777777" w:rsidR="00CE576D" w:rsidRDefault="00CE576D">
      <w:pPr>
        <w:spacing w:after="120"/>
        <w:ind w:left="567" w:right="260"/>
        <w:jc w:val="both"/>
        <w:rPr>
          <w:rFonts w:ascii="Arial" w:eastAsia="Arial" w:hAnsi="Arial" w:cs="Arial"/>
        </w:rPr>
      </w:pPr>
    </w:p>
    <w:p w14:paraId="13B875E4"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Division or partner institution which will be responsible for management of the module</w:t>
      </w:r>
    </w:p>
    <w:p w14:paraId="268F5989" w14:textId="77777777" w:rsidR="00CE576D" w:rsidRDefault="00E61E05" w:rsidP="00B7223E">
      <w:pPr>
        <w:spacing w:after="120"/>
        <w:ind w:left="567" w:right="260" w:hanging="11"/>
        <w:jc w:val="both"/>
        <w:rPr>
          <w:rFonts w:ascii="Arial" w:eastAsia="Arial" w:hAnsi="Arial" w:cs="Arial"/>
        </w:rPr>
      </w:pPr>
      <w:r>
        <w:rPr>
          <w:rFonts w:ascii="Arial" w:eastAsia="Arial" w:hAnsi="Arial" w:cs="Arial"/>
        </w:rPr>
        <w:t>Division of Law, Society and Social Justice (School of Social Policy, Sociology, and Social Research)</w:t>
      </w:r>
    </w:p>
    <w:p w14:paraId="646AAEF7" w14:textId="77777777" w:rsidR="00CE576D" w:rsidRDefault="00CE576D">
      <w:pPr>
        <w:spacing w:after="120"/>
        <w:ind w:right="260" w:firstLine="567"/>
        <w:jc w:val="both"/>
        <w:rPr>
          <w:rFonts w:ascii="Arial" w:eastAsia="Arial" w:hAnsi="Arial" w:cs="Arial"/>
          <w:i/>
        </w:rPr>
      </w:pPr>
    </w:p>
    <w:p w14:paraId="6BC71D88"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 xml:space="preserve">The level of the module (Level 4, Level 5, Level </w:t>
      </w:r>
      <w:proofErr w:type="gramStart"/>
      <w:r>
        <w:rPr>
          <w:rFonts w:ascii="Arial" w:eastAsia="Arial" w:hAnsi="Arial" w:cs="Arial"/>
          <w:b/>
        </w:rPr>
        <w:t>6</w:t>
      </w:r>
      <w:proofErr w:type="gramEnd"/>
      <w:r>
        <w:rPr>
          <w:rFonts w:ascii="Arial" w:eastAsia="Arial" w:hAnsi="Arial" w:cs="Arial"/>
          <w:b/>
        </w:rPr>
        <w:t xml:space="preserve"> or Level 7)</w:t>
      </w:r>
    </w:p>
    <w:p w14:paraId="50C4E883" w14:textId="77777777" w:rsidR="00CE576D" w:rsidRDefault="00E61E05">
      <w:pPr>
        <w:spacing w:after="120"/>
        <w:ind w:left="567" w:right="260"/>
        <w:jc w:val="both"/>
        <w:rPr>
          <w:rFonts w:ascii="Arial" w:eastAsia="Arial" w:hAnsi="Arial" w:cs="Arial"/>
        </w:rPr>
      </w:pPr>
      <w:r>
        <w:rPr>
          <w:rFonts w:ascii="Arial" w:eastAsia="Arial" w:hAnsi="Arial" w:cs="Arial"/>
        </w:rPr>
        <w:t xml:space="preserve">Level 6 </w:t>
      </w:r>
    </w:p>
    <w:p w14:paraId="2D18B80B" w14:textId="77777777" w:rsidR="00CE576D" w:rsidRDefault="00CE576D">
      <w:pPr>
        <w:spacing w:after="120"/>
        <w:ind w:left="426" w:right="260"/>
        <w:jc w:val="both"/>
        <w:rPr>
          <w:rFonts w:ascii="Arial" w:eastAsia="Arial" w:hAnsi="Arial" w:cs="Arial"/>
        </w:rPr>
      </w:pPr>
    </w:p>
    <w:p w14:paraId="2859384B"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 xml:space="preserve">The number of credits and the ECTS value which the module represents </w:t>
      </w:r>
    </w:p>
    <w:p w14:paraId="01D154DD" w14:textId="77777777" w:rsidR="00CE576D" w:rsidRDefault="00E61E05">
      <w:pPr>
        <w:pBdr>
          <w:top w:val="nil"/>
          <w:left w:val="nil"/>
          <w:bottom w:val="nil"/>
          <w:right w:val="nil"/>
          <w:between w:val="nil"/>
        </w:pBdr>
        <w:spacing w:after="120"/>
        <w:ind w:left="567" w:right="260"/>
        <w:jc w:val="both"/>
        <w:rPr>
          <w:rFonts w:ascii="Arial" w:eastAsia="Arial" w:hAnsi="Arial" w:cs="Arial"/>
          <w:color w:val="000000"/>
        </w:rPr>
      </w:pPr>
      <w:r>
        <w:rPr>
          <w:rFonts w:ascii="Arial" w:eastAsia="Arial" w:hAnsi="Arial" w:cs="Arial"/>
          <w:color w:val="000000"/>
        </w:rPr>
        <w:t>30 credits</w:t>
      </w:r>
      <w:r>
        <w:rPr>
          <w:rFonts w:ascii="Arial" w:eastAsia="Arial" w:hAnsi="Arial" w:cs="Arial"/>
          <w:color w:val="000000"/>
        </w:rPr>
        <w:t xml:space="preserve"> (15 ECTS)</w:t>
      </w:r>
    </w:p>
    <w:p w14:paraId="56B15DED" w14:textId="77777777" w:rsidR="00CE576D" w:rsidRDefault="00CE576D">
      <w:pPr>
        <w:spacing w:after="120"/>
        <w:ind w:left="426" w:right="260"/>
        <w:jc w:val="both"/>
        <w:rPr>
          <w:rFonts w:ascii="Arial" w:eastAsia="Arial" w:hAnsi="Arial" w:cs="Arial"/>
        </w:rPr>
      </w:pPr>
    </w:p>
    <w:p w14:paraId="6D6D3D6A"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Which term(s) the module is to be taught in (or other teaching pattern)</w:t>
      </w:r>
    </w:p>
    <w:p w14:paraId="12DA0711" w14:textId="77777777" w:rsidR="00CE576D" w:rsidRDefault="00E61E05">
      <w:pPr>
        <w:spacing w:after="120"/>
        <w:ind w:left="567" w:right="260"/>
        <w:jc w:val="both"/>
        <w:rPr>
          <w:rFonts w:ascii="Arial" w:eastAsia="Arial" w:hAnsi="Arial" w:cs="Arial"/>
        </w:rPr>
      </w:pPr>
      <w:r>
        <w:rPr>
          <w:rFonts w:ascii="Arial" w:eastAsia="Arial" w:hAnsi="Arial" w:cs="Arial"/>
        </w:rPr>
        <w:t xml:space="preserve">Spring term (term 2) and </w:t>
      </w:r>
      <w:proofErr w:type="gramStart"/>
      <w:r>
        <w:rPr>
          <w:rFonts w:ascii="Arial" w:eastAsia="Arial" w:hAnsi="Arial" w:cs="Arial"/>
        </w:rPr>
        <w:t>Summer</w:t>
      </w:r>
      <w:proofErr w:type="gramEnd"/>
      <w:r>
        <w:rPr>
          <w:rFonts w:ascii="Arial" w:eastAsia="Arial" w:hAnsi="Arial" w:cs="Arial"/>
        </w:rPr>
        <w:t xml:space="preserve"> term (term 3)</w:t>
      </w:r>
    </w:p>
    <w:p w14:paraId="514DDEE2" w14:textId="77777777" w:rsidR="00CE576D" w:rsidRDefault="00CE576D">
      <w:pPr>
        <w:spacing w:after="120"/>
        <w:ind w:left="426" w:right="260"/>
        <w:jc w:val="both"/>
        <w:rPr>
          <w:rFonts w:ascii="Arial" w:eastAsia="Arial" w:hAnsi="Arial" w:cs="Arial"/>
        </w:rPr>
      </w:pPr>
    </w:p>
    <w:p w14:paraId="336C576C"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Prerequisite and co-requisite modules</w:t>
      </w:r>
    </w:p>
    <w:p w14:paraId="5E62A379" w14:textId="77777777" w:rsidR="00CE576D" w:rsidRDefault="00E61E05">
      <w:pPr>
        <w:spacing w:after="120"/>
        <w:ind w:left="567" w:right="260"/>
        <w:jc w:val="both"/>
        <w:rPr>
          <w:rFonts w:ascii="Arial" w:eastAsia="Arial" w:hAnsi="Arial" w:cs="Arial"/>
        </w:rPr>
      </w:pPr>
      <w:r>
        <w:rPr>
          <w:rFonts w:ascii="Arial" w:eastAsia="Arial" w:hAnsi="Arial" w:cs="Arial"/>
        </w:rPr>
        <w:t>None (All modules on the BA Social Work programme are compulsory)</w:t>
      </w:r>
    </w:p>
    <w:p w14:paraId="09263F9D" w14:textId="77777777" w:rsidR="00CE576D" w:rsidRDefault="00CE576D">
      <w:pPr>
        <w:spacing w:after="120"/>
        <w:ind w:left="426" w:right="260"/>
        <w:jc w:val="both"/>
        <w:rPr>
          <w:rFonts w:ascii="Arial" w:eastAsia="Arial" w:hAnsi="Arial" w:cs="Arial"/>
          <w:i/>
        </w:rPr>
      </w:pPr>
    </w:p>
    <w:p w14:paraId="1B6317AB"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The courses(s) of study to which the module contributes</w:t>
      </w:r>
    </w:p>
    <w:p w14:paraId="438FC659" w14:textId="77777777" w:rsidR="00CE576D" w:rsidRDefault="00E61E05">
      <w:pPr>
        <w:spacing w:after="120"/>
        <w:ind w:left="567" w:right="260"/>
        <w:jc w:val="both"/>
        <w:rPr>
          <w:rFonts w:ascii="Arial" w:eastAsia="Arial" w:hAnsi="Arial" w:cs="Arial"/>
        </w:rPr>
      </w:pPr>
      <w:r>
        <w:rPr>
          <w:rFonts w:ascii="Arial" w:eastAsia="Arial" w:hAnsi="Arial" w:cs="Arial"/>
        </w:rPr>
        <w:t>BA (Hons) Social Work – compulsory module</w:t>
      </w:r>
    </w:p>
    <w:p w14:paraId="7DB92C41" w14:textId="77777777" w:rsidR="00CE576D" w:rsidRDefault="00CE576D">
      <w:pPr>
        <w:spacing w:after="120"/>
        <w:ind w:left="426" w:right="260"/>
        <w:jc w:val="both"/>
        <w:rPr>
          <w:rFonts w:ascii="Arial" w:eastAsia="Arial" w:hAnsi="Arial" w:cs="Arial"/>
          <w:i/>
        </w:rPr>
      </w:pPr>
    </w:p>
    <w:p w14:paraId="43E3B758" w14:textId="77777777" w:rsidR="00CE576D" w:rsidRDefault="00E61E05">
      <w:pPr>
        <w:numPr>
          <w:ilvl w:val="0"/>
          <w:numId w:val="3"/>
        </w:numPr>
        <w:spacing w:after="120"/>
        <w:ind w:left="567" w:right="260" w:hanging="567"/>
        <w:rPr>
          <w:rFonts w:ascii="Arial" w:eastAsia="Arial" w:hAnsi="Arial" w:cs="Arial"/>
          <w:b/>
        </w:rPr>
      </w:pPr>
      <w:r>
        <w:rPr>
          <w:rFonts w:ascii="Arial" w:eastAsia="Arial" w:hAnsi="Arial" w:cs="Arial"/>
          <w:b/>
        </w:rPr>
        <w:t>The intended subject specific learning outcomes.</w:t>
      </w:r>
      <w:r>
        <w:rPr>
          <w:rFonts w:ascii="Arial" w:eastAsia="Arial" w:hAnsi="Arial" w:cs="Arial"/>
          <w:b/>
        </w:rPr>
        <w:br/>
        <w:t>On successfully completing the module stu</w:t>
      </w:r>
      <w:r>
        <w:rPr>
          <w:rFonts w:ascii="Arial" w:eastAsia="Arial" w:hAnsi="Arial" w:cs="Arial"/>
          <w:b/>
        </w:rPr>
        <w:t>dents will be able to:</w:t>
      </w:r>
    </w:p>
    <w:p w14:paraId="11FD7D05"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Social work services, service users and carers; the service delivery context; and the nature of social work practice.</w:t>
      </w:r>
    </w:p>
    <w:p w14:paraId="44B1D852"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Critical knowledge of theories and models for social work intervention with individuals, families, groups and commu</w:t>
      </w:r>
      <w:r>
        <w:rPr>
          <w:rFonts w:ascii="Arial" w:eastAsia="Arial" w:hAnsi="Arial" w:cs="Arial"/>
          <w:color w:val="000000"/>
        </w:rPr>
        <w:t xml:space="preserve">nities, and the methods derived from them. </w:t>
      </w:r>
    </w:p>
    <w:p w14:paraId="75C4A1C5"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The nature, definition, development and application of relevant values and philosophical ethical principles.</w:t>
      </w:r>
    </w:p>
    <w:p w14:paraId="137EF68F"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The principles of rights, justice and economic well-being and their significance for social work practice.</w:t>
      </w:r>
    </w:p>
    <w:p w14:paraId="08C58652"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 xml:space="preserve">The relevance of research from psychological, environmental, sociological, </w:t>
      </w:r>
      <w:proofErr w:type="gramStart"/>
      <w:r>
        <w:rPr>
          <w:rFonts w:ascii="Arial" w:eastAsia="Arial" w:hAnsi="Arial" w:cs="Arial"/>
          <w:color w:val="000000"/>
        </w:rPr>
        <w:t>economic</w:t>
      </w:r>
      <w:proofErr w:type="gramEnd"/>
      <w:r>
        <w:rPr>
          <w:rFonts w:ascii="Arial" w:eastAsia="Arial" w:hAnsi="Arial" w:cs="Arial"/>
          <w:color w:val="000000"/>
        </w:rPr>
        <w:t xml:space="preserve"> and physiological perspectives for understanding the impact of a </w:t>
      </w:r>
      <w:r>
        <w:rPr>
          <w:rFonts w:ascii="Arial" w:eastAsia="Arial" w:hAnsi="Arial" w:cs="Arial"/>
          <w:color w:val="000000"/>
        </w:rPr>
        <w:t>range of factors on personal and social development and functioning including spiritual and cultural factors.</w:t>
      </w:r>
    </w:p>
    <w:p w14:paraId="1CBEBE60"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Human growth and development across the lifespan including mental health, disability and needs arising from age-related ill health and disadvantag</w:t>
      </w:r>
      <w:r>
        <w:rPr>
          <w:rFonts w:ascii="Arial" w:eastAsia="Arial" w:hAnsi="Arial" w:cs="Arial"/>
          <w:color w:val="000000"/>
        </w:rPr>
        <w:t>e.</w:t>
      </w:r>
    </w:p>
    <w:p w14:paraId="5C9A2065"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lastRenderedPageBreak/>
        <w:t xml:space="preserve">The legal and policy framework for social work practice with individuals, families, </w:t>
      </w:r>
      <w:proofErr w:type="gramStart"/>
      <w:r>
        <w:rPr>
          <w:rFonts w:ascii="Arial" w:eastAsia="Arial" w:hAnsi="Arial" w:cs="Arial"/>
          <w:color w:val="000000"/>
        </w:rPr>
        <w:t>groups</w:t>
      </w:r>
      <w:proofErr w:type="gramEnd"/>
      <w:r>
        <w:rPr>
          <w:rFonts w:ascii="Arial" w:eastAsia="Arial" w:hAnsi="Arial" w:cs="Arial"/>
          <w:color w:val="000000"/>
        </w:rPr>
        <w:t xml:space="preserve"> and communities including critical understanding of the scope for professional judgement.</w:t>
      </w:r>
    </w:p>
    <w:p w14:paraId="1FD9B363"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 xml:space="preserve">The impact of injustice, social inequalities, </w:t>
      </w:r>
      <w:proofErr w:type="gramStart"/>
      <w:r>
        <w:rPr>
          <w:rFonts w:ascii="Arial" w:eastAsia="Arial" w:hAnsi="Arial" w:cs="Arial"/>
          <w:color w:val="000000"/>
        </w:rPr>
        <w:t>policies</w:t>
      </w:r>
      <w:proofErr w:type="gramEnd"/>
      <w:r>
        <w:rPr>
          <w:rFonts w:ascii="Arial" w:eastAsia="Arial" w:hAnsi="Arial" w:cs="Arial"/>
          <w:color w:val="000000"/>
        </w:rPr>
        <w:t xml:space="preserve"> and other issues </w:t>
      </w:r>
      <w:r>
        <w:rPr>
          <w:rFonts w:ascii="Arial" w:eastAsia="Arial" w:hAnsi="Arial" w:cs="Arial"/>
          <w:color w:val="000000"/>
        </w:rPr>
        <w:t xml:space="preserve">which affect the demand for social work services </w:t>
      </w:r>
    </w:p>
    <w:p w14:paraId="7DC397A1"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b/>
          <w:color w:val="000000"/>
        </w:rPr>
      </w:pPr>
      <w:r>
        <w:rPr>
          <w:rFonts w:ascii="Arial" w:eastAsia="Arial" w:hAnsi="Arial" w:cs="Arial"/>
          <w:color w:val="000000"/>
        </w:rPr>
        <w:t xml:space="preserve">Concepts of participation, advocacy, empowerment, partnership working, including working with service users and carers, and information sharing across professional disciplines and agencies </w:t>
      </w:r>
    </w:p>
    <w:p w14:paraId="539D044E" w14:textId="77777777" w:rsidR="00CE576D" w:rsidRDefault="00E61E05">
      <w:pPr>
        <w:numPr>
          <w:ilvl w:val="1"/>
          <w:numId w:val="1"/>
        </w:numPr>
        <w:pBdr>
          <w:top w:val="nil"/>
          <w:left w:val="nil"/>
          <w:bottom w:val="nil"/>
          <w:right w:val="nil"/>
          <w:between w:val="nil"/>
        </w:pBdr>
        <w:spacing w:after="120"/>
        <w:ind w:left="1134" w:right="260" w:hanging="567"/>
        <w:jc w:val="both"/>
        <w:rPr>
          <w:rFonts w:ascii="Arial" w:eastAsia="Arial" w:hAnsi="Arial" w:cs="Arial"/>
          <w:color w:val="000000"/>
        </w:rPr>
      </w:pPr>
      <w:r>
        <w:rPr>
          <w:rFonts w:ascii="Arial" w:eastAsia="Arial" w:hAnsi="Arial" w:cs="Arial"/>
          <w:color w:val="000000"/>
        </w:rPr>
        <w:t>The relevance of sociological perspectives to understanding societal and structural influences on human behaviour</w:t>
      </w:r>
    </w:p>
    <w:p w14:paraId="49BB1840" w14:textId="77777777" w:rsidR="00CE576D" w:rsidRDefault="00CE576D">
      <w:pPr>
        <w:spacing w:after="120"/>
        <w:ind w:left="1134" w:right="260" w:hanging="567"/>
        <w:jc w:val="both"/>
        <w:rPr>
          <w:rFonts w:ascii="Arial" w:eastAsia="Arial" w:hAnsi="Arial" w:cs="Arial"/>
          <w:b/>
        </w:rPr>
      </w:pPr>
    </w:p>
    <w:p w14:paraId="299E2904" w14:textId="77777777" w:rsidR="00CE576D" w:rsidRDefault="00E61E05">
      <w:pPr>
        <w:spacing w:after="120"/>
        <w:ind w:left="-426" w:right="260"/>
        <w:jc w:val="both"/>
        <w:rPr>
          <w:rFonts w:ascii="Arial" w:eastAsia="Arial" w:hAnsi="Arial" w:cs="Arial"/>
          <w:b/>
        </w:rPr>
      </w:pPr>
      <w:r>
        <w:rPr>
          <w:rFonts w:ascii="Arial" w:eastAsia="Arial" w:hAnsi="Arial" w:cs="Arial"/>
          <w:b/>
        </w:rPr>
        <w:t xml:space="preserve"> </w:t>
      </w:r>
      <w:r>
        <w:rPr>
          <w:rFonts w:ascii="Arial" w:eastAsia="Arial" w:hAnsi="Arial" w:cs="Arial"/>
          <w:b/>
        </w:rPr>
        <w:tab/>
        <w:t xml:space="preserve">         Skills and Other Attributes</w:t>
      </w:r>
    </w:p>
    <w:p w14:paraId="33984928" w14:textId="77777777" w:rsidR="00CE576D" w:rsidRDefault="00E61E05">
      <w:pPr>
        <w:spacing w:after="120"/>
        <w:ind w:right="260"/>
        <w:jc w:val="both"/>
        <w:rPr>
          <w:rFonts w:ascii="Arial" w:eastAsia="Arial" w:hAnsi="Arial" w:cs="Arial"/>
        </w:rPr>
      </w:pPr>
      <w:r>
        <w:rPr>
          <w:rFonts w:ascii="Arial" w:eastAsia="Arial" w:hAnsi="Arial" w:cs="Arial"/>
          <w:b/>
        </w:rPr>
        <w:t xml:space="preserve">         B. Intellectual Skills: </w:t>
      </w:r>
      <w:r>
        <w:rPr>
          <w:rFonts w:ascii="Arial" w:eastAsia="Arial" w:hAnsi="Arial" w:cs="Arial"/>
          <w:i/>
        </w:rPr>
        <w:t>(</w:t>
      </w:r>
      <w:proofErr w:type="gramStart"/>
      <w:r>
        <w:rPr>
          <w:rFonts w:ascii="Arial" w:eastAsia="Arial" w:hAnsi="Arial" w:cs="Arial"/>
          <w:i/>
        </w:rPr>
        <w:t>i.e.</w:t>
      </w:r>
      <w:proofErr w:type="gramEnd"/>
      <w:r>
        <w:rPr>
          <w:rFonts w:ascii="Arial" w:eastAsia="Arial" w:hAnsi="Arial" w:cs="Arial"/>
          <w:i/>
        </w:rPr>
        <w:t xml:space="preserve"> subject-specific intellectual skills)</w:t>
      </w:r>
    </w:p>
    <w:p w14:paraId="743B610A"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 xml:space="preserve">A developed capacity for the critical evaluation of knowledge and evidence from a range of sources including empirical research. </w:t>
      </w:r>
    </w:p>
    <w:p w14:paraId="2506B0D9"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An ability to use research and inquiry techniques with reflective awareness, to co</w:t>
      </w:r>
      <w:r>
        <w:rPr>
          <w:rFonts w:ascii="Arial" w:eastAsia="Arial" w:hAnsi="Arial" w:cs="Arial"/>
          <w:color w:val="000000"/>
        </w:rPr>
        <w:t xml:space="preserve">llect, analyse and interpret relevant information. </w:t>
      </w:r>
    </w:p>
    <w:p w14:paraId="0CBB442F"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Ability to practise as an autonomous professional, exercising their own professional judgement, exercise autonomy and initiative in individual decision-making.</w:t>
      </w:r>
    </w:p>
    <w:p w14:paraId="07338044"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 xml:space="preserve">Awareness of the impact of culture, </w:t>
      </w:r>
      <w:proofErr w:type="gramStart"/>
      <w:r>
        <w:rPr>
          <w:rFonts w:ascii="Arial" w:eastAsia="Arial" w:hAnsi="Arial" w:cs="Arial"/>
          <w:color w:val="000000"/>
        </w:rPr>
        <w:t>equality</w:t>
      </w:r>
      <w:proofErr w:type="gramEnd"/>
      <w:r>
        <w:rPr>
          <w:rFonts w:ascii="Arial" w:eastAsia="Arial" w:hAnsi="Arial" w:cs="Arial"/>
          <w:color w:val="000000"/>
        </w:rPr>
        <w:t xml:space="preserve"> and diversity on practice.</w:t>
      </w:r>
    </w:p>
    <w:p w14:paraId="5DCC653A"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 xml:space="preserve">Ability to reflect on and review </w:t>
      </w:r>
      <w:proofErr w:type="gramStart"/>
      <w:r>
        <w:rPr>
          <w:rFonts w:ascii="Arial" w:eastAsia="Arial" w:hAnsi="Arial" w:cs="Arial"/>
          <w:color w:val="000000"/>
        </w:rPr>
        <w:t>practice;</w:t>
      </w:r>
      <w:proofErr w:type="gramEnd"/>
      <w:r>
        <w:rPr>
          <w:rFonts w:ascii="Arial" w:eastAsia="Arial" w:hAnsi="Arial" w:cs="Arial"/>
          <w:color w:val="000000"/>
        </w:rPr>
        <w:t xml:space="preserve"> incorporating appraisal of previous learning into future learning and practice.</w:t>
      </w:r>
    </w:p>
    <w:p w14:paraId="05544893"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Understanding of the key concepts of the knowledge base relevant to their profession.</w:t>
      </w:r>
    </w:p>
    <w:p w14:paraId="0D70F577" w14:textId="77777777" w:rsidR="00CE576D" w:rsidRDefault="00E61E05">
      <w:pPr>
        <w:numPr>
          <w:ilvl w:val="1"/>
          <w:numId w:val="1"/>
        </w:numPr>
        <w:pBdr>
          <w:top w:val="nil"/>
          <w:left w:val="nil"/>
          <w:bottom w:val="nil"/>
          <w:right w:val="nil"/>
          <w:between w:val="nil"/>
        </w:pBdr>
        <w:spacing w:after="120"/>
        <w:ind w:left="1134" w:right="260" w:hanging="567"/>
        <w:jc w:val="both"/>
        <w:rPr>
          <w:rFonts w:ascii="Arial" w:eastAsia="Arial" w:hAnsi="Arial" w:cs="Arial"/>
          <w:color w:val="000000"/>
        </w:rPr>
      </w:pPr>
      <w:r>
        <w:rPr>
          <w:rFonts w:ascii="Arial" w:eastAsia="Arial" w:hAnsi="Arial" w:cs="Arial"/>
          <w:color w:val="000000"/>
        </w:rPr>
        <w:t>Acknowledgement and</w:t>
      </w:r>
      <w:r>
        <w:rPr>
          <w:rFonts w:ascii="Arial" w:eastAsia="Arial" w:hAnsi="Arial" w:cs="Arial"/>
          <w:color w:val="000000"/>
        </w:rPr>
        <w:t xml:space="preserve"> understanding of the potential and limitations of social work as a practice-based discipline to effect individual and social change. </w:t>
      </w:r>
    </w:p>
    <w:p w14:paraId="41858356" w14:textId="77777777" w:rsidR="00CE576D" w:rsidRDefault="00CE576D">
      <w:pPr>
        <w:spacing w:after="120"/>
        <w:ind w:left="-425" w:right="260"/>
        <w:jc w:val="both"/>
        <w:rPr>
          <w:rFonts w:ascii="Arial" w:eastAsia="Arial" w:hAnsi="Arial" w:cs="Arial"/>
        </w:rPr>
      </w:pPr>
    </w:p>
    <w:p w14:paraId="3A0C616B" w14:textId="77777777" w:rsidR="00CE576D" w:rsidRDefault="00E61E05">
      <w:pPr>
        <w:spacing w:after="120"/>
        <w:ind w:left="-426" w:right="260"/>
        <w:jc w:val="both"/>
        <w:rPr>
          <w:rFonts w:ascii="Arial" w:eastAsia="Arial" w:hAnsi="Arial" w:cs="Arial"/>
        </w:rPr>
      </w:pPr>
      <w:r>
        <w:rPr>
          <w:rFonts w:ascii="Arial" w:eastAsia="Arial" w:hAnsi="Arial" w:cs="Arial"/>
          <w:b/>
        </w:rPr>
        <w:t xml:space="preserve">               C. Subject-specific Skills: </w:t>
      </w:r>
      <w:r>
        <w:rPr>
          <w:rFonts w:ascii="Arial" w:eastAsia="Arial" w:hAnsi="Arial" w:cs="Arial"/>
          <w:i/>
        </w:rPr>
        <w:t>(These will include practise and professional skills)</w:t>
      </w:r>
    </w:p>
    <w:p w14:paraId="08022449"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Ability to draw on appropriate knowledge and skills to inform practice; using knowledge and understanding in an integrated way in specific practice contexts and to engage in effective relationships with</w:t>
      </w:r>
      <w:r>
        <w:rPr>
          <w:rFonts w:ascii="Arial" w:eastAsia="Arial" w:hAnsi="Arial" w:cs="Arial"/>
          <w:color w:val="000000"/>
        </w:rPr>
        <w:t xml:space="preserve"> service users and carers.</w:t>
      </w:r>
    </w:p>
    <w:p w14:paraId="5536B2E6"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Ability to practise safely and effectively within their scope of practice applying creatively a    repertoire of core skills.</w:t>
      </w:r>
    </w:p>
    <w:p w14:paraId="2E7A0C1B"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 xml:space="preserve">Ability to acquire and integrate skills in problem-solving </w:t>
      </w:r>
      <w:proofErr w:type="gramStart"/>
      <w:r>
        <w:rPr>
          <w:rFonts w:ascii="Arial" w:eastAsia="Arial" w:hAnsi="Arial" w:cs="Arial"/>
          <w:color w:val="000000"/>
        </w:rPr>
        <w:t>including:</w:t>
      </w:r>
      <w:proofErr w:type="gramEnd"/>
      <w:r>
        <w:rPr>
          <w:rFonts w:ascii="Arial" w:eastAsia="Arial" w:hAnsi="Arial" w:cs="Arial"/>
          <w:color w:val="000000"/>
        </w:rPr>
        <w:t xml:space="preserve"> managing problem solving    activ</w:t>
      </w:r>
      <w:r>
        <w:rPr>
          <w:rFonts w:ascii="Arial" w:eastAsia="Arial" w:hAnsi="Arial" w:cs="Arial"/>
          <w:color w:val="000000"/>
        </w:rPr>
        <w:t>ities; gathering information; analysis and synthesis; and intervention and evaluation.</w:t>
      </w:r>
    </w:p>
    <w:p w14:paraId="1B2F2687"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Ability to practise within the legal and ethical boundaries of their profession, integrate clear understanding of ethical issues and codes of values in practice.</w:t>
      </w:r>
    </w:p>
    <w:p w14:paraId="7AE5BDCA"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Ability</w:t>
      </w:r>
      <w:r>
        <w:rPr>
          <w:rFonts w:ascii="Arial" w:eastAsia="Arial" w:hAnsi="Arial" w:cs="Arial"/>
          <w:color w:val="000000"/>
        </w:rPr>
        <w:t xml:space="preserve"> to maintain fitness to practise.</w:t>
      </w:r>
    </w:p>
    <w:p w14:paraId="5AAEE9CA"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Ability to practise in an anti-discriminatory and non-oppressive manner.</w:t>
      </w:r>
    </w:p>
    <w:p w14:paraId="034BCA85"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Ability to maintain confidentiality and maintain records appropriately.</w:t>
      </w:r>
    </w:p>
    <w:p w14:paraId="0DA50585" w14:textId="77777777" w:rsidR="00CE576D" w:rsidRDefault="00E61E05">
      <w:pPr>
        <w:numPr>
          <w:ilvl w:val="1"/>
          <w:numId w:val="1"/>
        </w:numPr>
        <w:pBdr>
          <w:top w:val="nil"/>
          <w:left w:val="nil"/>
          <w:bottom w:val="nil"/>
          <w:right w:val="nil"/>
          <w:between w:val="nil"/>
        </w:pBdr>
        <w:spacing w:after="120"/>
        <w:ind w:left="1134" w:right="260" w:hanging="567"/>
        <w:jc w:val="both"/>
        <w:rPr>
          <w:rFonts w:ascii="Arial" w:eastAsia="Arial" w:hAnsi="Arial" w:cs="Arial"/>
          <w:color w:val="000000"/>
        </w:rPr>
      </w:pPr>
      <w:r>
        <w:rPr>
          <w:rFonts w:ascii="Arial" w:eastAsia="Arial" w:hAnsi="Arial" w:cs="Arial"/>
          <w:color w:val="000000"/>
        </w:rPr>
        <w:t>Ability to assure the quality of their practice, demonstrate habits of critic</w:t>
      </w:r>
      <w:r>
        <w:rPr>
          <w:rFonts w:ascii="Arial" w:eastAsia="Arial" w:hAnsi="Arial" w:cs="Arial"/>
          <w:color w:val="000000"/>
        </w:rPr>
        <w:t xml:space="preserve">al reflection on their performance and take responsibility for modifying action </w:t>
      </w:r>
      <w:proofErr w:type="gramStart"/>
      <w:r>
        <w:rPr>
          <w:rFonts w:ascii="Arial" w:eastAsia="Arial" w:hAnsi="Arial" w:cs="Arial"/>
          <w:color w:val="000000"/>
        </w:rPr>
        <w:t>in light of</w:t>
      </w:r>
      <w:proofErr w:type="gramEnd"/>
      <w:r>
        <w:rPr>
          <w:rFonts w:ascii="Arial" w:eastAsia="Arial" w:hAnsi="Arial" w:cs="Arial"/>
          <w:color w:val="000000"/>
        </w:rPr>
        <w:t xml:space="preserve"> this.</w:t>
      </w:r>
    </w:p>
    <w:p w14:paraId="0ED17173" w14:textId="77777777" w:rsidR="00CE576D" w:rsidRDefault="00CE576D">
      <w:pPr>
        <w:spacing w:after="120"/>
        <w:ind w:left="-425" w:right="260"/>
        <w:jc w:val="both"/>
        <w:rPr>
          <w:rFonts w:ascii="Arial" w:eastAsia="Arial" w:hAnsi="Arial" w:cs="Arial"/>
        </w:rPr>
      </w:pPr>
    </w:p>
    <w:p w14:paraId="13FA00C0" w14:textId="77777777" w:rsidR="00CE576D" w:rsidRDefault="00E61E05">
      <w:pPr>
        <w:spacing w:after="120"/>
        <w:ind w:left="-426" w:right="260"/>
        <w:jc w:val="both"/>
        <w:rPr>
          <w:rFonts w:ascii="Arial" w:eastAsia="Arial" w:hAnsi="Arial" w:cs="Arial"/>
        </w:rPr>
      </w:pPr>
      <w:r>
        <w:rPr>
          <w:rFonts w:ascii="Arial" w:eastAsia="Arial" w:hAnsi="Arial" w:cs="Arial"/>
          <w:b/>
        </w:rPr>
        <w:t xml:space="preserve">     </w:t>
      </w:r>
      <w:r>
        <w:rPr>
          <w:rFonts w:ascii="Arial" w:eastAsia="Arial" w:hAnsi="Arial" w:cs="Arial"/>
          <w:b/>
        </w:rPr>
        <w:tab/>
        <w:t xml:space="preserve">         D. Transferable Skills: </w:t>
      </w:r>
      <w:r>
        <w:rPr>
          <w:rFonts w:ascii="Arial" w:eastAsia="Arial" w:hAnsi="Arial" w:cs="Arial"/>
          <w:i/>
        </w:rPr>
        <w:t>(Non-subject specific key skills)</w:t>
      </w:r>
    </w:p>
    <w:p w14:paraId="78FB9386"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lastRenderedPageBreak/>
        <w:t>Ability to communicate effectively to an advanced level.</w:t>
      </w:r>
    </w:p>
    <w:p w14:paraId="66576A59"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Ability to apply I.T. and numerical skills.</w:t>
      </w:r>
    </w:p>
    <w:p w14:paraId="4297BD1C"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 xml:space="preserve">Problem solving skills, including managing problem-solving activities, gathering information, analysis and synthesis, </w:t>
      </w:r>
      <w:proofErr w:type="gramStart"/>
      <w:r>
        <w:rPr>
          <w:rFonts w:ascii="Arial" w:eastAsia="Arial" w:hAnsi="Arial" w:cs="Arial"/>
          <w:color w:val="000000"/>
        </w:rPr>
        <w:t>intervention</w:t>
      </w:r>
      <w:proofErr w:type="gramEnd"/>
      <w:r>
        <w:rPr>
          <w:rFonts w:ascii="Arial" w:eastAsia="Arial" w:hAnsi="Arial" w:cs="Arial"/>
          <w:color w:val="000000"/>
        </w:rPr>
        <w:t xml:space="preserve"> and evaluation.</w:t>
      </w:r>
    </w:p>
    <w:p w14:paraId="523EC0C6" w14:textId="77777777" w:rsidR="00CE576D" w:rsidRDefault="00E61E05">
      <w:pPr>
        <w:numPr>
          <w:ilvl w:val="1"/>
          <w:numId w:val="1"/>
        </w:numPr>
        <w:pBdr>
          <w:top w:val="nil"/>
          <w:left w:val="nil"/>
          <w:bottom w:val="nil"/>
          <w:right w:val="nil"/>
          <w:between w:val="nil"/>
        </w:pBdr>
        <w:spacing w:after="0"/>
        <w:ind w:left="1134" w:right="260" w:hanging="567"/>
        <w:jc w:val="both"/>
        <w:rPr>
          <w:rFonts w:ascii="Arial" w:eastAsia="Arial" w:hAnsi="Arial" w:cs="Arial"/>
          <w:color w:val="000000"/>
        </w:rPr>
      </w:pPr>
      <w:r>
        <w:rPr>
          <w:rFonts w:ascii="Arial" w:eastAsia="Arial" w:hAnsi="Arial" w:cs="Arial"/>
          <w:color w:val="000000"/>
        </w:rPr>
        <w:t xml:space="preserve">Ability </w:t>
      </w:r>
      <w:r>
        <w:rPr>
          <w:rFonts w:ascii="Arial" w:eastAsia="Arial" w:hAnsi="Arial" w:cs="Arial"/>
          <w:color w:val="000000"/>
        </w:rPr>
        <w:t>to work effectively and appropriately with others, including challenging others where necessary.</w:t>
      </w:r>
    </w:p>
    <w:p w14:paraId="4C765175" w14:textId="77777777" w:rsidR="00CE576D" w:rsidRDefault="00E61E05">
      <w:pPr>
        <w:numPr>
          <w:ilvl w:val="1"/>
          <w:numId w:val="1"/>
        </w:numPr>
        <w:pBdr>
          <w:top w:val="nil"/>
          <w:left w:val="nil"/>
          <w:bottom w:val="nil"/>
          <w:right w:val="nil"/>
          <w:between w:val="nil"/>
        </w:pBdr>
        <w:spacing w:after="120"/>
        <w:ind w:left="1134" w:right="260" w:hanging="567"/>
        <w:jc w:val="both"/>
        <w:rPr>
          <w:rFonts w:ascii="Arial" w:eastAsia="Arial" w:hAnsi="Arial" w:cs="Arial"/>
          <w:color w:val="000000"/>
        </w:rPr>
      </w:pPr>
      <w:r>
        <w:rPr>
          <w:rFonts w:ascii="Arial" w:eastAsia="Arial" w:hAnsi="Arial" w:cs="Arial"/>
          <w:color w:val="000000"/>
        </w:rPr>
        <w:t xml:space="preserve">Skills in personal and professional development including managing uncertainty, change and </w:t>
      </w:r>
      <w:proofErr w:type="gramStart"/>
      <w:r>
        <w:rPr>
          <w:rFonts w:ascii="Arial" w:eastAsia="Arial" w:hAnsi="Arial" w:cs="Arial"/>
          <w:color w:val="000000"/>
        </w:rPr>
        <w:t>stress;</w:t>
      </w:r>
      <w:proofErr w:type="gramEnd"/>
      <w:r>
        <w:rPr>
          <w:rFonts w:ascii="Arial" w:eastAsia="Arial" w:hAnsi="Arial" w:cs="Arial"/>
          <w:color w:val="000000"/>
        </w:rPr>
        <w:t xml:space="preserve"> critical and effective use of research.</w:t>
      </w:r>
    </w:p>
    <w:p w14:paraId="721FD410" w14:textId="77777777" w:rsidR="00CE576D" w:rsidRDefault="00CE576D">
      <w:pPr>
        <w:spacing w:after="120"/>
        <w:ind w:right="260"/>
        <w:jc w:val="both"/>
        <w:rPr>
          <w:rFonts w:ascii="Arial" w:eastAsia="Arial" w:hAnsi="Arial" w:cs="Arial"/>
          <w:b/>
        </w:rPr>
      </w:pPr>
    </w:p>
    <w:p w14:paraId="4A174C7E" w14:textId="77777777" w:rsidR="00CE576D" w:rsidRDefault="00E61E05">
      <w:pPr>
        <w:numPr>
          <w:ilvl w:val="0"/>
          <w:numId w:val="3"/>
        </w:numPr>
        <w:spacing w:after="120"/>
        <w:ind w:left="567" w:right="260" w:hanging="567"/>
        <w:rPr>
          <w:rFonts w:ascii="Arial" w:eastAsia="Arial" w:hAnsi="Arial" w:cs="Arial"/>
          <w:b/>
        </w:rPr>
      </w:pPr>
      <w:r>
        <w:rPr>
          <w:rFonts w:ascii="Arial" w:eastAsia="Arial" w:hAnsi="Arial" w:cs="Arial"/>
          <w:b/>
        </w:rPr>
        <w:t>The intended generic learning outcomes.</w:t>
      </w:r>
      <w:r>
        <w:rPr>
          <w:rFonts w:ascii="Arial" w:eastAsia="Arial" w:hAnsi="Arial" w:cs="Arial"/>
          <w:b/>
        </w:rPr>
        <w:br/>
        <w:t>On successfully completing the module students will be able to:</w:t>
      </w:r>
    </w:p>
    <w:p w14:paraId="7ADE6027" w14:textId="77777777" w:rsidR="00CE576D" w:rsidRDefault="00E61E05">
      <w:pPr>
        <w:spacing w:after="120"/>
        <w:ind w:left="1134" w:right="260" w:hanging="567"/>
        <w:jc w:val="both"/>
        <w:rPr>
          <w:rFonts w:ascii="Arial" w:eastAsia="Arial" w:hAnsi="Arial" w:cs="Arial"/>
        </w:rPr>
      </w:pPr>
      <w:r>
        <w:rPr>
          <w:rFonts w:ascii="Arial" w:eastAsia="Arial" w:hAnsi="Arial" w:cs="Arial"/>
        </w:rPr>
        <w:t xml:space="preserve">9.1 </w:t>
      </w:r>
      <w:r>
        <w:rPr>
          <w:rFonts w:ascii="Arial" w:eastAsia="Arial" w:hAnsi="Arial" w:cs="Arial"/>
        </w:rPr>
        <w:tab/>
      </w:r>
      <w:r>
        <w:rPr>
          <w:rFonts w:ascii="Arial" w:eastAsia="Arial" w:hAnsi="Arial" w:cs="Arial"/>
        </w:rPr>
        <w:t xml:space="preserve">Communicate effectively in a range of situations using a range of methods, including effective IT Skills, written </w:t>
      </w:r>
      <w:proofErr w:type="gramStart"/>
      <w:r>
        <w:rPr>
          <w:rFonts w:ascii="Arial" w:eastAsia="Arial" w:hAnsi="Arial" w:cs="Arial"/>
        </w:rPr>
        <w:t>skills</w:t>
      </w:r>
      <w:proofErr w:type="gramEnd"/>
      <w:r>
        <w:rPr>
          <w:rFonts w:ascii="Arial" w:eastAsia="Arial" w:hAnsi="Arial" w:cs="Arial"/>
        </w:rPr>
        <w:t xml:space="preserve"> and advocacy skills.</w:t>
      </w:r>
    </w:p>
    <w:p w14:paraId="401BA4F7" w14:textId="77777777" w:rsidR="00CE576D" w:rsidRDefault="00E61E05">
      <w:pPr>
        <w:spacing w:after="120"/>
        <w:ind w:left="1134" w:right="260" w:hanging="567"/>
        <w:jc w:val="both"/>
        <w:rPr>
          <w:rFonts w:ascii="Arial" w:eastAsia="Arial" w:hAnsi="Arial" w:cs="Arial"/>
        </w:rPr>
      </w:pPr>
      <w:r>
        <w:rPr>
          <w:rFonts w:ascii="Arial" w:eastAsia="Arial" w:hAnsi="Arial" w:cs="Arial"/>
        </w:rPr>
        <w:t xml:space="preserve">9.2 </w:t>
      </w:r>
      <w:r>
        <w:rPr>
          <w:rFonts w:ascii="Arial" w:eastAsia="Arial" w:hAnsi="Arial" w:cs="Arial"/>
        </w:rPr>
        <w:tab/>
        <w:t>Demonstrate skills of working effectively with others in a range of situations.</w:t>
      </w:r>
    </w:p>
    <w:p w14:paraId="7F9467AD" w14:textId="77777777" w:rsidR="00CE576D" w:rsidRDefault="00E61E05">
      <w:pPr>
        <w:spacing w:after="120"/>
        <w:ind w:left="1134" w:right="260" w:hanging="567"/>
        <w:jc w:val="both"/>
        <w:rPr>
          <w:rFonts w:ascii="Arial" w:eastAsia="Arial" w:hAnsi="Arial" w:cs="Arial"/>
          <w:i/>
        </w:rPr>
      </w:pPr>
      <w:r>
        <w:rPr>
          <w:rFonts w:ascii="Arial" w:eastAsia="Arial" w:hAnsi="Arial" w:cs="Arial"/>
        </w:rPr>
        <w:t xml:space="preserve">9.3 </w:t>
      </w:r>
      <w:r>
        <w:rPr>
          <w:rFonts w:ascii="Arial" w:eastAsia="Arial" w:hAnsi="Arial" w:cs="Arial"/>
        </w:rPr>
        <w:tab/>
        <w:t>Demonstrate skills in pe</w:t>
      </w:r>
      <w:r>
        <w:rPr>
          <w:rFonts w:ascii="Arial" w:eastAsia="Arial" w:hAnsi="Arial" w:cs="Arial"/>
        </w:rPr>
        <w:t>rsonal and professional development</w:t>
      </w:r>
      <w:r>
        <w:rPr>
          <w:rFonts w:ascii="Arial" w:eastAsia="Arial" w:hAnsi="Arial" w:cs="Arial"/>
          <w:i/>
        </w:rPr>
        <w:t xml:space="preserve">. </w:t>
      </w:r>
    </w:p>
    <w:p w14:paraId="7B5A50C7" w14:textId="77777777" w:rsidR="00CE576D" w:rsidRDefault="00CE576D">
      <w:pPr>
        <w:pBdr>
          <w:top w:val="nil"/>
          <w:left w:val="nil"/>
          <w:bottom w:val="nil"/>
          <w:right w:val="nil"/>
          <w:between w:val="nil"/>
        </w:pBdr>
        <w:spacing w:after="120"/>
        <w:ind w:left="720" w:right="260"/>
        <w:jc w:val="both"/>
        <w:rPr>
          <w:rFonts w:ascii="Arial" w:eastAsia="Arial" w:hAnsi="Arial" w:cs="Arial"/>
          <w:color w:val="000000"/>
        </w:rPr>
      </w:pPr>
    </w:p>
    <w:p w14:paraId="52D9E917"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A synopsis of the curriculum</w:t>
      </w:r>
    </w:p>
    <w:p w14:paraId="0CCFE882" w14:textId="77777777" w:rsidR="00CE576D" w:rsidRDefault="00E61E05">
      <w:pPr>
        <w:tabs>
          <w:tab w:val="left" w:pos="644"/>
          <w:tab w:val="left" w:pos="720"/>
        </w:tabs>
        <w:spacing w:after="120"/>
        <w:ind w:left="567" w:right="260"/>
        <w:jc w:val="both"/>
        <w:rPr>
          <w:rFonts w:ascii="Arial" w:eastAsia="Arial" w:hAnsi="Arial" w:cs="Arial"/>
          <w:i/>
        </w:rPr>
      </w:pPr>
      <w:r>
        <w:rPr>
          <w:rFonts w:ascii="Arial" w:eastAsia="Arial" w:hAnsi="Arial" w:cs="Arial"/>
        </w:rPr>
        <w:t>Students will attend placement for a period in line with regulator standards and   carry out direct work with service-users in a social work or social care environment. They will develop s</w:t>
      </w:r>
      <w:r>
        <w:rPr>
          <w:rFonts w:ascii="Arial" w:eastAsia="Arial" w:hAnsi="Arial" w:cs="Arial"/>
        </w:rPr>
        <w:t xml:space="preserve">kills, </w:t>
      </w:r>
      <w:proofErr w:type="gramStart"/>
      <w:r>
        <w:rPr>
          <w:rFonts w:ascii="Arial" w:eastAsia="Arial" w:hAnsi="Arial" w:cs="Arial"/>
        </w:rPr>
        <w:t>knowledge</w:t>
      </w:r>
      <w:proofErr w:type="gramEnd"/>
      <w:r>
        <w:rPr>
          <w:rFonts w:ascii="Arial" w:eastAsia="Arial" w:hAnsi="Arial" w:cs="Arial"/>
        </w:rPr>
        <w:t xml:space="preserve"> and values through experiential learning. They will be supervised by either an On-site or Off-site practice educator.</w:t>
      </w:r>
      <w:r>
        <w:rPr>
          <w:rFonts w:ascii="Arial" w:eastAsia="Arial" w:hAnsi="Arial" w:cs="Arial"/>
          <w:i/>
        </w:rPr>
        <w:t xml:space="preserve"> </w:t>
      </w:r>
    </w:p>
    <w:p w14:paraId="1F176BD7" w14:textId="77777777" w:rsidR="00CE576D" w:rsidRDefault="00CE576D">
      <w:pPr>
        <w:spacing w:after="120"/>
        <w:ind w:left="426" w:right="260"/>
        <w:jc w:val="both"/>
        <w:rPr>
          <w:rFonts w:ascii="Arial" w:eastAsia="Arial" w:hAnsi="Arial" w:cs="Arial"/>
          <w:i/>
        </w:rPr>
      </w:pPr>
    </w:p>
    <w:p w14:paraId="6090DBD0"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Reading list (Indicative list, current at time of publication. Reading lists will be published annually)</w:t>
      </w:r>
    </w:p>
    <w:p w14:paraId="304DAA0F" w14:textId="77777777" w:rsidR="00CE576D" w:rsidRDefault="00E61E05">
      <w:pPr>
        <w:spacing w:after="120"/>
        <w:ind w:left="567" w:right="260"/>
        <w:jc w:val="both"/>
        <w:rPr>
          <w:rFonts w:ascii="Arial" w:eastAsia="Arial" w:hAnsi="Arial" w:cs="Arial"/>
        </w:rPr>
      </w:pPr>
      <w:r>
        <w:rPr>
          <w:rFonts w:ascii="Arial" w:eastAsia="Arial" w:hAnsi="Arial" w:cs="Arial"/>
        </w:rPr>
        <w:t>Banks, S, (201</w:t>
      </w:r>
      <w:r>
        <w:rPr>
          <w:rFonts w:ascii="Arial" w:eastAsia="Arial" w:hAnsi="Arial" w:cs="Arial"/>
        </w:rPr>
        <w:t xml:space="preserve">2), </w:t>
      </w:r>
      <w:r>
        <w:rPr>
          <w:rFonts w:ascii="Arial" w:eastAsia="Arial" w:hAnsi="Arial" w:cs="Arial"/>
          <w:i/>
        </w:rPr>
        <w:t>Ethics and Values in Social Work,</w:t>
      </w:r>
      <w:r>
        <w:rPr>
          <w:rFonts w:ascii="Arial" w:eastAsia="Arial" w:hAnsi="Arial" w:cs="Arial"/>
        </w:rPr>
        <w:t xml:space="preserve"> 4</w:t>
      </w:r>
      <w:r>
        <w:rPr>
          <w:rFonts w:ascii="Arial" w:eastAsia="Arial" w:hAnsi="Arial" w:cs="Arial"/>
          <w:vertAlign w:val="superscript"/>
        </w:rPr>
        <w:t>th</w:t>
      </w:r>
      <w:r>
        <w:rPr>
          <w:rFonts w:ascii="Arial" w:eastAsia="Arial" w:hAnsi="Arial" w:cs="Arial"/>
        </w:rPr>
        <w:t xml:space="preserve"> ed., Basingstoke: Palgrave MacMillan</w:t>
      </w:r>
    </w:p>
    <w:p w14:paraId="2E81BFB7" w14:textId="77777777" w:rsidR="00CE576D" w:rsidRDefault="00E61E05">
      <w:pPr>
        <w:spacing w:after="120"/>
        <w:ind w:left="567" w:right="260"/>
        <w:jc w:val="both"/>
        <w:rPr>
          <w:rFonts w:ascii="Arial" w:eastAsia="Arial" w:hAnsi="Arial" w:cs="Arial"/>
        </w:rPr>
      </w:pPr>
      <w:proofErr w:type="spellStart"/>
      <w:r>
        <w:rPr>
          <w:rFonts w:ascii="Arial" w:eastAsia="Arial" w:hAnsi="Arial" w:cs="Arial"/>
        </w:rPr>
        <w:t>Coulshed</w:t>
      </w:r>
      <w:proofErr w:type="spellEnd"/>
      <w:r>
        <w:rPr>
          <w:rFonts w:ascii="Arial" w:eastAsia="Arial" w:hAnsi="Arial" w:cs="Arial"/>
        </w:rPr>
        <w:t xml:space="preserve">, V. &amp; Orme, J., (2006), </w:t>
      </w:r>
      <w:r>
        <w:rPr>
          <w:rFonts w:ascii="Arial" w:eastAsia="Arial" w:hAnsi="Arial" w:cs="Arial"/>
          <w:i/>
        </w:rPr>
        <w:t>Social Work Practice: an introduction,</w:t>
      </w:r>
      <w:r>
        <w:rPr>
          <w:rFonts w:ascii="Arial" w:eastAsia="Arial" w:hAnsi="Arial" w:cs="Arial"/>
        </w:rPr>
        <w:t xml:space="preserve"> 4</w:t>
      </w:r>
      <w:r>
        <w:rPr>
          <w:rFonts w:ascii="Arial" w:eastAsia="Arial" w:hAnsi="Arial" w:cs="Arial"/>
          <w:vertAlign w:val="superscript"/>
        </w:rPr>
        <w:t>th</w:t>
      </w:r>
      <w:r>
        <w:rPr>
          <w:rFonts w:ascii="Arial" w:eastAsia="Arial" w:hAnsi="Arial" w:cs="Arial"/>
        </w:rPr>
        <w:t xml:space="preserve"> ed., Basingstoke, Palgrave MacMillan</w:t>
      </w:r>
    </w:p>
    <w:p w14:paraId="42A4A726" w14:textId="77777777" w:rsidR="00CE576D" w:rsidRDefault="00E61E05">
      <w:pPr>
        <w:spacing w:after="120"/>
        <w:ind w:left="567" w:right="260"/>
        <w:jc w:val="both"/>
        <w:rPr>
          <w:rFonts w:ascii="Arial" w:eastAsia="Arial" w:hAnsi="Arial" w:cs="Arial"/>
        </w:rPr>
      </w:pPr>
      <w:r>
        <w:rPr>
          <w:rFonts w:ascii="Arial" w:eastAsia="Arial" w:hAnsi="Arial" w:cs="Arial"/>
        </w:rPr>
        <w:t xml:space="preserve">Maclean S. &amp; Harrison R., 2011, </w:t>
      </w:r>
      <w:r>
        <w:rPr>
          <w:rFonts w:ascii="Arial" w:eastAsia="Arial" w:hAnsi="Arial" w:cs="Arial"/>
          <w:i/>
        </w:rPr>
        <w:t>Theory &amp; Practice, A Straightfor</w:t>
      </w:r>
      <w:r>
        <w:rPr>
          <w:rFonts w:ascii="Arial" w:eastAsia="Arial" w:hAnsi="Arial" w:cs="Arial"/>
          <w:i/>
        </w:rPr>
        <w:t>ward Guide for Social Work Students 2</w:t>
      </w:r>
      <w:r>
        <w:rPr>
          <w:rFonts w:ascii="Arial" w:eastAsia="Arial" w:hAnsi="Arial" w:cs="Arial"/>
          <w:i/>
          <w:vertAlign w:val="superscript"/>
        </w:rPr>
        <w:t>nd</w:t>
      </w:r>
      <w:r>
        <w:rPr>
          <w:rFonts w:ascii="Arial" w:eastAsia="Arial" w:hAnsi="Arial" w:cs="Arial"/>
          <w:i/>
        </w:rPr>
        <w:t xml:space="preserve"> Edition</w:t>
      </w:r>
      <w:r>
        <w:rPr>
          <w:rFonts w:ascii="Arial" w:eastAsia="Arial" w:hAnsi="Arial" w:cs="Arial"/>
        </w:rPr>
        <w:t xml:space="preserve">, Litchfield: </w:t>
      </w:r>
      <w:proofErr w:type="spellStart"/>
      <w:r>
        <w:rPr>
          <w:rFonts w:ascii="Arial" w:eastAsia="Arial" w:hAnsi="Arial" w:cs="Arial"/>
        </w:rPr>
        <w:t>Kirwin</w:t>
      </w:r>
      <w:proofErr w:type="spellEnd"/>
      <w:r>
        <w:rPr>
          <w:rFonts w:ascii="Arial" w:eastAsia="Arial" w:hAnsi="Arial" w:cs="Arial"/>
        </w:rPr>
        <w:t xml:space="preserve"> Maclean Associates</w:t>
      </w:r>
    </w:p>
    <w:p w14:paraId="41AD2436" w14:textId="77777777" w:rsidR="00CE576D" w:rsidRDefault="00E61E05">
      <w:pPr>
        <w:spacing w:after="120"/>
        <w:ind w:left="567" w:right="260"/>
        <w:jc w:val="both"/>
        <w:rPr>
          <w:rFonts w:ascii="Arial" w:eastAsia="Arial" w:hAnsi="Arial" w:cs="Arial"/>
        </w:rPr>
      </w:pPr>
      <w:r>
        <w:rPr>
          <w:rFonts w:ascii="Arial" w:eastAsia="Arial" w:hAnsi="Arial" w:cs="Arial"/>
        </w:rPr>
        <w:t xml:space="preserve">Maclean S. &amp; Harrison R., 2009, </w:t>
      </w:r>
      <w:r>
        <w:rPr>
          <w:rFonts w:ascii="Arial" w:eastAsia="Arial" w:hAnsi="Arial" w:cs="Arial"/>
          <w:i/>
        </w:rPr>
        <w:t>Making the Most of Your Practice Learning Opportunities</w:t>
      </w:r>
      <w:r>
        <w:rPr>
          <w:rFonts w:ascii="Arial" w:eastAsia="Arial" w:hAnsi="Arial" w:cs="Arial"/>
        </w:rPr>
        <w:t xml:space="preserve">, Rugeley: </w:t>
      </w:r>
      <w:proofErr w:type="spellStart"/>
      <w:r>
        <w:rPr>
          <w:rFonts w:ascii="Arial" w:eastAsia="Arial" w:hAnsi="Arial" w:cs="Arial"/>
        </w:rPr>
        <w:t>Kirwin</w:t>
      </w:r>
      <w:proofErr w:type="spellEnd"/>
      <w:r>
        <w:rPr>
          <w:rFonts w:ascii="Arial" w:eastAsia="Arial" w:hAnsi="Arial" w:cs="Arial"/>
        </w:rPr>
        <w:t xml:space="preserve"> Maclean Associates</w:t>
      </w:r>
    </w:p>
    <w:p w14:paraId="2A53096E" w14:textId="77777777" w:rsidR="00CE576D" w:rsidRDefault="00E61E05">
      <w:pPr>
        <w:spacing w:after="120"/>
        <w:ind w:left="567" w:right="260"/>
        <w:jc w:val="both"/>
        <w:rPr>
          <w:rFonts w:ascii="Arial" w:eastAsia="Arial" w:hAnsi="Arial" w:cs="Arial"/>
        </w:rPr>
      </w:pPr>
      <w:r>
        <w:rPr>
          <w:rFonts w:ascii="Arial" w:eastAsia="Arial" w:hAnsi="Arial" w:cs="Arial"/>
        </w:rPr>
        <w:t xml:space="preserve">Parker, J., (2017), </w:t>
      </w:r>
      <w:r>
        <w:rPr>
          <w:rFonts w:ascii="Arial" w:eastAsia="Arial" w:hAnsi="Arial" w:cs="Arial"/>
          <w:i/>
        </w:rPr>
        <w:t xml:space="preserve">Social Work Practice: Assessment, Planning, Intervention and Review </w:t>
      </w:r>
      <w:r>
        <w:rPr>
          <w:rFonts w:ascii="Arial" w:eastAsia="Arial" w:hAnsi="Arial" w:cs="Arial"/>
        </w:rPr>
        <w:t>5</w:t>
      </w:r>
      <w:r>
        <w:rPr>
          <w:rFonts w:ascii="Arial" w:eastAsia="Arial" w:hAnsi="Arial" w:cs="Arial"/>
          <w:vertAlign w:val="superscript"/>
        </w:rPr>
        <w:t>th</w:t>
      </w:r>
      <w:r>
        <w:rPr>
          <w:rFonts w:ascii="Arial" w:eastAsia="Arial" w:hAnsi="Arial" w:cs="Arial"/>
        </w:rPr>
        <w:t xml:space="preserve"> ed</w:t>
      </w:r>
      <w:r>
        <w:rPr>
          <w:rFonts w:ascii="Arial" w:eastAsia="Arial" w:hAnsi="Arial" w:cs="Arial"/>
          <w:i/>
        </w:rPr>
        <w:t xml:space="preserve">., </w:t>
      </w:r>
      <w:r>
        <w:rPr>
          <w:rFonts w:ascii="Arial" w:eastAsia="Arial" w:hAnsi="Arial" w:cs="Arial"/>
        </w:rPr>
        <w:t>Los Angeles: Learning Matters Ltd</w:t>
      </w:r>
    </w:p>
    <w:p w14:paraId="4E9D8452" w14:textId="77777777" w:rsidR="00CE576D" w:rsidRDefault="00E61E05">
      <w:pPr>
        <w:spacing w:after="120"/>
        <w:ind w:left="567" w:right="260"/>
        <w:jc w:val="both"/>
        <w:rPr>
          <w:rFonts w:ascii="Arial" w:eastAsia="Arial" w:hAnsi="Arial" w:cs="Arial"/>
          <w:i/>
        </w:rPr>
      </w:pPr>
      <w:r>
        <w:rPr>
          <w:rFonts w:ascii="Arial" w:eastAsia="Arial" w:hAnsi="Arial" w:cs="Arial"/>
        </w:rPr>
        <w:t xml:space="preserve">Thompson N, (2006), </w:t>
      </w:r>
      <w:r>
        <w:rPr>
          <w:rFonts w:ascii="Arial" w:eastAsia="Arial" w:hAnsi="Arial" w:cs="Arial"/>
          <w:i/>
        </w:rPr>
        <w:t>Anti Discriminatory Practice</w:t>
      </w:r>
      <w:r>
        <w:rPr>
          <w:rFonts w:ascii="Arial" w:eastAsia="Arial" w:hAnsi="Arial" w:cs="Arial"/>
        </w:rPr>
        <w:t xml:space="preserve"> 4th ed, Basingstoke Palgrave Macmillan</w:t>
      </w:r>
    </w:p>
    <w:p w14:paraId="0BEA22F2" w14:textId="77777777" w:rsidR="00CE576D" w:rsidRDefault="00CE576D">
      <w:pPr>
        <w:spacing w:after="120"/>
        <w:ind w:right="260"/>
        <w:jc w:val="both"/>
        <w:rPr>
          <w:rFonts w:ascii="Arial" w:eastAsia="Arial" w:hAnsi="Arial" w:cs="Arial"/>
          <w:b/>
        </w:rPr>
      </w:pPr>
    </w:p>
    <w:p w14:paraId="304B59A2" w14:textId="77777777" w:rsidR="00CE576D" w:rsidRDefault="00E61E05">
      <w:pPr>
        <w:numPr>
          <w:ilvl w:val="0"/>
          <w:numId w:val="3"/>
        </w:numPr>
        <w:spacing w:after="120"/>
        <w:ind w:left="567" w:right="260" w:hanging="567"/>
        <w:jc w:val="both"/>
        <w:rPr>
          <w:rFonts w:ascii="Arial" w:eastAsia="Arial" w:hAnsi="Arial" w:cs="Arial"/>
          <w:i/>
        </w:rPr>
      </w:pPr>
      <w:r>
        <w:rPr>
          <w:rFonts w:ascii="Arial" w:eastAsia="Arial" w:hAnsi="Arial" w:cs="Arial"/>
          <w:b/>
        </w:rPr>
        <w:t>Learning and teaching methods</w:t>
      </w:r>
    </w:p>
    <w:p w14:paraId="55BA6CC6" w14:textId="77777777" w:rsidR="00CE576D" w:rsidRDefault="00E61E05">
      <w:pPr>
        <w:spacing w:after="120"/>
        <w:ind w:left="567" w:right="260"/>
        <w:jc w:val="both"/>
        <w:rPr>
          <w:rFonts w:ascii="Arial" w:eastAsia="Arial" w:hAnsi="Arial" w:cs="Arial"/>
        </w:rPr>
      </w:pPr>
      <w:r>
        <w:rPr>
          <w:rFonts w:ascii="Arial" w:eastAsia="Arial" w:hAnsi="Arial" w:cs="Arial"/>
        </w:rPr>
        <w:t>Total contact hours: 600 (</w:t>
      </w:r>
      <w:r>
        <w:rPr>
          <w:rFonts w:ascii="Arial" w:eastAsia="Arial" w:hAnsi="Arial" w:cs="Arial"/>
        </w:rPr>
        <w:t>with direct practice arrangements as required by the social work regulator)</w:t>
      </w:r>
    </w:p>
    <w:p w14:paraId="6BEBC85C" w14:textId="77777777" w:rsidR="00CE576D" w:rsidRDefault="00E61E05">
      <w:pPr>
        <w:spacing w:after="120"/>
        <w:ind w:left="567" w:right="260"/>
        <w:jc w:val="both"/>
        <w:rPr>
          <w:rFonts w:ascii="Arial" w:eastAsia="Arial" w:hAnsi="Arial" w:cs="Arial"/>
        </w:rPr>
      </w:pPr>
      <w:r>
        <w:rPr>
          <w:rFonts w:ascii="Arial" w:eastAsia="Arial" w:hAnsi="Arial" w:cs="Arial"/>
        </w:rPr>
        <w:lastRenderedPageBreak/>
        <w:t>Private study hours: 150</w:t>
      </w:r>
    </w:p>
    <w:p w14:paraId="4F7268DB" w14:textId="77777777" w:rsidR="00CE576D" w:rsidRDefault="00E61E05">
      <w:pPr>
        <w:spacing w:after="120"/>
        <w:ind w:left="567" w:right="260"/>
        <w:jc w:val="both"/>
        <w:rPr>
          <w:rFonts w:ascii="Arial" w:eastAsia="Arial" w:hAnsi="Arial" w:cs="Arial"/>
        </w:rPr>
      </w:pPr>
      <w:r>
        <w:rPr>
          <w:rFonts w:ascii="Arial" w:eastAsia="Arial" w:hAnsi="Arial" w:cs="Arial"/>
        </w:rPr>
        <w:t>Total study hours: 750</w:t>
      </w:r>
    </w:p>
    <w:p w14:paraId="732D8813" w14:textId="77777777" w:rsidR="00CE576D" w:rsidRDefault="00CE576D">
      <w:pPr>
        <w:spacing w:after="120"/>
        <w:ind w:left="426" w:right="260"/>
        <w:jc w:val="both"/>
        <w:rPr>
          <w:rFonts w:ascii="Arial" w:eastAsia="Arial" w:hAnsi="Arial" w:cs="Arial"/>
          <w:i/>
        </w:rPr>
      </w:pPr>
    </w:p>
    <w:p w14:paraId="34CA3E09" w14:textId="77777777" w:rsidR="00CE576D" w:rsidRDefault="00E61E05">
      <w:pPr>
        <w:numPr>
          <w:ilvl w:val="0"/>
          <w:numId w:val="3"/>
        </w:numPr>
        <w:spacing w:after="120"/>
        <w:ind w:left="567" w:right="260" w:hanging="567"/>
        <w:jc w:val="both"/>
        <w:rPr>
          <w:rFonts w:ascii="Arial" w:eastAsia="Arial" w:hAnsi="Arial" w:cs="Arial"/>
          <w:i/>
        </w:rPr>
      </w:pPr>
      <w:r>
        <w:rPr>
          <w:rFonts w:ascii="Arial" w:eastAsia="Arial" w:hAnsi="Arial" w:cs="Arial"/>
          <w:b/>
        </w:rPr>
        <w:t>Assessment methods</w:t>
      </w:r>
    </w:p>
    <w:p w14:paraId="4DBA9FEF" w14:textId="77777777" w:rsidR="00CE576D" w:rsidRDefault="00E61E05">
      <w:pPr>
        <w:numPr>
          <w:ilvl w:val="1"/>
          <w:numId w:val="2"/>
        </w:numPr>
        <w:pBdr>
          <w:top w:val="nil"/>
          <w:left w:val="nil"/>
          <w:bottom w:val="nil"/>
          <w:right w:val="nil"/>
          <w:between w:val="nil"/>
        </w:pBdr>
        <w:spacing w:after="120"/>
        <w:ind w:left="567" w:right="260" w:hanging="567"/>
        <w:jc w:val="both"/>
        <w:rPr>
          <w:rFonts w:ascii="Arial" w:eastAsia="Arial" w:hAnsi="Arial" w:cs="Arial"/>
          <w:color w:val="000000"/>
        </w:rPr>
      </w:pPr>
      <w:r>
        <w:rPr>
          <w:rFonts w:ascii="Arial" w:eastAsia="Arial" w:hAnsi="Arial" w:cs="Arial"/>
          <w:color w:val="000000"/>
        </w:rPr>
        <w:t>Main assessment methods</w:t>
      </w:r>
    </w:p>
    <w:p w14:paraId="0B96644D" w14:textId="77777777" w:rsidR="00CE576D" w:rsidRDefault="00E61E05">
      <w:pPr>
        <w:spacing w:after="120"/>
        <w:ind w:left="567" w:right="260"/>
        <w:jc w:val="both"/>
        <w:rPr>
          <w:rFonts w:ascii="Arial" w:eastAsia="Arial" w:hAnsi="Arial" w:cs="Arial"/>
          <w:b/>
        </w:rPr>
      </w:pPr>
      <w:r>
        <w:rPr>
          <w:rFonts w:ascii="Arial" w:eastAsia="Arial" w:hAnsi="Arial" w:cs="Arial"/>
        </w:rPr>
        <w:t>Coursework -portfolio – Pass / Fail - 100%</w:t>
      </w:r>
    </w:p>
    <w:p w14:paraId="23929499" w14:textId="77777777" w:rsidR="00CE576D" w:rsidRDefault="00CE576D">
      <w:pPr>
        <w:spacing w:after="120"/>
        <w:ind w:left="426" w:right="260"/>
        <w:jc w:val="both"/>
        <w:rPr>
          <w:rFonts w:ascii="Arial" w:eastAsia="Arial" w:hAnsi="Arial" w:cs="Arial"/>
          <w:b/>
          <w:i/>
        </w:rPr>
      </w:pPr>
    </w:p>
    <w:p w14:paraId="495B7504" w14:textId="77777777" w:rsidR="00CE576D" w:rsidRDefault="00E61E05">
      <w:pPr>
        <w:spacing w:after="120"/>
        <w:ind w:left="567" w:right="260" w:hanging="567"/>
        <w:jc w:val="both"/>
        <w:rPr>
          <w:rFonts w:ascii="Arial" w:eastAsia="Arial" w:hAnsi="Arial" w:cs="Arial"/>
        </w:rPr>
      </w:pPr>
      <w:r>
        <w:rPr>
          <w:rFonts w:ascii="Arial" w:eastAsia="Arial" w:hAnsi="Arial" w:cs="Arial"/>
        </w:rPr>
        <w:t>13.2</w:t>
      </w:r>
      <w:r>
        <w:rPr>
          <w:rFonts w:ascii="Arial" w:eastAsia="Arial" w:hAnsi="Arial" w:cs="Arial"/>
        </w:rPr>
        <w:tab/>
      </w:r>
      <w:r>
        <w:rPr>
          <w:rFonts w:ascii="Arial" w:eastAsia="Arial" w:hAnsi="Arial" w:cs="Arial"/>
        </w:rPr>
        <w:t xml:space="preserve">Reassessment methods </w:t>
      </w:r>
    </w:p>
    <w:p w14:paraId="54A50693" w14:textId="77777777" w:rsidR="00CE576D" w:rsidRDefault="00E61E05">
      <w:pPr>
        <w:spacing w:after="120"/>
        <w:ind w:left="567" w:right="260"/>
        <w:jc w:val="both"/>
        <w:rPr>
          <w:rFonts w:ascii="Arial" w:eastAsia="Arial" w:hAnsi="Arial" w:cs="Arial"/>
          <w:b/>
        </w:rPr>
      </w:pPr>
      <w:r>
        <w:rPr>
          <w:rFonts w:ascii="Arial" w:eastAsia="Arial" w:hAnsi="Arial" w:cs="Arial"/>
        </w:rPr>
        <w:t>Reassessment instrument - Like-for-like</w:t>
      </w:r>
    </w:p>
    <w:p w14:paraId="59FA135C" w14:textId="77777777" w:rsidR="00CE576D" w:rsidRDefault="00CE576D">
      <w:pPr>
        <w:spacing w:after="120"/>
        <w:ind w:left="426" w:right="260"/>
        <w:jc w:val="both"/>
        <w:rPr>
          <w:rFonts w:ascii="Arial" w:eastAsia="Arial" w:hAnsi="Arial" w:cs="Arial"/>
          <w:b/>
          <w:i/>
        </w:rPr>
      </w:pPr>
    </w:p>
    <w:p w14:paraId="69C5A815"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Map of module learning outcomes (sections 8 &amp; 9) to learning and teaching methods (section 12) and methods of assessment (section 13)</w:t>
      </w:r>
    </w:p>
    <w:p w14:paraId="5ECE0A8A" w14:textId="77777777" w:rsidR="00CE576D" w:rsidRDefault="00CE576D">
      <w:pPr>
        <w:spacing w:after="120"/>
        <w:ind w:left="567" w:right="260"/>
        <w:jc w:val="both"/>
        <w:rPr>
          <w:rFonts w:ascii="Arial" w:eastAsia="Arial" w:hAnsi="Arial" w:cs="Arial"/>
          <w:i/>
        </w:rPr>
      </w:pPr>
    </w:p>
    <w:tbl>
      <w:tblPr>
        <w:tblStyle w:val="a"/>
        <w:tblW w:w="896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30"/>
        <w:gridCol w:w="602"/>
        <w:gridCol w:w="603"/>
        <w:gridCol w:w="602"/>
        <w:gridCol w:w="603"/>
        <w:gridCol w:w="602"/>
        <w:gridCol w:w="603"/>
        <w:gridCol w:w="602"/>
        <w:gridCol w:w="603"/>
        <w:gridCol w:w="602"/>
        <w:gridCol w:w="603"/>
        <w:gridCol w:w="602"/>
        <w:gridCol w:w="603"/>
      </w:tblGrid>
      <w:tr w:rsidR="00CE576D" w14:paraId="4F31EB16" w14:textId="77777777">
        <w:trPr>
          <w:jc w:val="center"/>
        </w:trPr>
        <w:tc>
          <w:tcPr>
            <w:tcW w:w="1730" w:type="dxa"/>
            <w:shd w:val="clear" w:color="auto" w:fill="D9D9D9"/>
          </w:tcPr>
          <w:p w14:paraId="217732F7" w14:textId="77777777" w:rsidR="00CE576D" w:rsidRDefault="00E61E05">
            <w:pPr>
              <w:spacing w:after="120" w:line="276" w:lineRule="auto"/>
              <w:jc w:val="both"/>
              <w:rPr>
                <w:rFonts w:ascii="Arial" w:eastAsia="Arial" w:hAnsi="Arial" w:cs="Arial"/>
                <w:b/>
              </w:rPr>
            </w:pPr>
            <w:r>
              <w:rPr>
                <w:rFonts w:ascii="Arial" w:eastAsia="Arial" w:hAnsi="Arial" w:cs="Arial"/>
                <w:b/>
              </w:rPr>
              <w:t>Module learning outcome</w:t>
            </w:r>
          </w:p>
        </w:tc>
        <w:tc>
          <w:tcPr>
            <w:tcW w:w="602" w:type="dxa"/>
          </w:tcPr>
          <w:p w14:paraId="74EAF79B" w14:textId="77777777" w:rsidR="00CE576D" w:rsidRDefault="00E61E05">
            <w:pPr>
              <w:spacing w:after="120" w:line="276" w:lineRule="auto"/>
              <w:jc w:val="center"/>
              <w:rPr>
                <w:rFonts w:ascii="Arial" w:eastAsia="Arial" w:hAnsi="Arial" w:cs="Arial"/>
              </w:rPr>
            </w:pPr>
            <w:r>
              <w:rPr>
                <w:rFonts w:ascii="Arial" w:eastAsia="Arial" w:hAnsi="Arial" w:cs="Arial"/>
              </w:rPr>
              <w:t>8.1</w:t>
            </w:r>
          </w:p>
        </w:tc>
        <w:tc>
          <w:tcPr>
            <w:tcW w:w="603" w:type="dxa"/>
          </w:tcPr>
          <w:p w14:paraId="7529F941" w14:textId="77777777" w:rsidR="00CE576D" w:rsidRDefault="00E61E05">
            <w:pPr>
              <w:spacing w:after="120" w:line="276" w:lineRule="auto"/>
              <w:jc w:val="center"/>
              <w:rPr>
                <w:rFonts w:ascii="Arial" w:eastAsia="Arial" w:hAnsi="Arial" w:cs="Arial"/>
              </w:rPr>
            </w:pPr>
            <w:r>
              <w:rPr>
                <w:rFonts w:ascii="Arial" w:eastAsia="Arial" w:hAnsi="Arial" w:cs="Arial"/>
              </w:rPr>
              <w:t>8.2</w:t>
            </w:r>
          </w:p>
        </w:tc>
        <w:tc>
          <w:tcPr>
            <w:tcW w:w="602" w:type="dxa"/>
          </w:tcPr>
          <w:p w14:paraId="664C2DDE" w14:textId="77777777" w:rsidR="00CE576D" w:rsidRDefault="00E61E05">
            <w:pPr>
              <w:spacing w:after="120" w:line="276" w:lineRule="auto"/>
              <w:jc w:val="center"/>
              <w:rPr>
                <w:rFonts w:ascii="Arial" w:eastAsia="Arial" w:hAnsi="Arial" w:cs="Arial"/>
              </w:rPr>
            </w:pPr>
            <w:r>
              <w:rPr>
                <w:rFonts w:ascii="Arial" w:eastAsia="Arial" w:hAnsi="Arial" w:cs="Arial"/>
              </w:rPr>
              <w:t>8.3</w:t>
            </w:r>
          </w:p>
        </w:tc>
        <w:tc>
          <w:tcPr>
            <w:tcW w:w="603" w:type="dxa"/>
          </w:tcPr>
          <w:p w14:paraId="13889636" w14:textId="77777777" w:rsidR="00CE576D" w:rsidRDefault="00E61E05">
            <w:pPr>
              <w:spacing w:after="120" w:line="276" w:lineRule="auto"/>
              <w:jc w:val="center"/>
              <w:rPr>
                <w:rFonts w:ascii="Arial" w:eastAsia="Arial" w:hAnsi="Arial" w:cs="Arial"/>
              </w:rPr>
            </w:pPr>
            <w:r>
              <w:rPr>
                <w:rFonts w:ascii="Arial" w:eastAsia="Arial" w:hAnsi="Arial" w:cs="Arial"/>
              </w:rPr>
              <w:t>8.4</w:t>
            </w:r>
          </w:p>
        </w:tc>
        <w:tc>
          <w:tcPr>
            <w:tcW w:w="602" w:type="dxa"/>
          </w:tcPr>
          <w:p w14:paraId="79F7530E" w14:textId="77777777" w:rsidR="00CE576D" w:rsidRDefault="00E61E05">
            <w:pPr>
              <w:spacing w:after="120" w:line="276" w:lineRule="auto"/>
              <w:jc w:val="center"/>
              <w:rPr>
                <w:rFonts w:ascii="Arial" w:eastAsia="Arial" w:hAnsi="Arial" w:cs="Arial"/>
              </w:rPr>
            </w:pPr>
            <w:r>
              <w:rPr>
                <w:rFonts w:ascii="Arial" w:eastAsia="Arial" w:hAnsi="Arial" w:cs="Arial"/>
              </w:rPr>
              <w:t>8.5</w:t>
            </w:r>
          </w:p>
        </w:tc>
        <w:tc>
          <w:tcPr>
            <w:tcW w:w="603" w:type="dxa"/>
          </w:tcPr>
          <w:p w14:paraId="203A3E31" w14:textId="77777777" w:rsidR="00CE576D" w:rsidRDefault="00E61E05">
            <w:pPr>
              <w:spacing w:after="120" w:line="276" w:lineRule="auto"/>
              <w:jc w:val="center"/>
              <w:rPr>
                <w:rFonts w:ascii="Arial" w:eastAsia="Arial" w:hAnsi="Arial" w:cs="Arial"/>
              </w:rPr>
            </w:pPr>
            <w:r>
              <w:rPr>
                <w:rFonts w:ascii="Arial" w:eastAsia="Arial" w:hAnsi="Arial" w:cs="Arial"/>
              </w:rPr>
              <w:t>8.6</w:t>
            </w:r>
          </w:p>
        </w:tc>
        <w:tc>
          <w:tcPr>
            <w:tcW w:w="602" w:type="dxa"/>
          </w:tcPr>
          <w:p w14:paraId="7570AC3F" w14:textId="77777777" w:rsidR="00CE576D" w:rsidRDefault="00E61E05">
            <w:pPr>
              <w:spacing w:after="120" w:line="276" w:lineRule="auto"/>
              <w:jc w:val="center"/>
              <w:rPr>
                <w:rFonts w:ascii="Arial" w:eastAsia="Arial" w:hAnsi="Arial" w:cs="Arial"/>
              </w:rPr>
            </w:pPr>
            <w:r>
              <w:rPr>
                <w:rFonts w:ascii="Arial" w:eastAsia="Arial" w:hAnsi="Arial" w:cs="Arial"/>
              </w:rPr>
              <w:t>8.7</w:t>
            </w:r>
          </w:p>
        </w:tc>
        <w:tc>
          <w:tcPr>
            <w:tcW w:w="603" w:type="dxa"/>
          </w:tcPr>
          <w:p w14:paraId="7E8CF3E7" w14:textId="77777777" w:rsidR="00CE576D" w:rsidRDefault="00E61E05">
            <w:pPr>
              <w:spacing w:after="120" w:line="276" w:lineRule="auto"/>
              <w:jc w:val="center"/>
              <w:rPr>
                <w:rFonts w:ascii="Arial" w:eastAsia="Arial" w:hAnsi="Arial" w:cs="Arial"/>
              </w:rPr>
            </w:pPr>
            <w:r>
              <w:rPr>
                <w:rFonts w:ascii="Arial" w:eastAsia="Arial" w:hAnsi="Arial" w:cs="Arial"/>
              </w:rPr>
              <w:t>8.8</w:t>
            </w:r>
          </w:p>
        </w:tc>
        <w:tc>
          <w:tcPr>
            <w:tcW w:w="602" w:type="dxa"/>
          </w:tcPr>
          <w:p w14:paraId="0075F16A" w14:textId="77777777" w:rsidR="00CE576D" w:rsidRDefault="00E61E05">
            <w:pPr>
              <w:spacing w:after="120" w:line="276" w:lineRule="auto"/>
              <w:jc w:val="center"/>
              <w:rPr>
                <w:rFonts w:ascii="Arial" w:eastAsia="Arial" w:hAnsi="Arial" w:cs="Arial"/>
              </w:rPr>
            </w:pPr>
            <w:r>
              <w:rPr>
                <w:rFonts w:ascii="Arial" w:eastAsia="Arial" w:hAnsi="Arial" w:cs="Arial"/>
              </w:rPr>
              <w:t>8.9</w:t>
            </w:r>
          </w:p>
        </w:tc>
        <w:tc>
          <w:tcPr>
            <w:tcW w:w="603" w:type="dxa"/>
          </w:tcPr>
          <w:p w14:paraId="47BB12CD" w14:textId="77777777" w:rsidR="00CE576D" w:rsidRDefault="00E61E05">
            <w:pPr>
              <w:spacing w:after="120" w:line="276" w:lineRule="auto"/>
              <w:jc w:val="center"/>
              <w:rPr>
                <w:rFonts w:ascii="Arial" w:eastAsia="Arial" w:hAnsi="Arial" w:cs="Arial"/>
              </w:rPr>
            </w:pPr>
            <w:r>
              <w:rPr>
                <w:rFonts w:ascii="Arial" w:eastAsia="Arial" w:hAnsi="Arial" w:cs="Arial"/>
              </w:rPr>
              <w:t>9.1</w:t>
            </w:r>
          </w:p>
        </w:tc>
        <w:tc>
          <w:tcPr>
            <w:tcW w:w="602" w:type="dxa"/>
          </w:tcPr>
          <w:p w14:paraId="6ECD0B27" w14:textId="77777777" w:rsidR="00CE576D" w:rsidRDefault="00E61E05">
            <w:pPr>
              <w:spacing w:after="120" w:line="276" w:lineRule="auto"/>
              <w:jc w:val="center"/>
              <w:rPr>
                <w:rFonts w:ascii="Arial" w:eastAsia="Arial" w:hAnsi="Arial" w:cs="Arial"/>
              </w:rPr>
            </w:pPr>
            <w:r>
              <w:rPr>
                <w:rFonts w:ascii="Arial" w:eastAsia="Arial" w:hAnsi="Arial" w:cs="Arial"/>
              </w:rPr>
              <w:t>9.2</w:t>
            </w:r>
          </w:p>
        </w:tc>
        <w:tc>
          <w:tcPr>
            <w:tcW w:w="603" w:type="dxa"/>
          </w:tcPr>
          <w:p w14:paraId="4B31C3D0" w14:textId="77777777" w:rsidR="00CE576D" w:rsidRDefault="00E61E05">
            <w:pPr>
              <w:spacing w:after="120" w:line="276" w:lineRule="auto"/>
              <w:jc w:val="center"/>
              <w:rPr>
                <w:rFonts w:ascii="Arial" w:eastAsia="Arial" w:hAnsi="Arial" w:cs="Arial"/>
              </w:rPr>
            </w:pPr>
            <w:r>
              <w:rPr>
                <w:rFonts w:ascii="Arial" w:eastAsia="Arial" w:hAnsi="Arial" w:cs="Arial"/>
              </w:rPr>
              <w:t>9.3</w:t>
            </w:r>
          </w:p>
        </w:tc>
      </w:tr>
      <w:tr w:rsidR="00CE576D" w14:paraId="786E0B0A" w14:textId="77777777">
        <w:trPr>
          <w:jc w:val="center"/>
        </w:trPr>
        <w:tc>
          <w:tcPr>
            <w:tcW w:w="1730" w:type="dxa"/>
            <w:shd w:val="clear" w:color="auto" w:fill="D9D9D9"/>
          </w:tcPr>
          <w:p w14:paraId="491493BE" w14:textId="77777777" w:rsidR="00CE576D" w:rsidRDefault="00E61E05">
            <w:pPr>
              <w:spacing w:after="120" w:line="276" w:lineRule="auto"/>
              <w:jc w:val="both"/>
              <w:rPr>
                <w:rFonts w:ascii="Arial" w:eastAsia="Arial" w:hAnsi="Arial" w:cs="Arial"/>
                <w:b/>
              </w:rPr>
            </w:pPr>
            <w:r>
              <w:rPr>
                <w:rFonts w:ascii="Arial" w:eastAsia="Arial" w:hAnsi="Arial" w:cs="Arial"/>
                <w:b/>
              </w:rPr>
              <w:t>Learning/ teaching method</w:t>
            </w:r>
          </w:p>
        </w:tc>
        <w:tc>
          <w:tcPr>
            <w:tcW w:w="602" w:type="dxa"/>
          </w:tcPr>
          <w:p w14:paraId="3574B751" w14:textId="77777777" w:rsidR="00CE576D" w:rsidRDefault="00CE576D">
            <w:pPr>
              <w:spacing w:after="120" w:line="276" w:lineRule="auto"/>
              <w:jc w:val="center"/>
              <w:rPr>
                <w:rFonts w:ascii="Arial" w:eastAsia="Arial" w:hAnsi="Arial" w:cs="Arial"/>
              </w:rPr>
            </w:pPr>
          </w:p>
        </w:tc>
        <w:tc>
          <w:tcPr>
            <w:tcW w:w="603" w:type="dxa"/>
          </w:tcPr>
          <w:p w14:paraId="59A9695A" w14:textId="77777777" w:rsidR="00CE576D" w:rsidRDefault="00CE576D">
            <w:pPr>
              <w:spacing w:after="120" w:line="276" w:lineRule="auto"/>
              <w:jc w:val="center"/>
              <w:rPr>
                <w:rFonts w:ascii="Arial" w:eastAsia="Arial" w:hAnsi="Arial" w:cs="Arial"/>
              </w:rPr>
            </w:pPr>
          </w:p>
        </w:tc>
        <w:tc>
          <w:tcPr>
            <w:tcW w:w="602" w:type="dxa"/>
          </w:tcPr>
          <w:p w14:paraId="533B941C" w14:textId="77777777" w:rsidR="00CE576D" w:rsidRDefault="00CE576D">
            <w:pPr>
              <w:spacing w:after="120" w:line="276" w:lineRule="auto"/>
              <w:jc w:val="center"/>
              <w:rPr>
                <w:rFonts w:ascii="Arial" w:eastAsia="Arial" w:hAnsi="Arial" w:cs="Arial"/>
              </w:rPr>
            </w:pPr>
          </w:p>
        </w:tc>
        <w:tc>
          <w:tcPr>
            <w:tcW w:w="603" w:type="dxa"/>
          </w:tcPr>
          <w:p w14:paraId="2FADDE06" w14:textId="77777777" w:rsidR="00CE576D" w:rsidRDefault="00CE576D">
            <w:pPr>
              <w:spacing w:after="120" w:line="276" w:lineRule="auto"/>
              <w:jc w:val="center"/>
              <w:rPr>
                <w:rFonts w:ascii="Arial" w:eastAsia="Arial" w:hAnsi="Arial" w:cs="Arial"/>
              </w:rPr>
            </w:pPr>
          </w:p>
        </w:tc>
        <w:tc>
          <w:tcPr>
            <w:tcW w:w="602" w:type="dxa"/>
          </w:tcPr>
          <w:p w14:paraId="3C2B5C94" w14:textId="77777777" w:rsidR="00CE576D" w:rsidRDefault="00CE576D">
            <w:pPr>
              <w:spacing w:after="120" w:line="276" w:lineRule="auto"/>
              <w:jc w:val="center"/>
              <w:rPr>
                <w:rFonts w:ascii="Arial" w:eastAsia="Arial" w:hAnsi="Arial" w:cs="Arial"/>
              </w:rPr>
            </w:pPr>
          </w:p>
        </w:tc>
        <w:tc>
          <w:tcPr>
            <w:tcW w:w="603" w:type="dxa"/>
          </w:tcPr>
          <w:p w14:paraId="668B6FC8" w14:textId="77777777" w:rsidR="00CE576D" w:rsidRDefault="00CE576D">
            <w:pPr>
              <w:spacing w:after="120" w:line="276" w:lineRule="auto"/>
              <w:jc w:val="center"/>
              <w:rPr>
                <w:rFonts w:ascii="Arial" w:eastAsia="Arial" w:hAnsi="Arial" w:cs="Arial"/>
              </w:rPr>
            </w:pPr>
          </w:p>
        </w:tc>
        <w:tc>
          <w:tcPr>
            <w:tcW w:w="602" w:type="dxa"/>
          </w:tcPr>
          <w:p w14:paraId="0E4C3994" w14:textId="77777777" w:rsidR="00CE576D" w:rsidRDefault="00CE576D">
            <w:pPr>
              <w:spacing w:after="120" w:line="276" w:lineRule="auto"/>
              <w:jc w:val="center"/>
              <w:rPr>
                <w:rFonts w:ascii="Arial" w:eastAsia="Arial" w:hAnsi="Arial" w:cs="Arial"/>
              </w:rPr>
            </w:pPr>
          </w:p>
        </w:tc>
        <w:tc>
          <w:tcPr>
            <w:tcW w:w="603" w:type="dxa"/>
          </w:tcPr>
          <w:p w14:paraId="1D49A827" w14:textId="77777777" w:rsidR="00CE576D" w:rsidRDefault="00CE576D">
            <w:pPr>
              <w:spacing w:after="120" w:line="276" w:lineRule="auto"/>
              <w:jc w:val="center"/>
              <w:rPr>
                <w:rFonts w:ascii="Arial" w:eastAsia="Arial" w:hAnsi="Arial" w:cs="Arial"/>
              </w:rPr>
            </w:pPr>
          </w:p>
        </w:tc>
        <w:tc>
          <w:tcPr>
            <w:tcW w:w="602" w:type="dxa"/>
          </w:tcPr>
          <w:p w14:paraId="2DC49B4A" w14:textId="77777777" w:rsidR="00CE576D" w:rsidRDefault="00CE576D">
            <w:pPr>
              <w:spacing w:after="120" w:line="276" w:lineRule="auto"/>
              <w:jc w:val="center"/>
              <w:rPr>
                <w:rFonts w:ascii="Arial" w:eastAsia="Arial" w:hAnsi="Arial" w:cs="Arial"/>
              </w:rPr>
            </w:pPr>
          </w:p>
        </w:tc>
        <w:tc>
          <w:tcPr>
            <w:tcW w:w="603" w:type="dxa"/>
          </w:tcPr>
          <w:p w14:paraId="6A86256B" w14:textId="77777777" w:rsidR="00CE576D" w:rsidRDefault="00CE576D">
            <w:pPr>
              <w:spacing w:after="120" w:line="276" w:lineRule="auto"/>
              <w:jc w:val="center"/>
              <w:rPr>
                <w:rFonts w:ascii="Arial" w:eastAsia="Arial" w:hAnsi="Arial" w:cs="Arial"/>
              </w:rPr>
            </w:pPr>
          </w:p>
        </w:tc>
        <w:tc>
          <w:tcPr>
            <w:tcW w:w="602" w:type="dxa"/>
          </w:tcPr>
          <w:p w14:paraId="37567B46" w14:textId="77777777" w:rsidR="00CE576D" w:rsidRDefault="00CE576D">
            <w:pPr>
              <w:spacing w:after="120" w:line="276" w:lineRule="auto"/>
              <w:jc w:val="center"/>
              <w:rPr>
                <w:rFonts w:ascii="Arial" w:eastAsia="Arial" w:hAnsi="Arial" w:cs="Arial"/>
              </w:rPr>
            </w:pPr>
          </w:p>
        </w:tc>
        <w:tc>
          <w:tcPr>
            <w:tcW w:w="603" w:type="dxa"/>
          </w:tcPr>
          <w:p w14:paraId="0BC3FA82" w14:textId="77777777" w:rsidR="00CE576D" w:rsidRDefault="00CE576D">
            <w:pPr>
              <w:spacing w:after="120" w:line="276" w:lineRule="auto"/>
              <w:jc w:val="center"/>
              <w:rPr>
                <w:rFonts w:ascii="Arial" w:eastAsia="Arial" w:hAnsi="Arial" w:cs="Arial"/>
              </w:rPr>
            </w:pPr>
          </w:p>
        </w:tc>
      </w:tr>
      <w:tr w:rsidR="00CE576D" w14:paraId="22211907" w14:textId="77777777">
        <w:trPr>
          <w:jc w:val="center"/>
        </w:trPr>
        <w:tc>
          <w:tcPr>
            <w:tcW w:w="1730" w:type="dxa"/>
          </w:tcPr>
          <w:p w14:paraId="30AA7937" w14:textId="77777777" w:rsidR="00CE576D" w:rsidRDefault="00E61E05">
            <w:pPr>
              <w:spacing w:after="120" w:line="276" w:lineRule="auto"/>
              <w:jc w:val="both"/>
              <w:rPr>
                <w:rFonts w:ascii="Arial" w:eastAsia="Arial" w:hAnsi="Arial" w:cs="Arial"/>
              </w:rPr>
            </w:pPr>
            <w:r>
              <w:rPr>
                <w:rFonts w:ascii="Arial" w:eastAsia="Arial" w:hAnsi="Arial" w:cs="Arial"/>
              </w:rPr>
              <w:t>Private Study</w:t>
            </w:r>
          </w:p>
        </w:tc>
        <w:tc>
          <w:tcPr>
            <w:tcW w:w="602" w:type="dxa"/>
          </w:tcPr>
          <w:p w14:paraId="16F9131E" w14:textId="77777777" w:rsidR="00CE576D" w:rsidRDefault="00CE576D">
            <w:pPr>
              <w:spacing w:after="120" w:line="276" w:lineRule="auto"/>
              <w:jc w:val="center"/>
              <w:rPr>
                <w:rFonts w:ascii="Arial" w:eastAsia="Arial" w:hAnsi="Arial" w:cs="Arial"/>
              </w:rPr>
            </w:pPr>
          </w:p>
        </w:tc>
        <w:tc>
          <w:tcPr>
            <w:tcW w:w="603" w:type="dxa"/>
          </w:tcPr>
          <w:p w14:paraId="6C5F1B18" w14:textId="77777777" w:rsidR="00CE576D" w:rsidRDefault="00CE576D">
            <w:pPr>
              <w:spacing w:after="120" w:line="276" w:lineRule="auto"/>
              <w:jc w:val="center"/>
              <w:rPr>
                <w:rFonts w:ascii="Arial" w:eastAsia="Arial" w:hAnsi="Arial" w:cs="Arial"/>
              </w:rPr>
            </w:pPr>
          </w:p>
        </w:tc>
        <w:tc>
          <w:tcPr>
            <w:tcW w:w="602" w:type="dxa"/>
          </w:tcPr>
          <w:p w14:paraId="179F6693"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592EDCCF"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75D9CF02"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3FE76973"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2BC54602" w14:textId="77777777" w:rsidR="00CE576D" w:rsidRDefault="00CE576D">
            <w:pPr>
              <w:spacing w:after="120" w:line="276" w:lineRule="auto"/>
              <w:jc w:val="center"/>
              <w:rPr>
                <w:rFonts w:ascii="Arial" w:eastAsia="Arial" w:hAnsi="Arial" w:cs="Arial"/>
              </w:rPr>
            </w:pPr>
          </w:p>
        </w:tc>
        <w:tc>
          <w:tcPr>
            <w:tcW w:w="603" w:type="dxa"/>
          </w:tcPr>
          <w:p w14:paraId="4A1B7D6A"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1BA71850" w14:textId="77777777" w:rsidR="00CE576D" w:rsidRDefault="00CE576D">
            <w:pPr>
              <w:spacing w:after="120" w:line="276" w:lineRule="auto"/>
              <w:jc w:val="center"/>
              <w:rPr>
                <w:rFonts w:ascii="Arial" w:eastAsia="Arial" w:hAnsi="Arial" w:cs="Arial"/>
              </w:rPr>
            </w:pPr>
          </w:p>
        </w:tc>
        <w:tc>
          <w:tcPr>
            <w:tcW w:w="603" w:type="dxa"/>
          </w:tcPr>
          <w:p w14:paraId="745C6F81" w14:textId="77777777" w:rsidR="00CE576D" w:rsidRDefault="00CE576D">
            <w:pPr>
              <w:spacing w:after="120" w:line="276" w:lineRule="auto"/>
              <w:jc w:val="center"/>
              <w:rPr>
                <w:rFonts w:ascii="Arial" w:eastAsia="Arial" w:hAnsi="Arial" w:cs="Arial"/>
              </w:rPr>
            </w:pPr>
          </w:p>
        </w:tc>
        <w:tc>
          <w:tcPr>
            <w:tcW w:w="602" w:type="dxa"/>
          </w:tcPr>
          <w:p w14:paraId="192E9BC8" w14:textId="77777777" w:rsidR="00CE576D" w:rsidRDefault="00CE576D">
            <w:pPr>
              <w:spacing w:after="120" w:line="276" w:lineRule="auto"/>
              <w:jc w:val="center"/>
              <w:rPr>
                <w:rFonts w:ascii="Arial" w:eastAsia="Arial" w:hAnsi="Arial" w:cs="Arial"/>
              </w:rPr>
            </w:pPr>
          </w:p>
        </w:tc>
        <w:tc>
          <w:tcPr>
            <w:tcW w:w="603" w:type="dxa"/>
          </w:tcPr>
          <w:p w14:paraId="2C1AFB22" w14:textId="77777777" w:rsidR="00CE576D" w:rsidRDefault="00CE576D">
            <w:pPr>
              <w:spacing w:after="120" w:line="276" w:lineRule="auto"/>
              <w:jc w:val="center"/>
              <w:rPr>
                <w:rFonts w:ascii="Arial" w:eastAsia="Arial" w:hAnsi="Arial" w:cs="Arial"/>
              </w:rPr>
            </w:pPr>
          </w:p>
        </w:tc>
      </w:tr>
      <w:tr w:rsidR="00CE576D" w14:paraId="5F8C6D5D" w14:textId="77777777">
        <w:trPr>
          <w:jc w:val="center"/>
        </w:trPr>
        <w:tc>
          <w:tcPr>
            <w:tcW w:w="1730" w:type="dxa"/>
          </w:tcPr>
          <w:p w14:paraId="6AC9D491" w14:textId="77777777" w:rsidR="00CE576D" w:rsidRDefault="00E61E05">
            <w:pPr>
              <w:spacing w:after="120" w:line="276" w:lineRule="auto"/>
              <w:jc w:val="both"/>
              <w:rPr>
                <w:rFonts w:ascii="Arial" w:eastAsia="Arial" w:hAnsi="Arial" w:cs="Arial"/>
              </w:rPr>
            </w:pPr>
            <w:r>
              <w:rPr>
                <w:rFonts w:ascii="Arial" w:eastAsia="Arial" w:hAnsi="Arial" w:cs="Arial"/>
              </w:rPr>
              <w:t>Practice learning</w:t>
            </w:r>
          </w:p>
        </w:tc>
        <w:tc>
          <w:tcPr>
            <w:tcW w:w="602" w:type="dxa"/>
          </w:tcPr>
          <w:p w14:paraId="5BECB343"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22A60375"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55DF6B7B"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772B2E90"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4EA64532"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5BB964CE"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725D2446"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7A4591C7"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59F68557"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616632CB"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28B78DEF"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24CCCACA" w14:textId="77777777" w:rsidR="00CE576D" w:rsidRDefault="00E61E05">
            <w:pPr>
              <w:spacing w:after="120" w:line="276" w:lineRule="auto"/>
              <w:jc w:val="center"/>
              <w:rPr>
                <w:rFonts w:ascii="Arial" w:eastAsia="Arial" w:hAnsi="Arial" w:cs="Arial"/>
              </w:rPr>
            </w:pPr>
            <w:r>
              <w:rPr>
                <w:rFonts w:ascii="Arial" w:eastAsia="Arial" w:hAnsi="Arial" w:cs="Arial"/>
              </w:rPr>
              <w:t>X</w:t>
            </w:r>
          </w:p>
        </w:tc>
      </w:tr>
      <w:tr w:rsidR="00CE576D" w14:paraId="477C8953" w14:textId="77777777">
        <w:trPr>
          <w:jc w:val="center"/>
        </w:trPr>
        <w:tc>
          <w:tcPr>
            <w:tcW w:w="1730" w:type="dxa"/>
            <w:shd w:val="clear" w:color="auto" w:fill="D9D9D9"/>
          </w:tcPr>
          <w:p w14:paraId="294C7BA7" w14:textId="77777777" w:rsidR="00CE576D" w:rsidRDefault="00E61E05">
            <w:pPr>
              <w:spacing w:after="120" w:line="276" w:lineRule="auto"/>
              <w:jc w:val="both"/>
              <w:rPr>
                <w:rFonts w:ascii="Arial" w:eastAsia="Arial" w:hAnsi="Arial" w:cs="Arial"/>
                <w:b/>
              </w:rPr>
            </w:pPr>
            <w:r>
              <w:rPr>
                <w:rFonts w:ascii="Arial" w:eastAsia="Arial" w:hAnsi="Arial" w:cs="Arial"/>
                <w:b/>
              </w:rPr>
              <w:t>Assessment method</w:t>
            </w:r>
          </w:p>
        </w:tc>
        <w:tc>
          <w:tcPr>
            <w:tcW w:w="602" w:type="dxa"/>
          </w:tcPr>
          <w:p w14:paraId="76307A99" w14:textId="77777777" w:rsidR="00CE576D" w:rsidRDefault="00CE576D">
            <w:pPr>
              <w:spacing w:after="120" w:line="276" w:lineRule="auto"/>
              <w:jc w:val="center"/>
              <w:rPr>
                <w:rFonts w:ascii="Arial" w:eastAsia="Arial" w:hAnsi="Arial" w:cs="Arial"/>
              </w:rPr>
            </w:pPr>
          </w:p>
        </w:tc>
        <w:tc>
          <w:tcPr>
            <w:tcW w:w="603" w:type="dxa"/>
          </w:tcPr>
          <w:p w14:paraId="3CDC43FB" w14:textId="77777777" w:rsidR="00CE576D" w:rsidRDefault="00CE576D">
            <w:pPr>
              <w:spacing w:after="120" w:line="276" w:lineRule="auto"/>
              <w:jc w:val="center"/>
              <w:rPr>
                <w:rFonts w:ascii="Arial" w:eastAsia="Arial" w:hAnsi="Arial" w:cs="Arial"/>
              </w:rPr>
            </w:pPr>
          </w:p>
        </w:tc>
        <w:tc>
          <w:tcPr>
            <w:tcW w:w="602" w:type="dxa"/>
          </w:tcPr>
          <w:p w14:paraId="6928CC86" w14:textId="77777777" w:rsidR="00CE576D" w:rsidRDefault="00CE576D">
            <w:pPr>
              <w:spacing w:after="120" w:line="276" w:lineRule="auto"/>
              <w:jc w:val="center"/>
              <w:rPr>
                <w:rFonts w:ascii="Arial" w:eastAsia="Arial" w:hAnsi="Arial" w:cs="Arial"/>
              </w:rPr>
            </w:pPr>
          </w:p>
        </w:tc>
        <w:tc>
          <w:tcPr>
            <w:tcW w:w="603" w:type="dxa"/>
          </w:tcPr>
          <w:p w14:paraId="5D3B1070" w14:textId="77777777" w:rsidR="00CE576D" w:rsidRDefault="00CE576D">
            <w:pPr>
              <w:spacing w:after="120" w:line="276" w:lineRule="auto"/>
              <w:jc w:val="center"/>
              <w:rPr>
                <w:rFonts w:ascii="Arial" w:eastAsia="Arial" w:hAnsi="Arial" w:cs="Arial"/>
              </w:rPr>
            </w:pPr>
          </w:p>
        </w:tc>
        <w:tc>
          <w:tcPr>
            <w:tcW w:w="602" w:type="dxa"/>
          </w:tcPr>
          <w:p w14:paraId="3DF277C6" w14:textId="77777777" w:rsidR="00CE576D" w:rsidRDefault="00CE576D">
            <w:pPr>
              <w:spacing w:after="120" w:line="276" w:lineRule="auto"/>
              <w:jc w:val="center"/>
              <w:rPr>
                <w:rFonts w:ascii="Arial" w:eastAsia="Arial" w:hAnsi="Arial" w:cs="Arial"/>
              </w:rPr>
            </w:pPr>
          </w:p>
        </w:tc>
        <w:tc>
          <w:tcPr>
            <w:tcW w:w="603" w:type="dxa"/>
          </w:tcPr>
          <w:p w14:paraId="19E9ADAA" w14:textId="77777777" w:rsidR="00CE576D" w:rsidRDefault="00CE576D">
            <w:pPr>
              <w:spacing w:after="120" w:line="276" w:lineRule="auto"/>
              <w:jc w:val="center"/>
              <w:rPr>
                <w:rFonts w:ascii="Arial" w:eastAsia="Arial" w:hAnsi="Arial" w:cs="Arial"/>
              </w:rPr>
            </w:pPr>
          </w:p>
        </w:tc>
        <w:tc>
          <w:tcPr>
            <w:tcW w:w="602" w:type="dxa"/>
          </w:tcPr>
          <w:p w14:paraId="34B81838" w14:textId="77777777" w:rsidR="00CE576D" w:rsidRDefault="00CE576D">
            <w:pPr>
              <w:spacing w:after="120" w:line="276" w:lineRule="auto"/>
              <w:jc w:val="center"/>
              <w:rPr>
                <w:rFonts w:ascii="Arial" w:eastAsia="Arial" w:hAnsi="Arial" w:cs="Arial"/>
              </w:rPr>
            </w:pPr>
          </w:p>
        </w:tc>
        <w:tc>
          <w:tcPr>
            <w:tcW w:w="603" w:type="dxa"/>
          </w:tcPr>
          <w:p w14:paraId="1585DE6F" w14:textId="77777777" w:rsidR="00CE576D" w:rsidRDefault="00CE576D">
            <w:pPr>
              <w:spacing w:after="120" w:line="276" w:lineRule="auto"/>
              <w:jc w:val="center"/>
              <w:rPr>
                <w:rFonts w:ascii="Arial" w:eastAsia="Arial" w:hAnsi="Arial" w:cs="Arial"/>
              </w:rPr>
            </w:pPr>
          </w:p>
        </w:tc>
        <w:tc>
          <w:tcPr>
            <w:tcW w:w="602" w:type="dxa"/>
          </w:tcPr>
          <w:p w14:paraId="4BB303BE" w14:textId="77777777" w:rsidR="00CE576D" w:rsidRDefault="00CE576D">
            <w:pPr>
              <w:spacing w:after="120" w:line="276" w:lineRule="auto"/>
              <w:jc w:val="center"/>
              <w:rPr>
                <w:rFonts w:ascii="Arial" w:eastAsia="Arial" w:hAnsi="Arial" w:cs="Arial"/>
              </w:rPr>
            </w:pPr>
          </w:p>
        </w:tc>
        <w:tc>
          <w:tcPr>
            <w:tcW w:w="603" w:type="dxa"/>
          </w:tcPr>
          <w:p w14:paraId="2DA36B70" w14:textId="77777777" w:rsidR="00CE576D" w:rsidRDefault="00CE576D">
            <w:pPr>
              <w:spacing w:after="120" w:line="276" w:lineRule="auto"/>
              <w:jc w:val="center"/>
              <w:rPr>
                <w:rFonts w:ascii="Arial" w:eastAsia="Arial" w:hAnsi="Arial" w:cs="Arial"/>
              </w:rPr>
            </w:pPr>
          </w:p>
        </w:tc>
        <w:tc>
          <w:tcPr>
            <w:tcW w:w="602" w:type="dxa"/>
          </w:tcPr>
          <w:p w14:paraId="715D723D" w14:textId="77777777" w:rsidR="00CE576D" w:rsidRDefault="00CE576D">
            <w:pPr>
              <w:spacing w:after="120" w:line="276" w:lineRule="auto"/>
              <w:jc w:val="center"/>
              <w:rPr>
                <w:rFonts w:ascii="Arial" w:eastAsia="Arial" w:hAnsi="Arial" w:cs="Arial"/>
              </w:rPr>
            </w:pPr>
          </w:p>
        </w:tc>
        <w:tc>
          <w:tcPr>
            <w:tcW w:w="603" w:type="dxa"/>
          </w:tcPr>
          <w:p w14:paraId="28F48419" w14:textId="77777777" w:rsidR="00CE576D" w:rsidRDefault="00CE576D">
            <w:pPr>
              <w:spacing w:after="120" w:line="276" w:lineRule="auto"/>
              <w:jc w:val="center"/>
              <w:rPr>
                <w:rFonts w:ascii="Arial" w:eastAsia="Arial" w:hAnsi="Arial" w:cs="Arial"/>
              </w:rPr>
            </w:pPr>
          </w:p>
        </w:tc>
      </w:tr>
      <w:tr w:rsidR="00CE576D" w14:paraId="41AD8972" w14:textId="77777777">
        <w:trPr>
          <w:jc w:val="center"/>
        </w:trPr>
        <w:tc>
          <w:tcPr>
            <w:tcW w:w="1730" w:type="dxa"/>
          </w:tcPr>
          <w:p w14:paraId="0FAD119E" w14:textId="77777777" w:rsidR="00CE576D" w:rsidRDefault="00E61E05">
            <w:pPr>
              <w:spacing w:after="120" w:line="276" w:lineRule="auto"/>
              <w:jc w:val="both"/>
              <w:rPr>
                <w:rFonts w:ascii="Arial" w:eastAsia="Arial" w:hAnsi="Arial" w:cs="Arial"/>
              </w:rPr>
            </w:pPr>
            <w:r>
              <w:rPr>
                <w:rFonts w:ascii="Arial" w:eastAsia="Arial" w:hAnsi="Arial" w:cs="Arial"/>
              </w:rPr>
              <w:t>Portfolio</w:t>
            </w:r>
          </w:p>
        </w:tc>
        <w:tc>
          <w:tcPr>
            <w:tcW w:w="602" w:type="dxa"/>
          </w:tcPr>
          <w:p w14:paraId="7D89936A"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21E9527B"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0F0DEDA9"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24632FFB"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0C3483E2"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55B42475"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7AE76E8C"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1B88ED18"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6EFC6B7C"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64B475F8"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2" w:type="dxa"/>
          </w:tcPr>
          <w:p w14:paraId="7A1EAA18" w14:textId="77777777" w:rsidR="00CE576D" w:rsidRDefault="00E61E05">
            <w:pPr>
              <w:spacing w:after="120" w:line="276" w:lineRule="auto"/>
              <w:jc w:val="center"/>
              <w:rPr>
                <w:rFonts w:ascii="Arial" w:eastAsia="Arial" w:hAnsi="Arial" w:cs="Arial"/>
              </w:rPr>
            </w:pPr>
            <w:r>
              <w:rPr>
                <w:rFonts w:ascii="Arial" w:eastAsia="Arial" w:hAnsi="Arial" w:cs="Arial"/>
              </w:rPr>
              <w:t>X</w:t>
            </w:r>
          </w:p>
        </w:tc>
        <w:tc>
          <w:tcPr>
            <w:tcW w:w="603" w:type="dxa"/>
          </w:tcPr>
          <w:p w14:paraId="0570565B" w14:textId="77777777" w:rsidR="00CE576D" w:rsidRDefault="00E61E05">
            <w:pPr>
              <w:spacing w:after="120" w:line="276" w:lineRule="auto"/>
              <w:jc w:val="center"/>
              <w:rPr>
                <w:rFonts w:ascii="Arial" w:eastAsia="Arial" w:hAnsi="Arial" w:cs="Arial"/>
              </w:rPr>
            </w:pPr>
            <w:r>
              <w:rPr>
                <w:rFonts w:ascii="Arial" w:eastAsia="Arial" w:hAnsi="Arial" w:cs="Arial"/>
              </w:rPr>
              <w:t>X</w:t>
            </w:r>
          </w:p>
        </w:tc>
      </w:tr>
    </w:tbl>
    <w:p w14:paraId="397EB095" w14:textId="77777777" w:rsidR="00CE576D" w:rsidRDefault="00CE576D">
      <w:pPr>
        <w:spacing w:after="120"/>
        <w:ind w:left="426" w:right="260"/>
        <w:jc w:val="both"/>
        <w:rPr>
          <w:rFonts w:ascii="Arial" w:eastAsia="Arial" w:hAnsi="Arial" w:cs="Arial"/>
          <w:b/>
        </w:rPr>
      </w:pPr>
    </w:p>
    <w:p w14:paraId="4C49199F" w14:textId="77777777" w:rsidR="00CE576D" w:rsidRDefault="00E61E05">
      <w:pPr>
        <w:numPr>
          <w:ilvl w:val="0"/>
          <w:numId w:val="3"/>
        </w:numPr>
        <w:spacing w:after="120"/>
        <w:ind w:left="567" w:right="260" w:hanging="567"/>
        <w:jc w:val="both"/>
        <w:rPr>
          <w:rFonts w:ascii="Arial" w:eastAsia="Arial" w:hAnsi="Arial" w:cs="Arial"/>
        </w:rPr>
      </w:pPr>
      <w:r>
        <w:rPr>
          <w:rFonts w:ascii="Arial" w:eastAsia="Arial" w:hAnsi="Arial" w:cs="Arial"/>
          <w:b/>
        </w:rPr>
        <w:t xml:space="preserve">Inclusive module design </w:t>
      </w:r>
    </w:p>
    <w:p w14:paraId="2B68CC45" w14:textId="77777777" w:rsidR="00CE576D" w:rsidRDefault="00E61E05">
      <w:pPr>
        <w:spacing w:after="120"/>
        <w:ind w:left="567" w:right="260"/>
        <w:jc w:val="both"/>
        <w:rPr>
          <w:rFonts w:ascii="Arial" w:eastAsia="Arial" w:hAnsi="Arial" w:cs="Arial"/>
        </w:rPr>
      </w:pPr>
      <w:r>
        <w:rPr>
          <w:rFonts w:ascii="Arial" w:eastAsia="Arial" w:hAnsi="Arial" w:cs="Arial"/>
        </w:rPr>
        <w:t>The Division/School recognises and has embedded the expectations of current equality legislation, by ensuring that the module is as accessible as possible by design. Additional alternative arrangements for students with Inclusive Learning Plans (ILPs)/decl</w:t>
      </w:r>
      <w:r>
        <w:rPr>
          <w:rFonts w:ascii="Arial" w:eastAsia="Arial" w:hAnsi="Arial" w:cs="Arial"/>
        </w:rPr>
        <w:t>ared disabilities will be made on an individual basis, in consultation with the relevant policies and support services.</w:t>
      </w:r>
    </w:p>
    <w:p w14:paraId="6E712EEE" w14:textId="77777777" w:rsidR="00CE576D" w:rsidRDefault="00E61E05">
      <w:pPr>
        <w:spacing w:after="120"/>
        <w:ind w:left="567" w:right="260"/>
        <w:jc w:val="both"/>
        <w:rPr>
          <w:rFonts w:ascii="Arial" w:eastAsia="Arial" w:hAnsi="Arial" w:cs="Arial"/>
        </w:rPr>
      </w:pPr>
      <w:r>
        <w:rPr>
          <w:rFonts w:ascii="Arial" w:eastAsia="Arial" w:hAnsi="Arial" w:cs="Arial"/>
        </w:rPr>
        <w:t xml:space="preserve">The inclusive practices in the guidance (see Annex B Appendix A) have been considered </w:t>
      </w:r>
      <w:proofErr w:type="gramStart"/>
      <w:r>
        <w:rPr>
          <w:rFonts w:ascii="Arial" w:eastAsia="Arial" w:hAnsi="Arial" w:cs="Arial"/>
        </w:rPr>
        <w:t>in order to</w:t>
      </w:r>
      <w:proofErr w:type="gramEnd"/>
      <w:r>
        <w:rPr>
          <w:rFonts w:ascii="Arial" w:eastAsia="Arial" w:hAnsi="Arial" w:cs="Arial"/>
        </w:rPr>
        <w:t xml:space="preserve"> support all students in the following </w:t>
      </w:r>
      <w:r>
        <w:rPr>
          <w:rFonts w:ascii="Arial" w:eastAsia="Arial" w:hAnsi="Arial" w:cs="Arial"/>
        </w:rPr>
        <w:t>areas:</w:t>
      </w:r>
    </w:p>
    <w:p w14:paraId="072265B0" w14:textId="77777777" w:rsidR="00CE576D" w:rsidRDefault="00E61E05">
      <w:pPr>
        <w:spacing w:after="120"/>
        <w:ind w:left="567" w:right="260"/>
        <w:jc w:val="both"/>
        <w:rPr>
          <w:rFonts w:ascii="Arial" w:eastAsia="Arial" w:hAnsi="Arial" w:cs="Arial"/>
        </w:rPr>
      </w:pPr>
      <w:r>
        <w:rPr>
          <w:rFonts w:ascii="Arial" w:eastAsia="Arial" w:hAnsi="Arial" w:cs="Arial"/>
        </w:rPr>
        <w:t>a) Accessible resources and curriculum</w:t>
      </w:r>
    </w:p>
    <w:p w14:paraId="4DA3C2EA" w14:textId="77777777" w:rsidR="00CE576D" w:rsidRDefault="00E61E05">
      <w:pPr>
        <w:tabs>
          <w:tab w:val="left" w:pos="567"/>
        </w:tabs>
        <w:spacing w:after="120"/>
        <w:ind w:left="567" w:right="260"/>
        <w:jc w:val="both"/>
        <w:rPr>
          <w:rFonts w:ascii="Arial" w:eastAsia="Arial" w:hAnsi="Arial" w:cs="Arial"/>
          <w:color w:val="000000"/>
        </w:rPr>
      </w:pPr>
      <w:r>
        <w:rPr>
          <w:rFonts w:ascii="Arial" w:eastAsia="Arial" w:hAnsi="Arial" w:cs="Arial"/>
        </w:rPr>
        <w:t>b) Learning, teaching and assessment methods</w:t>
      </w:r>
    </w:p>
    <w:p w14:paraId="1E796AC5" w14:textId="77777777" w:rsidR="00CE576D" w:rsidRDefault="00CE576D">
      <w:pPr>
        <w:spacing w:after="120"/>
        <w:ind w:left="426" w:right="260"/>
        <w:jc w:val="both"/>
        <w:rPr>
          <w:rFonts w:ascii="Arial" w:eastAsia="Arial" w:hAnsi="Arial" w:cs="Arial"/>
          <w:i/>
        </w:rPr>
      </w:pPr>
    </w:p>
    <w:p w14:paraId="3301C04A" w14:textId="77777777" w:rsidR="00CE576D" w:rsidRDefault="00E61E05">
      <w:pPr>
        <w:numPr>
          <w:ilvl w:val="0"/>
          <w:numId w:val="3"/>
        </w:numPr>
        <w:spacing w:after="120"/>
        <w:ind w:left="567" w:right="260" w:hanging="567"/>
        <w:jc w:val="both"/>
        <w:rPr>
          <w:rFonts w:ascii="Arial" w:eastAsia="Arial" w:hAnsi="Arial" w:cs="Arial"/>
          <w:b/>
        </w:rPr>
      </w:pPr>
      <w:r>
        <w:rPr>
          <w:rFonts w:ascii="Arial" w:eastAsia="Arial" w:hAnsi="Arial" w:cs="Arial"/>
          <w:b/>
        </w:rPr>
        <w:t>Campus(es) or centre(s) where module will be delivered</w:t>
      </w:r>
    </w:p>
    <w:p w14:paraId="653A9D9D" w14:textId="77777777" w:rsidR="00CE576D" w:rsidRDefault="00E61E05">
      <w:pPr>
        <w:spacing w:after="120"/>
        <w:ind w:left="567" w:right="260"/>
        <w:jc w:val="both"/>
        <w:rPr>
          <w:rFonts w:ascii="Arial" w:eastAsia="Arial" w:hAnsi="Arial" w:cs="Arial"/>
        </w:rPr>
      </w:pPr>
      <w:r>
        <w:rPr>
          <w:rFonts w:ascii="Arial" w:eastAsia="Arial" w:hAnsi="Arial" w:cs="Arial"/>
        </w:rPr>
        <w:t>Medway</w:t>
      </w:r>
    </w:p>
    <w:p w14:paraId="14BD7BDC" w14:textId="77777777" w:rsidR="00CE576D" w:rsidRDefault="00CE576D">
      <w:pPr>
        <w:spacing w:after="120"/>
        <w:ind w:left="426" w:right="260"/>
        <w:jc w:val="both"/>
        <w:rPr>
          <w:rFonts w:ascii="Arial" w:eastAsia="Arial" w:hAnsi="Arial" w:cs="Arial"/>
          <w:i/>
        </w:rPr>
      </w:pPr>
    </w:p>
    <w:p w14:paraId="44456902" w14:textId="77777777" w:rsidR="00CE576D" w:rsidRDefault="00E61E05">
      <w:pPr>
        <w:numPr>
          <w:ilvl w:val="0"/>
          <w:numId w:val="3"/>
        </w:numPr>
        <w:spacing w:after="120"/>
        <w:ind w:left="567" w:right="260" w:hanging="568"/>
        <w:jc w:val="both"/>
        <w:rPr>
          <w:rFonts w:ascii="Arial" w:eastAsia="Arial" w:hAnsi="Arial" w:cs="Arial"/>
          <w:b/>
        </w:rPr>
      </w:pPr>
      <w:r>
        <w:rPr>
          <w:rFonts w:ascii="Arial" w:eastAsia="Arial" w:hAnsi="Arial" w:cs="Arial"/>
          <w:b/>
        </w:rPr>
        <w:t xml:space="preserve">Internationalisation </w:t>
      </w:r>
    </w:p>
    <w:p w14:paraId="35DA5382" w14:textId="77777777" w:rsidR="00CE576D" w:rsidRDefault="00E61E05">
      <w:pPr>
        <w:pBdr>
          <w:top w:val="nil"/>
          <w:left w:val="nil"/>
          <w:bottom w:val="nil"/>
          <w:right w:val="nil"/>
          <w:between w:val="nil"/>
        </w:pBdr>
        <w:spacing w:after="120"/>
        <w:ind w:left="567" w:right="260"/>
        <w:jc w:val="both"/>
        <w:rPr>
          <w:rFonts w:ascii="Arial" w:eastAsia="Arial" w:hAnsi="Arial" w:cs="Arial"/>
          <w:i/>
          <w:color w:val="000000"/>
        </w:rPr>
      </w:pPr>
      <w:r>
        <w:rPr>
          <w:rFonts w:ascii="Arial" w:eastAsia="Arial" w:hAnsi="Arial" w:cs="Arial"/>
          <w:color w:val="000000"/>
        </w:rPr>
        <w:t>This module is largely domestically focused due to the nature of the professionally accredited programme to which it contributes. However, students will develop a range of skills that are transferable to international contexts.</w:t>
      </w:r>
      <w:r>
        <w:rPr>
          <w:rFonts w:ascii="Arial" w:eastAsia="Arial" w:hAnsi="Arial" w:cs="Arial"/>
          <w:i/>
          <w:color w:val="000000"/>
        </w:rPr>
        <w:t xml:space="preserve"> </w:t>
      </w:r>
    </w:p>
    <w:p w14:paraId="13C27DA4" w14:textId="77777777" w:rsidR="00CE576D" w:rsidRDefault="00CE576D">
      <w:pPr>
        <w:spacing w:after="120"/>
        <w:ind w:right="260"/>
        <w:jc w:val="both"/>
        <w:rPr>
          <w:rFonts w:ascii="Arial" w:eastAsia="Arial" w:hAnsi="Arial" w:cs="Arial"/>
          <w:b/>
        </w:rPr>
      </w:pPr>
    </w:p>
    <w:p w14:paraId="275AC722" w14:textId="77777777" w:rsidR="00CE576D" w:rsidRDefault="00CE576D">
      <w:pPr>
        <w:pBdr>
          <w:bottom w:val="single" w:sz="6" w:space="1" w:color="000000"/>
        </w:pBdr>
        <w:spacing w:after="120"/>
        <w:ind w:right="260"/>
        <w:jc w:val="both"/>
        <w:rPr>
          <w:rFonts w:ascii="Arial" w:eastAsia="Arial" w:hAnsi="Arial" w:cs="Arial"/>
        </w:rPr>
      </w:pPr>
    </w:p>
    <w:p w14:paraId="609632EC" w14:textId="77777777" w:rsidR="00CE576D" w:rsidRDefault="00E61E05">
      <w:pPr>
        <w:rPr>
          <w:rFonts w:ascii="Arial" w:eastAsia="Arial" w:hAnsi="Arial" w:cs="Arial"/>
          <w:b/>
          <w:sz w:val="20"/>
          <w:szCs w:val="20"/>
        </w:rPr>
      </w:pPr>
      <w:r>
        <w:br w:type="page"/>
      </w:r>
    </w:p>
    <w:p w14:paraId="7D2C8430" w14:textId="77777777" w:rsidR="00CE576D" w:rsidRDefault="00E61E05">
      <w:pPr>
        <w:spacing w:after="120"/>
        <w:ind w:right="260"/>
        <w:jc w:val="both"/>
        <w:rPr>
          <w:rFonts w:ascii="Arial" w:eastAsia="Arial" w:hAnsi="Arial" w:cs="Arial"/>
          <w:b/>
          <w:sz w:val="20"/>
          <w:szCs w:val="20"/>
        </w:rPr>
      </w:pPr>
      <w:r>
        <w:rPr>
          <w:rFonts w:ascii="Arial" w:eastAsia="Arial" w:hAnsi="Arial" w:cs="Arial"/>
          <w:b/>
          <w:sz w:val="20"/>
          <w:szCs w:val="20"/>
        </w:rPr>
        <w:lastRenderedPageBreak/>
        <w:t xml:space="preserve">FACULTIES SUPPORT OFFICE USE ONLY </w:t>
      </w:r>
    </w:p>
    <w:p w14:paraId="2FD81A54" w14:textId="77777777" w:rsidR="00CE576D" w:rsidRDefault="00E61E05">
      <w:pPr>
        <w:spacing w:after="120"/>
        <w:ind w:right="260"/>
        <w:jc w:val="both"/>
        <w:rPr>
          <w:rFonts w:ascii="Arial" w:eastAsia="Arial" w:hAnsi="Arial" w:cs="Arial"/>
          <w:b/>
          <w:sz w:val="20"/>
          <w:szCs w:val="20"/>
        </w:rPr>
      </w:pPr>
      <w:r>
        <w:rPr>
          <w:rFonts w:ascii="Arial" w:eastAsia="Arial" w:hAnsi="Arial" w:cs="Arial"/>
          <w:b/>
          <w:sz w:val="20"/>
          <w:szCs w:val="20"/>
        </w:rPr>
        <w:t>Revision record – all revisions must be recorded in the grid and full details of the change retained in the appropriate committee records.</w:t>
      </w:r>
    </w:p>
    <w:p w14:paraId="1076C9C8" w14:textId="77777777" w:rsidR="00CE576D" w:rsidRDefault="00CE576D">
      <w:pPr>
        <w:spacing w:after="120"/>
        <w:ind w:right="260"/>
        <w:jc w:val="both"/>
        <w:rPr>
          <w:rFonts w:ascii="Arial" w:eastAsia="Arial" w:hAnsi="Arial" w:cs="Arial"/>
          <w:b/>
        </w:rPr>
      </w:pPr>
    </w:p>
    <w:tbl>
      <w:tblPr>
        <w:tblStyle w:val="a0"/>
        <w:tblW w:w="1034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526"/>
        <w:gridCol w:w="1701"/>
        <w:gridCol w:w="2410"/>
        <w:gridCol w:w="2448"/>
        <w:gridCol w:w="2258"/>
      </w:tblGrid>
      <w:tr w:rsidR="00CE576D" w14:paraId="4A09E078" w14:textId="77777777">
        <w:trPr>
          <w:trHeight w:val="317"/>
        </w:trPr>
        <w:tc>
          <w:tcPr>
            <w:tcW w:w="1526" w:type="dxa"/>
          </w:tcPr>
          <w:p w14:paraId="3827B926" w14:textId="77777777" w:rsidR="00CE576D" w:rsidRDefault="00E61E05">
            <w:pPr>
              <w:spacing w:after="120" w:line="276" w:lineRule="auto"/>
              <w:ind w:right="260"/>
              <w:jc w:val="both"/>
              <w:rPr>
                <w:rFonts w:ascii="Arial" w:eastAsia="Arial" w:hAnsi="Arial" w:cs="Arial"/>
                <w:sz w:val="18"/>
                <w:szCs w:val="18"/>
              </w:rPr>
            </w:pPr>
            <w:r>
              <w:rPr>
                <w:rFonts w:ascii="Arial" w:eastAsia="Arial" w:hAnsi="Arial" w:cs="Arial"/>
                <w:sz w:val="18"/>
                <w:szCs w:val="18"/>
              </w:rPr>
              <w:t>Date approved</w:t>
            </w:r>
          </w:p>
        </w:tc>
        <w:tc>
          <w:tcPr>
            <w:tcW w:w="1701" w:type="dxa"/>
          </w:tcPr>
          <w:p w14:paraId="66F6C92F" w14:textId="77777777" w:rsidR="00CE576D" w:rsidRDefault="00E61E05">
            <w:pPr>
              <w:spacing w:after="120" w:line="276" w:lineRule="auto"/>
              <w:ind w:right="260"/>
              <w:jc w:val="both"/>
              <w:rPr>
                <w:rFonts w:ascii="Arial" w:eastAsia="Arial" w:hAnsi="Arial" w:cs="Arial"/>
                <w:sz w:val="18"/>
                <w:szCs w:val="18"/>
              </w:rPr>
            </w:pPr>
            <w:r>
              <w:rPr>
                <w:rFonts w:ascii="Arial" w:eastAsia="Arial" w:hAnsi="Arial" w:cs="Arial"/>
                <w:sz w:val="18"/>
                <w:szCs w:val="18"/>
              </w:rPr>
              <w:t>Major/minor revision</w:t>
            </w:r>
          </w:p>
        </w:tc>
        <w:tc>
          <w:tcPr>
            <w:tcW w:w="2410" w:type="dxa"/>
          </w:tcPr>
          <w:p w14:paraId="2490FCDF" w14:textId="77777777" w:rsidR="00CE576D" w:rsidRDefault="00E61E05">
            <w:pPr>
              <w:spacing w:after="120" w:line="276" w:lineRule="auto"/>
              <w:ind w:right="260"/>
              <w:jc w:val="both"/>
              <w:rPr>
                <w:rFonts w:ascii="Arial" w:eastAsia="Arial" w:hAnsi="Arial" w:cs="Arial"/>
                <w:sz w:val="18"/>
                <w:szCs w:val="18"/>
              </w:rPr>
            </w:pPr>
            <w:r>
              <w:rPr>
                <w:rFonts w:ascii="Arial" w:eastAsia="Arial" w:hAnsi="Arial" w:cs="Arial"/>
                <w:sz w:val="18"/>
                <w:szCs w:val="18"/>
              </w:rPr>
              <w:t>Start date of the delivery of revised version</w:t>
            </w:r>
          </w:p>
        </w:tc>
        <w:tc>
          <w:tcPr>
            <w:tcW w:w="2448" w:type="dxa"/>
          </w:tcPr>
          <w:p w14:paraId="6941C6F5" w14:textId="77777777" w:rsidR="00CE576D" w:rsidRDefault="00E61E05">
            <w:pPr>
              <w:spacing w:after="120" w:line="276" w:lineRule="auto"/>
              <w:ind w:right="260"/>
              <w:jc w:val="both"/>
              <w:rPr>
                <w:rFonts w:ascii="Arial" w:eastAsia="Arial" w:hAnsi="Arial" w:cs="Arial"/>
                <w:sz w:val="18"/>
                <w:szCs w:val="18"/>
              </w:rPr>
            </w:pPr>
            <w:r>
              <w:rPr>
                <w:rFonts w:ascii="Arial" w:eastAsia="Arial" w:hAnsi="Arial" w:cs="Arial"/>
                <w:sz w:val="18"/>
                <w:szCs w:val="18"/>
              </w:rPr>
              <w:t>Section revised</w:t>
            </w:r>
          </w:p>
        </w:tc>
        <w:tc>
          <w:tcPr>
            <w:tcW w:w="2258" w:type="dxa"/>
          </w:tcPr>
          <w:p w14:paraId="1B7A9DF1" w14:textId="77777777" w:rsidR="00CE576D" w:rsidRDefault="00E61E05">
            <w:pPr>
              <w:spacing w:after="120" w:line="276" w:lineRule="auto"/>
              <w:ind w:right="260"/>
              <w:jc w:val="both"/>
              <w:rPr>
                <w:rFonts w:ascii="Arial" w:eastAsia="Arial" w:hAnsi="Arial" w:cs="Arial"/>
                <w:sz w:val="18"/>
                <w:szCs w:val="18"/>
              </w:rPr>
            </w:pPr>
            <w:r>
              <w:rPr>
                <w:rFonts w:ascii="Arial" w:eastAsia="Arial" w:hAnsi="Arial" w:cs="Arial"/>
                <w:sz w:val="18"/>
                <w:szCs w:val="18"/>
              </w:rPr>
              <w:t>Impacts PLOs (Q6&amp;7 cover sheet)</w:t>
            </w:r>
          </w:p>
        </w:tc>
      </w:tr>
      <w:tr w:rsidR="00CE576D" w14:paraId="1DD6E06B" w14:textId="77777777">
        <w:trPr>
          <w:trHeight w:val="305"/>
        </w:trPr>
        <w:tc>
          <w:tcPr>
            <w:tcW w:w="1526" w:type="dxa"/>
          </w:tcPr>
          <w:p w14:paraId="77F54517" w14:textId="77777777" w:rsidR="00CE576D" w:rsidRDefault="00E61E05">
            <w:pPr>
              <w:spacing w:after="120" w:line="276" w:lineRule="auto"/>
              <w:ind w:right="260"/>
              <w:jc w:val="both"/>
              <w:rPr>
                <w:rFonts w:ascii="Arial" w:eastAsia="Arial" w:hAnsi="Arial" w:cs="Arial"/>
              </w:rPr>
            </w:pPr>
            <w:r>
              <w:rPr>
                <w:rFonts w:ascii="Arial" w:eastAsia="Arial" w:hAnsi="Arial" w:cs="Arial"/>
              </w:rPr>
              <w:t>2015</w:t>
            </w:r>
          </w:p>
        </w:tc>
        <w:tc>
          <w:tcPr>
            <w:tcW w:w="1701" w:type="dxa"/>
          </w:tcPr>
          <w:p w14:paraId="176879F8" w14:textId="77777777" w:rsidR="00CE576D" w:rsidRDefault="00E61E05">
            <w:pPr>
              <w:spacing w:after="120" w:line="276" w:lineRule="auto"/>
              <w:ind w:right="260"/>
              <w:jc w:val="both"/>
              <w:rPr>
                <w:rFonts w:ascii="Arial" w:eastAsia="Arial" w:hAnsi="Arial" w:cs="Arial"/>
              </w:rPr>
            </w:pPr>
            <w:r>
              <w:rPr>
                <w:rFonts w:ascii="Arial" w:eastAsia="Arial" w:hAnsi="Arial" w:cs="Arial"/>
              </w:rPr>
              <w:t>Revision</w:t>
            </w:r>
          </w:p>
        </w:tc>
        <w:tc>
          <w:tcPr>
            <w:tcW w:w="2410" w:type="dxa"/>
          </w:tcPr>
          <w:p w14:paraId="1E1BE741" w14:textId="77777777" w:rsidR="00CE576D" w:rsidRDefault="00E61E05">
            <w:pPr>
              <w:spacing w:after="120" w:line="276" w:lineRule="auto"/>
              <w:ind w:right="260"/>
              <w:jc w:val="both"/>
              <w:rPr>
                <w:rFonts w:ascii="Arial" w:eastAsia="Arial" w:hAnsi="Arial" w:cs="Arial"/>
              </w:rPr>
            </w:pPr>
            <w:r>
              <w:rPr>
                <w:rFonts w:ascii="Arial" w:eastAsia="Arial" w:hAnsi="Arial" w:cs="Arial"/>
              </w:rPr>
              <w:t>January 2016</w:t>
            </w:r>
          </w:p>
        </w:tc>
        <w:tc>
          <w:tcPr>
            <w:tcW w:w="2448" w:type="dxa"/>
          </w:tcPr>
          <w:p w14:paraId="2F835905" w14:textId="77777777" w:rsidR="00CE576D" w:rsidRDefault="00E61E05">
            <w:pPr>
              <w:spacing w:after="120" w:line="276" w:lineRule="auto"/>
              <w:ind w:right="260"/>
              <w:jc w:val="both"/>
              <w:rPr>
                <w:rFonts w:ascii="Arial" w:eastAsia="Arial" w:hAnsi="Arial" w:cs="Arial"/>
              </w:rPr>
            </w:pPr>
            <w:r>
              <w:rPr>
                <w:rFonts w:ascii="Arial" w:eastAsia="Arial" w:hAnsi="Arial" w:cs="Arial"/>
              </w:rPr>
              <w:t>N/K</w:t>
            </w:r>
          </w:p>
        </w:tc>
        <w:tc>
          <w:tcPr>
            <w:tcW w:w="2258" w:type="dxa"/>
          </w:tcPr>
          <w:p w14:paraId="5CFAD554" w14:textId="77777777" w:rsidR="00CE576D" w:rsidRDefault="00E61E05">
            <w:pPr>
              <w:spacing w:after="120" w:line="276" w:lineRule="auto"/>
              <w:ind w:right="260"/>
              <w:jc w:val="both"/>
              <w:rPr>
                <w:rFonts w:ascii="Arial" w:eastAsia="Arial" w:hAnsi="Arial" w:cs="Arial"/>
              </w:rPr>
            </w:pPr>
            <w:r>
              <w:rPr>
                <w:rFonts w:ascii="Arial" w:eastAsia="Arial" w:hAnsi="Arial" w:cs="Arial"/>
              </w:rPr>
              <w:t>N/K</w:t>
            </w:r>
          </w:p>
        </w:tc>
      </w:tr>
      <w:tr w:rsidR="00CE576D" w14:paraId="79BFB311" w14:textId="77777777">
        <w:trPr>
          <w:trHeight w:val="305"/>
        </w:trPr>
        <w:tc>
          <w:tcPr>
            <w:tcW w:w="1526" w:type="dxa"/>
          </w:tcPr>
          <w:p w14:paraId="576C27BC" w14:textId="77777777" w:rsidR="00CE576D" w:rsidRDefault="00CE576D">
            <w:pPr>
              <w:spacing w:after="120" w:line="276" w:lineRule="auto"/>
              <w:ind w:right="260"/>
              <w:jc w:val="both"/>
              <w:rPr>
                <w:rFonts w:ascii="Arial" w:eastAsia="Arial" w:hAnsi="Arial" w:cs="Arial"/>
              </w:rPr>
            </w:pPr>
          </w:p>
        </w:tc>
        <w:tc>
          <w:tcPr>
            <w:tcW w:w="1701" w:type="dxa"/>
          </w:tcPr>
          <w:p w14:paraId="6B3D4058" w14:textId="77777777" w:rsidR="00CE576D" w:rsidRDefault="00CE576D">
            <w:pPr>
              <w:spacing w:after="120" w:line="276" w:lineRule="auto"/>
              <w:ind w:right="260"/>
              <w:jc w:val="both"/>
              <w:rPr>
                <w:rFonts w:ascii="Arial" w:eastAsia="Arial" w:hAnsi="Arial" w:cs="Arial"/>
              </w:rPr>
            </w:pPr>
          </w:p>
        </w:tc>
        <w:tc>
          <w:tcPr>
            <w:tcW w:w="2410" w:type="dxa"/>
          </w:tcPr>
          <w:p w14:paraId="27DA6323" w14:textId="77777777" w:rsidR="00CE576D" w:rsidRDefault="00CE576D">
            <w:pPr>
              <w:spacing w:after="120" w:line="276" w:lineRule="auto"/>
              <w:ind w:right="260"/>
              <w:jc w:val="both"/>
              <w:rPr>
                <w:rFonts w:ascii="Arial" w:eastAsia="Arial" w:hAnsi="Arial" w:cs="Arial"/>
              </w:rPr>
            </w:pPr>
          </w:p>
        </w:tc>
        <w:tc>
          <w:tcPr>
            <w:tcW w:w="2448" w:type="dxa"/>
          </w:tcPr>
          <w:p w14:paraId="0019F03D" w14:textId="77777777" w:rsidR="00CE576D" w:rsidRDefault="00CE576D">
            <w:pPr>
              <w:spacing w:after="120" w:line="276" w:lineRule="auto"/>
              <w:ind w:right="260"/>
              <w:jc w:val="both"/>
              <w:rPr>
                <w:rFonts w:ascii="Arial" w:eastAsia="Arial" w:hAnsi="Arial" w:cs="Arial"/>
              </w:rPr>
            </w:pPr>
          </w:p>
        </w:tc>
        <w:tc>
          <w:tcPr>
            <w:tcW w:w="2258" w:type="dxa"/>
          </w:tcPr>
          <w:p w14:paraId="7E220250" w14:textId="77777777" w:rsidR="00CE576D" w:rsidRDefault="00CE576D">
            <w:pPr>
              <w:spacing w:after="120" w:line="276" w:lineRule="auto"/>
              <w:ind w:right="260"/>
              <w:jc w:val="both"/>
              <w:rPr>
                <w:rFonts w:ascii="Arial" w:eastAsia="Arial" w:hAnsi="Arial" w:cs="Arial"/>
              </w:rPr>
            </w:pPr>
          </w:p>
        </w:tc>
      </w:tr>
    </w:tbl>
    <w:p w14:paraId="4A459254" w14:textId="77777777" w:rsidR="00CE576D" w:rsidRDefault="00CE576D">
      <w:pPr>
        <w:spacing w:after="120"/>
        <w:ind w:right="260"/>
        <w:jc w:val="both"/>
        <w:rPr>
          <w:rFonts w:ascii="Arial" w:eastAsia="Arial" w:hAnsi="Arial" w:cs="Arial"/>
        </w:rPr>
      </w:pPr>
    </w:p>
    <w:p w14:paraId="6A0B83CB" w14:textId="77777777" w:rsidR="00CE576D" w:rsidRDefault="00E61E05">
      <w:pPr>
        <w:pBdr>
          <w:top w:val="single" w:sz="4" w:space="1" w:color="000000"/>
          <w:left w:val="single" w:sz="4" w:space="4" w:color="000000"/>
          <w:bottom w:val="single" w:sz="4" w:space="1" w:color="000000"/>
          <w:right w:val="single" w:sz="4" w:space="4" w:color="000000"/>
        </w:pBdr>
        <w:spacing w:after="120"/>
        <w:ind w:left="142" w:right="260"/>
        <w:jc w:val="both"/>
        <w:rPr>
          <w:rFonts w:ascii="Arial" w:eastAsia="Arial" w:hAnsi="Arial" w:cs="Arial"/>
        </w:rPr>
      </w:pPr>
      <w:r>
        <w:rPr>
          <w:rFonts w:ascii="Arial" w:eastAsia="Arial" w:hAnsi="Arial" w:cs="Arial"/>
        </w:rPr>
        <w:t>Revised by FSO/SSPSSR Feb 2018 under Competition and Markets Authority compliance project</w:t>
      </w:r>
    </w:p>
    <w:sectPr w:rsidR="00CE576D">
      <w:headerReference w:type="default" r:id="rId8"/>
      <w:footerReference w:type="default" r:id="rId9"/>
      <w:headerReference w:type="first" r:id="rId10"/>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FD76" w14:textId="77777777" w:rsidR="00000000" w:rsidRDefault="00E61E05">
      <w:pPr>
        <w:spacing w:after="0" w:line="240" w:lineRule="auto"/>
      </w:pPr>
      <w:r>
        <w:separator/>
      </w:r>
    </w:p>
  </w:endnote>
  <w:endnote w:type="continuationSeparator" w:id="0">
    <w:p w14:paraId="49DA682E" w14:textId="77777777" w:rsidR="00000000" w:rsidRDefault="00E6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B1B" w14:textId="77777777" w:rsidR="00CE576D" w:rsidRDefault="00CE576D">
    <w:pPr>
      <w:pBdr>
        <w:top w:val="nil"/>
        <w:left w:val="nil"/>
        <w:bottom w:val="nil"/>
        <w:right w:val="nil"/>
        <w:between w:val="nil"/>
      </w:pBdr>
      <w:tabs>
        <w:tab w:val="center" w:pos="4513"/>
        <w:tab w:val="right" w:pos="9026"/>
      </w:tabs>
      <w:spacing w:after="0" w:line="240" w:lineRule="auto"/>
      <w:jc w:val="center"/>
      <w:rPr>
        <w:rFonts w:eastAsia="Calibri"/>
        <w:color w:val="000000"/>
      </w:rPr>
    </w:pPr>
  </w:p>
  <w:p w14:paraId="2316445B" w14:textId="77777777" w:rsidR="00CE576D" w:rsidRDefault="00E61E05">
    <w:pPr>
      <w:pBdr>
        <w:top w:val="nil"/>
        <w:left w:val="nil"/>
        <w:bottom w:val="nil"/>
        <w:right w:val="nil"/>
        <w:between w:val="nil"/>
      </w:pBdr>
      <w:tabs>
        <w:tab w:val="center" w:pos="4513"/>
        <w:tab w:val="right" w:pos="9026"/>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B21A1B">
      <w:rPr>
        <w:rFonts w:eastAsia="Calibri"/>
        <w:noProof/>
        <w:color w:val="000000"/>
      </w:rPr>
      <w:t>1</w:t>
    </w:r>
    <w:r>
      <w:rPr>
        <w:rFonts w:eastAsia="Calibri"/>
        <w:color w:val="000000"/>
      </w:rPr>
      <w:fldChar w:fldCharType="end"/>
    </w:r>
  </w:p>
  <w:p w14:paraId="28491DB8" w14:textId="77777777" w:rsidR="00CE576D" w:rsidRDefault="00E61E05">
    <w:pPr>
      <w:pBdr>
        <w:top w:val="nil"/>
        <w:left w:val="nil"/>
        <w:bottom w:val="nil"/>
        <w:right w:val="nil"/>
        <w:between w:val="nil"/>
      </w:pBdr>
      <w:tabs>
        <w:tab w:val="center" w:pos="4513"/>
        <w:tab w:val="right" w:pos="9026"/>
      </w:tabs>
      <w:spacing w:after="120" w:line="240" w:lineRule="auto"/>
      <w:ind w:right="-330"/>
      <w:jc w:val="center"/>
      <w:rPr>
        <w:rFonts w:ascii="Arial" w:eastAsia="Arial" w:hAnsi="Arial" w:cs="Arial"/>
        <w:color w:val="000000"/>
        <w:sz w:val="18"/>
        <w:szCs w:val="18"/>
      </w:rPr>
    </w:pPr>
    <w:r>
      <w:rPr>
        <w:rFonts w:ascii="Arial" w:eastAsia="Arial" w:hAnsi="Arial" w:cs="Arial"/>
        <w:color w:val="000000"/>
        <w:sz w:val="18"/>
        <w:szCs w:val="18"/>
      </w:rPr>
      <w:t>SOCI7210 (SO721) - Practice Placement 2 (from September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F66F" w14:textId="77777777" w:rsidR="00000000" w:rsidRDefault="00E61E05">
      <w:pPr>
        <w:spacing w:after="0" w:line="240" w:lineRule="auto"/>
      </w:pPr>
      <w:r>
        <w:separator/>
      </w:r>
    </w:p>
  </w:footnote>
  <w:footnote w:type="continuationSeparator" w:id="0">
    <w:p w14:paraId="1C8E30EE" w14:textId="77777777" w:rsidR="00000000" w:rsidRDefault="00E61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BF03" w14:textId="77777777" w:rsidR="00CE576D" w:rsidRDefault="00E61E05">
    <w:pPr>
      <w:jc w:val="center"/>
      <w:rPr>
        <w:rFonts w:ascii="Arial" w:eastAsia="Arial" w:hAnsi="Arial" w:cs="Arial"/>
        <w:b/>
        <w:sz w:val="28"/>
        <w:szCs w:val="28"/>
      </w:rPr>
    </w:pPr>
    <w:r>
      <w:rPr>
        <w:rFonts w:ascii="Arial" w:eastAsia="Arial" w:hAnsi="Arial" w:cs="Arial"/>
        <w:b/>
        <w:sz w:val="28"/>
        <w:szCs w:val="28"/>
      </w:rPr>
      <w:t>MODULE SPECIFICATION</w:t>
    </w:r>
    <w:r>
      <w:rPr>
        <w:noProof/>
      </w:rPr>
      <w:drawing>
        <wp:anchor distT="0" distB="0" distL="0" distR="0" simplePos="0" relativeHeight="251658240" behindDoc="1" locked="0" layoutInCell="1" hidden="0" allowOverlap="1" wp14:anchorId="2D718751" wp14:editId="7760FDB2">
          <wp:simplePos x="0" y="0"/>
          <wp:positionH relativeFrom="column">
            <wp:posOffset>5457825</wp:posOffset>
          </wp:positionH>
          <wp:positionV relativeFrom="paragraph">
            <wp:posOffset>-156844</wp:posOffset>
          </wp:positionV>
          <wp:extent cx="1170940" cy="5905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3ECAA9EF" w14:textId="77777777" w:rsidR="00CE576D" w:rsidRDefault="00CE576D">
    <w:pPr>
      <w:pStyle w:val="Heading1"/>
      <w:spacing w:before="60" w:after="60"/>
      <w:rPr>
        <w:rFonts w:ascii="Arial" w:eastAsia="Arial" w:hAnsi="Arial" w:cs="Arial"/>
      </w:rPr>
    </w:pPr>
  </w:p>
  <w:p w14:paraId="7FE6197A" w14:textId="77777777" w:rsidR="00CE576D" w:rsidRDefault="00CE576D">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B73" w14:textId="77777777" w:rsidR="00CE576D" w:rsidRDefault="00E61E05">
    <w:pPr>
      <w:pBdr>
        <w:top w:val="nil"/>
        <w:left w:val="nil"/>
        <w:bottom w:val="nil"/>
        <w:right w:val="nil"/>
        <w:between w:val="nil"/>
      </w:pBdr>
      <w:tabs>
        <w:tab w:val="center" w:pos="4513"/>
        <w:tab w:val="right" w:pos="9026"/>
      </w:tabs>
      <w:spacing w:after="0" w:line="240" w:lineRule="auto"/>
      <w:jc w:val="center"/>
      <w:rPr>
        <w:rFonts w:eastAsia="Calibri"/>
        <w:b/>
        <w:color w:val="000000"/>
        <w:sz w:val="28"/>
        <w:szCs w:val="28"/>
      </w:rPr>
    </w:pPr>
    <w:r>
      <w:rPr>
        <w:rFonts w:eastAsia="Calibri"/>
        <w:b/>
        <w:color w:val="000000"/>
        <w:sz w:val="28"/>
        <w:szCs w:val="28"/>
      </w:rPr>
      <w:t>MODULE SPECIFICATION COVERSHEET</w:t>
    </w:r>
  </w:p>
  <w:p w14:paraId="1710AC30" w14:textId="77777777" w:rsidR="00CE576D" w:rsidRDefault="00CE576D">
    <w:pPr>
      <w:pBdr>
        <w:top w:val="nil"/>
        <w:left w:val="nil"/>
        <w:bottom w:val="nil"/>
        <w:right w:val="nil"/>
        <w:between w:val="nil"/>
      </w:pBdr>
      <w:tabs>
        <w:tab w:val="center" w:pos="4513"/>
        <w:tab w:val="right" w:pos="9026"/>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F2F87"/>
    <w:multiLevelType w:val="multilevel"/>
    <w:tmpl w:val="132E370A"/>
    <w:lvl w:ilvl="0">
      <w:start w:val="8"/>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6FC702A5"/>
    <w:multiLevelType w:val="multilevel"/>
    <w:tmpl w:val="3064EF96"/>
    <w:lvl w:ilvl="0">
      <w:start w:val="13"/>
      <w:numFmt w:val="decimal"/>
      <w:pStyle w:val="ListBullet"/>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78BA5C84"/>
    <w:multiLevelType w:val="multilevel"/>
    <w:tmpl w:val="21BC857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6D"/>
    <w:rsid w:val="0025246B"/>
    <w:rsid w:val="00B21A1B"/>
    <w:rsid w:val="00B7223E"/>
    <w:rsid w:val="00CE576D"/>
    <w:rsid w:val="00E61E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EBC1"/>
  <w15:docId w15:val="{EBF65680-58D9-42EA-8C52-409FB14E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4D"/>
    <w:rPr>
      <w:rFonts w:eastAsiaTheme="minorEastAsia"/>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A6BB4"/>
    <w:pPr>
      <w:spacing w:after="0" w:line="240" w:lineRule="auto"/>
      <w:jc w:val="center"/>
    </w:pPr>
    <w:rPr>
      <w:rFonts w:ascii="Plantin" w:eastAsia="Times New Roman" w:hAnsi="Plantin" w:cs="Times New Roman"/>
      <w:b/>
      <w:sz w:val="24"/>
      <w:szCs w:val="20"/>
      <w:lang w:eastAsia="en-US"/>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Theme="minorHAns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9930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textrun">
    <w:name w:val="normaltextrun"/>
    <w:basedOn w:val="DefaultParagraphFont"/>
    <w:rsid w:val="009930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3auyu2u1ynvogRU1yOE96uFCQ==">AMUW2mV8qVLasZxpXtdNNr/uP7qSLC8qdLkyjZEgP0eEGIoZSNgSLdkRBQfNlJ4QacLUhjGGW0nRaS/t7S+lEtZIbM78qLZACdzUOT4hElxCPu7LyjkdpL4=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D00C314-EF6F-4159-B370-FEE39581C28C}"/>
</file>

<file path=customXml/itemProps3.xml><?xml version="1.0" encoding="utf-8"?>
<ds:datastoreItem xmlns:ds="http://schemas.openxmlformats.org/officeDocument/2006/customXml" ds:itemID="{8EEFC40C-10F0-41EB-BCE5-4B4E6ADEBC57}"/>
</file>

<file path=customXml/itemProps4.xml><?xml version="1.0" encoding="utf-8"?>
<ds:datastoreItem xmlns:ds="http://schemas.openxmlformats.org/officeDocument/2006/customXml" ds:itemID="{F7B047A5-591F-4A46-BC83-1DC66507F961}"/>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Armstrong-Viner</dc:creator>
  <cp:lastModifiedBy>Ben Singh Nightingale</cp:lastModifiedBy>
  <cp:revision>2</cp:revision>
  <dcterms:created xsi:type="dcterms:W3CDTF">2022-03-22T19:59:00Z</dcterms:created>
  <dcterms:modified xsi:type="dcterms:W3CDTF">2022-03-22T19:59:00Z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d7b974f9-080b-4317-a080-1a3b1f5f696a</vt:lpwstr>
  </property>
  <property fmtid="{D5CDD505-2E9C-101B-9397-08002B2CF9AE}" pid="4" name="Order">
    <vt:r8>15800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