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01E7" w14:textId="77777777" w:rsidR="009A2D37" w:rsidRPr="00302082" w:rsidRDefault="009A2D37" w:rsidP="00936D65">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Title of the module</w:t>
      </w:r>
    </w:p>
    <w:p w14:paraId="25C2AD59" w14:textId="77777777" w:rsidR="00154D48" w:rsidRDefault="00395B70" w:rsidP="00936D65">
      <w:pPr>
        <w:tabs>
          <w:tab w:val="left" w:pos="10206"/>
        </w:tabs>
        <w:spacing w:after="120" w:line="240" w:lineRule="auto"/>
        <w:ind w:left="567" w:right="260"/>
        <w:jc w:val="both"/>
        <w:rPr>
          <w:rFonts w:ascii="Arial" w:hAnsi="Arial" w:cs="Arial"/>
        </w:rPr>
      </w:pPr>
      <w:r>
        <w:rPr>
          <w:rFonts w:ascii="Arial" w:hAnsi="Arial" w:cs="Arial"/>
        </w:rPr>
        <w:t xml:space="preserve">SOCI3090 (SO309) </w:t>
      </w:r>
      <w:r w:rsidRPr="00D3720C">
        <w:rPr>
          <w:rFonts w:ascii="Arial" w:hAnsi="Arial" w:cs="Arial"/>
        </w:rPr>
        <w:t>Law</w:t>
      </w:r>
      <w:r>
        <w:rPr>
          <w:rFonts w:ascii="Arial" w:hAnsi="Arial" w:cs="Arial"/>
        </w:rPr>
        <w:t>,</w:t>
      </w:r>
      <w:r w:rsidRPr="00D3720C">
        <w:rPr>
          <w:rFonts w:ascii="Arial" w:hAnsi="Arial" w:cs="Arial"/>
        </w:rPr>
        <w:t xml:space="preserve"> Rights and Justice</w:t>
      </w:r>
    </w:p>
    <w:p w14:paraId="3880EC2D" w14:textId="77777777" w:rsidR="00A30438" w:rsidRPr="00154D48" w:rsidRDefault="00A30438" w:rsidP="00936D65">
      <w:pPr>
        <w:tabs>
          <w:tab w:val="left" w:pos="10206"/>
        </w:tabs>
        <w:spacing w:after="120" w:line="240" w:lineRule="auto"/>
        <w:ind w:left="567" w:right="260"/>
        <w:jc w:val="both"/>
        <w:rPr>
          <w:rFonts w:ascii="Arial" w:hAnsi="Arial" w:cs="Arial"/>
        </w:rPr>
      </w:pPr>
    </w:p>
    <w:p w14:paraId="44F140B5" w14:textId="66E2388A" w:rsidR="009A2D37" w:rsidRPr="00302082" w:rsidRDefault="00EF7BC1" w:rsidP="00936D65">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764C28BB" w14:textId="6167E527" w:rsidR="009A2D37" w:rsidRPr="00154D48" w:rsidRDefault="00EF7BC1" w:rsidP="00936D65">
      <w:pPr>
        <w:tabs>
          <w:tab w:val="left" w:pos="10206"/>
        </w:tabs>
        <w:spacing w:after="120" w:line="240" w:lineRule="auto"/>
        <w:ind w:left="567" w:right="260"/>
        <w:jc w:val="both"/>
        <w:rPr>
          <w:rFonts w:ascii="Arial" w:hAnsi="Arial" w:cs="Arial"/>
          <w:iCs/>
        </w:rPr>
      </w:pPr>
      <w:r w:rsidRPr="00EF7BC1">
        <w:rPr>
          <w:rFonts w:ascii="Arial" w:hAnsi="Arial" w:cs="Arial"/>
          <w:iCs/>
        </w:rPr>
        <w:t xml:space="preserve">Division for the Study of Law, Society and Social Justice </w:t>
      </w:r>
      <w:r>
        <w:rPr>
          <w:rFonts w:ascii="Arial" w:hAnsi="Arial" w:cs="Arial"/>
          <w:iCs/>
        </w:rPr>
        <w:t>(</w:t>
      </w:r>
      <w:r w:rsidR="00395B70">
        <w:rPr>
          <w:rFonts w:ascii="Arial" w:hAnsi="Arial" w:cs="Arial"/>
        </w:rPr>
        <w:t xml:space="preserve">School of Social Policy, Sociology and </w:t>
      </w:r>
      <w:r>
        <w:rPr>
          <w:rFonts w:ascii="Arial" w:hAnsi="Arial" w:cs="Arial"/>
        </w:rPr>
        <w:t xml:space="preserve">    </w:t>
      </w:r>
      <w:r w:rsidR="00395B70">
        <w:rPr>
          <w:rFonts w:ascii="Arial" w:hAnsi="Arial" w:cs="Arial"/>
        </w:rPr>
        <w:t>Social Research</w:t>
      </w:r>
      <w:r>
        <w:rPr>
          <w:rFonts w:ascii="Arial" w:hAnsi="Arial" w:cs="Arial"/>
        </w:rPr>
        <w:t>)</w:t>
      </w:r>
    </w:p>
    <w:p w14:paraId="62C38AFD" w14:textId="77777777" w:rsidR="00154D48" w:rsidRPr="00154D48" w:rsidRDefault="00154D48" w:rsidP="00936D65">
      <w:pPr>
        <w:tabs>
          <w:tab w:val="left" w:pos="10206"/>
        </w:tabs>
        <w:spacing w:after="120" w:line="240" w:lineRule="auto"/>
        <w:ind w:left="567" w:right="260"/>
        <w:jc w:val="both"/>
        <w:rPr>
          <w:rFonts w:ascii="Arial" w:hAnsi="Arial" w:cs="Arial"/>
          <w:iCs/>
        </w:rPr>
      </w:pPr>
    </w:p>
    <w:p w14:paraId="02B7EBE6" w14:textId="77777777" w:rsidR="009A2D37" w:rsidRPr="00302082" w:rsidRDefault="00883204" w:rsidP="00936D65">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4E17DD1" w14:textId="77777777" w:rsidR="009A2D37" w:rsidRPr="00154D48" w:rsidRDefault="00395B70" w:rsidP="00936D65">
      <w:pPr>
        <w:tabs>
          <w:tab w:val="left" w:pos="10206"/>
        </w:tabs>
        <w:spacing w:after="120" w:line="240" w:lineRule="auto"/>
        <w:ind w:left="567" w:right="260"/>
        <w:jc w:val="both"/>
        <w:rPr>
          <w:rFonts w:ascii="Arial" w:hAnsi="Arial" w:cs="Arial"/>
        </w:rPr>
      </w:pPr>
      <w:r>
        <w:rPr>
          <w:rFonts w:ascii="Arial" w:hAnsi="Arial" w:cs="Arial"/>
        </w:rPr>
        <w:t>Level 4</w:t>
      </w:r>
    </w:p>
    <w:p w14:paraId="39A49BA9" w14:textId="77777777" w:rsidR="00154D48" w:rsidRPr="00154D48" w:rsidRDefault="00154D48" w:rsidP="00936D65">
      <w:pPr>
        <w:tabs>
          <w:tab w:val="left" w:pos="10206"/>
        </w:tabs>
        <w:spacing w:after="120" w:line="240" w:lineRule="auto"/>
        <w:ind w:left="567" w:right="260"/>
        <w:jc w:val="both"/>
        <w:rPr>
          <w:rFonts w:ascii="Arial" w:hAnsi="Arial" w:cs="Arial"/>
          <w:iCs/>
        </w:rPr>
      </w:pPr>
    </w:p>
    <w:p w14:paraId="7AF47FFA" w14:textId="77777777" w:rsidR="009A2D37" w:rsidRPr="00302082" w:rsidRDefault="009A2D37" w:rsidP="00936D65">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DE9501" w14:textId="77777777" w:rsidR="009A2D37" w:rsidRPr="00154D48" w:rsidRDefault="00395B70" w:rsidP="00936D65">
      <w:pPr>
        <w:tabs>
          <w:tab w:val="left" w:pos="10206"/>
        </w:tabs>
        <w:spacing w:after="120" w:line="240" w:lineRule="auto"/>
        <w:ind w:left="567" w:right="260"/>
        <w:jc w:val="both"/>
        <w:rPr>
          <w:rFonts w:ascii="Arial" w:hAnsi="Arial" w:cs="Arial"/>
        </w:rPr>
      </w:pPr>
      <w:r>
        <w:rPr>
          <w:rFonts w:ascii="Arial" w:hAnsi="Arial" w:cs="Arial"/>
        </w:rPr>
        <w:t>15 credits (7.5 ECTS)</w:t>
      </w:r>
    </w:p>
    <w:p w14:paraId="46071284" w14:textId="77777777" w:rsidR="00154D48" w:rsidRPr="00154D48" w:rsidRDefault="00154D48" w:rsidP="00936D65">
      <w:pPr>
        <w:tabs>
          <w:tab w:val="left" w:pos="10206"/>
        </w:tabs>
        <w:spacing w:after="120" w:line="240" w:lineRule="auto"/>
        <w:ind w:left="567" w:right="260"/>
        <w:jc w:val="both"/>
        <w:rPr>
          <w:rFonts w:ascii="Arial" w:hAnsi="Arial" w:cs="Arial"/>
        </w:rPr>
      </w:pPr>
    </w:p>
    <w:p w14:paraId="185E32EA" w14:textId="77777777" w:rsidR="009A2D37" w:rsidRPr="00302082" w:rsidRDefault="009A2D37" w:rsidP="00936D65">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D3F021" w14:textId="77777777" w:rsidR="009A2D37" w:rsidRPr="00154D48" w:rsidRDefault="00395B70" w:rsidP="00936D65">
      <w:pPr>
        <w:tabs>
          <w:tab w:val="left" w:pos="10206"/>
        </w:tabs>
        <w:spacing w:after="120" w:line="240" w:lineRule="auto"/>
        <w:ind w:left="567" w:right="260"/>
        <w:jc w:val="both"/>
        <w:rPr>
          <w:rFonts w:ascii="Arial" w:hAnsi="Arial" w:cs="Arial"/>
          <w:iCs/>
        </w:rPr>
      </w:pPr>
      <w:r>
        <w:rPr>
          <w:rFonts w:ascii="Arial" w:hAnsi="Arial" w:cs="Arial"/>
          <w:iCs/>
        </w:rPr>
        <w:t>Spring term (term 2)</w:t>
      </w:r>
    </w:p>
    <w:p w14:paraId="0DB019E0" w14:textId="77777777" w:rsidR="00154D48" w:rsidRPr="00154D48" w:rsidRDefault="00154D48" w:rsidP="00936D65">
      <w:pPr>
        <w:tabs>
          <w:tab w:val="left" w:pos="10206"/>
        </w:tabs>
        <w:spacing w:after="120" w:line="240" w:lineRule="auto"/>
        <w:ind w:left="567" w:right="260"/>
        <w:jc w:val="both"/>
        <w:rPr>
          <w:rFonts w:ascii="Arial" w:hAnsi="Arial" w:cs="Arial"/>
          <w:iCs/>
        </w:rPr>
      </w:pPr>
    </w:p>
    <w:p w14:paraId="37DD71D4" w14:textId="77777777" w:rsidR="009A2D37" w:rsidRPr="00302082" w:rsidRDefault="009A2D37" w:rsidP="00936D65">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64A87C" w14:textId="1D3EF0BD" w:rsidR="009A2D37" w:rsidRPr="00154D48" w:rsidRDefault="00395B70" w:rsidP="00936D65">
      <w:pPr>
        <w:tabs>
          <w:tab w:val="left" w:pos="10206"/>
        </w:tabs>
        <w:spacing w:after="120" w:line="240" w:lineRule="auto"/>
        <w:ind w:left="567" w:right="260"/>
        <w:jc w:val="both"/>
        <w:rPr>
          <w:rFonts w:ascii="Arial" w:hAnsi="Arial" w:cs="Arial"/>
          <w:iCs/>
        </w:rPr>
      </w:pPr>
      <w:r>
        <w:rPr>
          <w:rFonts w:ascii="Arial" w:hAnsi="Arial" w:cs="Arial"/>
          <w:iCs/>
        </w:rPr>
        <w:t>None (all modules on the Social Work BA are comp</w:t>
      </w:r>
      <w:r w:rsidR="00BD4D03">
        <w:rPr>
          <w:rFonts w:ascii="Arial" w:hAnsi="Arial" w:cs="Arial"/>
          <w:iCs/>
        </w:rPr>
        <w:t>u</w:t>
      </w:r>
      <w:r>
        <w:rPr>
          <w:rFonts w:ascii="Arial" w:hAnsi="Arial" w:cs="Arial"/>
          <w:iCs/>
        </w:rPr>
        <w:t>lsory)</w:t>
      </w:r>
    </w:p>
    <w:p w14:paraId="41A0680D" w14:textId="77777777" w:rsidR="00154D48" w:rsidRPr="00154D48" w:rsidRDefault="00154D48" w:rsidP="00936D65">
      <w:pPr>
        <w:tabs>
          <w:tab w:val="left" w:pos="10206"/>
        </w:tabs>
        <w:spacing w:after="120" w:line="240" w:lineRule="auto"/>
        <w:ind w:left="567" w:right="260"/>
        <w:jc w:val="both"/>
        <w:rPr>
          <w:rFonts w:ascii="Arial" w:hAnsi="Arial" w:cs="Arial"/>
          <w:iCs/>
        </w:rPr>
      </w:pPr>
    </w:p>
    <w:p w14:paraId="41C48DBE" w14:textId="4928CA81" w:rsidR="009A2D37" w:rsidRPr="00302082" w:rsidRDefault="009A2D37" w:rsidP="00936D65">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 xml:space="preserve">The </w:t>
      </w:r>
      <w:r w:rsidR="00EF7BC1">
        <w:rPr>
          <w:rFonts w:ascii="Arial" w:hAnsi="Arial" w:cs="Arial"/>
          <w:b/>
        </w:rPr>
        <w:t>course</w:t>
      </w:r>
      <w:r w:rsidRPr="00302082">
        <w:rPr>
          <w:rFonts w:ascii="Arial" w:hAnsi="Arial" w:cs="Arial"/>
          <w:b/>
        </w:rPr>
        <w:t>s of study to which the module contributes</w:t>
      </w:r>
    </w:p>
    <w:p w14:paraId="2C7E95C1" w14:textId="77777777" w:rsidR="009A2D37" w:rsidRPr="00154D48" w:rsidRDefault="00395B70" w:rsidP="00936D65">
      <w:pPr>
        <w:tabs>
          <w:tab w:val="left" w:pos="10206"/>
        </w:tabs>
        <w:spacing w:after="120" w:line="240" w:lineRule="auto"/>
        <w:ind w:left="567" w:right="260"/>
        <w:jc w:val="both"/>
        <w:rPr>
          <w:rFonts w:ascii="Arial" w:hAnsi="Arial" w:cs="Arial"/>
          <w:iCs/>
        </w:rPr>
      </w:pPr>
      <w:r w:rsidRPr="00EA413C">
        <w:rPr>
          <w:rFonts w:ascii="Arial" w:hAnsi="Arial" w:cs="Arial"/>
          <w:iCs/>
        </w:rPr>
        <w:t>BA (Hons) Social Work</w:t>
      </w:r>
    </w:p>
    <w:p w14:paraId="0F43DDE4" w14:textId="77777777" w:rsidR="00154D48" w:rsidRPr="00154D48" w:rsidRDefault="00154D48" w:rsidP="00936D65">
      <w:pPr>
        <w:tabs>
          <w:tab w:val="left" w:pos="10206"/>
        </w:tabs>
        <w:spacing w:after="120" w:line="240" w:lineRule="auto"/>
        <w:ind w:left="567" w:right="260"/>
        <w:jc w:val="both"/>
        <w:rPr>
          <w:rFonts w:ascii="Arial" w:hAnsi="Arial" w:cs="Arial"/>
          <w:iCs/>
        </w:rPr>
      </w:pPr>
    </w:p>
    <w:p w14:paraId="39A41FF6" w14:textId="77777777" w:rsidR="009A2D37" w:rsidRPr="00302082" w:rsidRDefault="009A2D37" w:rsidP="00936D65">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6AF9AE" w14:textId="046418B6" w:rsidR="00395B70" w:rsidRDefault="00395B70" w:rsidP="00936D65">
      <w:pPr>
        <w:pStyle w:val="ListParagraph"/>
        <w:numPr>
          <w:ilvl w:val="0"/>
          <w:numId w:val="10"/>
        </w:numPr>
        <w:tabs>
          <w:tab w:val="left" w:pos="10206"/>
        </w:tabs>
        <w:spacing w:after="0" w:line="240" w:lineRule="auto"/>
        <w:ind w:left="1134" w:right="261" w:hanging="567"/>
        <w:jc w:val="both"/>
        <w:rPr>
          <w:rFonts w:ascii="Arial" w:hAnsi="Arial" w:cs="Arial"/>
        </w:rPr>
      </w:pPr>
      <w:r w:rsidRPr="00526D2B">
        <w:rPr>
          <w:rFonts w:ascii="Arial" w:hAnsi="Arial" w:cs="Arial"/>
        </w:rPr>
        <w:t>Demonstrate an understanding of legal rights and justice for s</w:t>
      </w:r>
      <w:r w:rsidR="00936D65">
        <w:rPr>
          <w:rFonts w:ascii="Arial" w:hAnsi="Arial" w:cs="Arial"/>
        </w:rPr>
        <w:t>ervice users and their families.</w:t>
      </w:r>
    </w:p>
    <w:p w14:paraId="6AF975D4" w14:textId="2F7D2994" w:rsidR="00395B70" w:rsidRPr="00526D2B" w:rsidRDefault="00395B70" w:rsidP="00936D65">
      <w:pPr>
        <w:pStyle w:val="ListParagraph"/>
        <w:numPr>
          <w:ilvl w:val="0"/>
          <w:numId w:val="10"/>
        </w:numPr>
        <w:tabs>
          <w:tab w:val="left" w:pos="10206"/>
        </w:tabs>
        <w:spacing w:after="0" w:line="240" w:lineRule="auto"/>
        <w:ind w:left="1134" w:right="261" w:hanging="567"/>
        <w:jc w:val="both"/>
        <w:rPr>
          <w:rFonts w:ascii="Arial" w:hAnsi="Arial" w:cs="Arial"/>
        </w:rPr>
      </w:pPr>
      <w:r w:rsidRPr="00526D2B">
        <w:rPr>
          <w:rFonts w:ascii="Arial" w:hAnsi="Arial" w:cs="Arial"/>
        </w:rPr>
        <w:t>Demonstrate an understanding of the statutory and common law provisions that govern social work in England and Wales and the relationship between the citizen and the state</w:t>
      </w:r>
      <w:r w:rsidR="00936D65">
        <w:rPr>
          <w:rFonts w:ascii="Arial" w:hAnsi="Arial" w:cs="Arial"/>
        </w:rPr>
        <w:t>.</w:t>
      </w:r>
    </w:p>
    <w:p w14:paraId="7F2A3C40" w14:textId="0F304032" w:rsidR="00395B70" w:rsidRPr="00526D2B" w:rsidRDefault="00395B70" w:rsidP="00936D65">
      <w:pPr>
        <w:pStyle w:val="ListParagraph"/>
        <w:numPr>
          <w:ilvl w:val="0"/>
          <w:numId w:val="10"/>
        </w:numPr>
        <w:tabs>
          <w:tab w:val="left" w:pos="10206"/>
        </w:tabs>
        <w:spacing w:after="0" w:line="240" w:lineRule="auto"/>
        <w:ind w:left="1134" w:right="261" w:hanging="567"/>
        <w:jc w:val="both"/>
        <w:rPr>
          <w:rFonts w:ascii="Arial" w:hAnsi="Arial" w:cs="Arial"/>
        </w:rPr>
      </w:pPr>
      <w:r w:rsidRPr="00526D2B">
        <w:rPr>
          <w:rFonts w:ascii="Arial" w:hAnsi="Arial" w:cs="Arial"/>
        </w:rPr>
        <w:t>Appreciate the philosophical influences on the development and</w:t>
      </w:r>
      <w:r w:rsidR="00936D65">
        <w:rPr>
          <w:rFonts w:ascii="Arial" w:hAnsi="Arial" w:cs="Arial"/>
        </w:rPr>
        <w:t xml:space="preserve"> content of the law and statute.</w:t>
      </w:r>
    </w:p>
    <w:p w14:paraId="1256555E" w14:textId="481FBEDD" w:rsidR="00395B70" w:rsidRPr="00526D2B" w:rsidRDefault="00395B70" w:rsidP="00936D65">
      <w:pPr>
        <w:pStyle w:val="ListParagraph"/>
        <w:numPr>
          <w:ilvl w:val="0"/>
          <w:numId w:val="10"/>
        </w:numPr>
        <w:tabs>
          <w:tab w:val="left" w:pos="10206"/>
        </w:tabs>
        <w:spacing w:after="0" w:line="240" w:lineRule="auto"/>
        <w:ind w:left="1134" w:right="261" w:hanging="567"/>
        <w:jc w:val="both"/>
        <w:rPr>
          <w:rFonts w:ascii="Arial" w:hAnsi="Arial" w:cs="Arial"/>
        </w:rPr>
      </w:pPr>
      <w:r w:rsidRPr="00526D2B">
        <w:rPr>
          <w:rFonts w:ascii="Arial" w:hAnsi="Arial" w:cs="Arial"/>
        </w:rPr>
        <w:t>Acquire and evaluate knowledge and understanding of values and social e</w:t>
      </w:r>
      <w:r w:rsidR="00936D65">
        <w:rPr>
          <w:rFonts w:ascii="Arial" w:hAnsi="Arial" w:cs="Arial"/>
        </w:rPr>
        <w:t>thics as they relate to the law.</w:t>
      </w:r>
    </w:p>
    <w:p w14:paraId="1515C334" w14:textId="51E28CED" w:rsidR="00395B70" w:rsidRPr="00526D2B" w:rsidRDefault="00395B70" w:rsidP="00936D65">
      <w:pPr>
        <w:pStyle w:val="ListParagraph"/>
        <w:numPr>
          <w:ilvl w:val="0"/>
          <w:numId w:val="10"/>
        </w:numPr>
        <w:tabs>
          <w:tab w:val="left" w:pos="10206"/>
        </w:tabs>
        <w:spacing w:after="0" w:line="240" w:lineRule="auto"/>
        <w:ind w:left="1134" w:right="261" w:hanging="567"/>
        <w:jc w:val="both"/>
        <w:rPr>
          <w:rFonts w:ascii="Arial" w:hAnsi="Arial" w:cs="Arial"/>
        </w:rPr>
      </w:pPr>
      <w:r w:rsidRPr="00526D2B">
        <w:rPr>
          <w:rFonts w:ascii="Arial" w:hAnsi="Arial" w:cs="Arial"/>
        </w:rPr>
        <w:t xml:space="preserve">Demonstrate knowledge about and appreciate the application of key legal provision and policy for </w:t>
      </w:r>
      <w:r w:rsidR="00936D65">
        <w:rPr>
          <w:rFonts w:ascii="Arial" w:hAnsi="Arial" w:cs="Arial"/>
        </w:rPr>
        <w:t>adults, children and the family.</w:t>
      </w:r>
    </w:p>
    <w:p w14:paraId="7EEE6360" w14:textId="4B8E84E8" w:rsidR="00395B70" w:rsidRPr="00526D2B" w:rsidRDefault="00395B70" w:rsidP="00936D65">
      <w:pPr>
        <w:pStyle w:val="ListParagraph"/>
        <w:numPr>
          <w:ilvl w:val="0"/>
          <w:numId w:val="10"/>
        </w:numPr>
        <w:tabs>
          <w:tab w:val="left" w:pos="10206"/>
        </w:tabs>
        <w:spacing w:after="0" w:line="240" w:lineRule="auto"/>
        <w:ind w:left="1134" w:right="261" w:hanging="567"/>
        <w:jc w:val="both"/>
        <w:rPr>
          <w:rFonts w:ascii="Arial" w:hAnsi="Arial" w:cs="Arial"/>
        </w:rPr>
      </w:pPr>
      <w:r w:rsidRPr="00526D2B">
        <w:rPr>
          <w:rFonts w:ascii="Arial" w:hAnsi="Arial" w:cs="Arial"/>
        </w:rPr>
        <w:t>Demonstrate the knowledge and skills required to analyse information gathered for l</w:t>
      </w:r>
      <w:r w:rsidR="00936D65">
        <w:rPr>
          <w:rFonts w:ascii="Arial" w:hAnsi="Arial" w:cs="Arial"/>
        </w:rPr>
        <w:t>egal problem solving purposes.</w:t>
      </w:r>
    </w:p>
    <w:p w14:paraId="1A6750A4" w14:textId="122C3C4B" w:rsidR="00395B70" w:rsidRPr="00395B70" w:rsidRDefault="00395B70" w:rsidP="00936D65">
      <w:pPr>
        <w:pStyle w:val="ListParagraph"/>
        <w:numPr>
          <w:ilvl w:val="0"/>
          <w:numId w:val="10"/>
        </w:numPr>
        <w:tabs>
          <w:tab w:val="left" w:pos="10206"/>
        </w:tabs>
        <w:spacing w:after="0" w:line="240" w:lineRule="auto"/>
        <w:ind w:left="1134" w:right="261" w:hanging="567"/>
        <w:jc w:val="both"/>
        <w:rPr>
          <w:rFonts w:ascii="Arial" w:hAnsi="Arial" w:cs="Arial"/>
        </w:rPr>
      </w:pPr>
      <w:r w:rsidRPr="00395B70">
        <w:rPr>
          <w:rFonts w:ascii="Arial" w:hAnsi="Arial" w:cs="Arial"/>
        </w:rPr>
        <w:t>Appreciate the role and impact of public law and policy on the rights of groups likely to come into co</w:t>
      </w:r>
      <w:r w:rsidR="00936D65">
        <w:rPr>
          <w:rFonts w:ascii="Arial" w:hAnsi="Arial" w:cs="Arial"/>
        </w:rPr>
        <w:t>ntact with social work services.</w:t>
      </w:r>
    </w:p>
    <w:p w14:paraId="088D5350" w14:textId="77777777" w:rsidR="00154D48" w:rsidRPr="00154D48" w:rsidRDefault="00154D48" w:rsidP="00936D65">
      <w:pPr>
        <w:tabs>
          <w:tab w:val="left" w:pos="10206"/>
        </w:tabs>
        <w:spacing w:after="120" w:line="240" w:lineRule="auto"/>
        <w:ind w:left="567" w:right="260"/>
        <w:jc w:val="both"/>
        <w:rPr>
          <w:rFonts w:ascii="Arial" w:hAnsi="Arial" w:cs="Arial"/>
        </w:rPr>
      </w:pPr>
    </w:p>
    <w:p w14:paraId="30C1CC3A" w14:textId="77777777" w:rsidR="00C729D7" w:rsidRPr="00302082" w:rsidRDefault="009A2D37" w:rsidP="00936D65">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95B70">
        <w:rPr>
          <w:rFonts w:ascii="Arial" w:hAnsi="Arial" w:cs="Arial"/>
          <w:b/>
        </w:rPr>
        <w:t>module students will be able to</w:t>
      </w:r>
    </w:p>
    <w:p w14:paraId="15C48E56" w14:textId="0B9A9434" w:rsidR="009A2D37" w:rsidRPr="00936D65" w:rsidRDefault="00395B70" w:rsidP="00936D65">
      <w:pPr>
        <w:pStyle w:val="Default"/>
        <w:tabs>
          <w:tab w:val="left" w:pos="10206"/>
        </w:tabs>
        <w:spacing w:after="120"/>
        <w:ind w:left="1134" w:right="260" w:hanging="567"/>
        <w:jc w:val="both"/>
        <w:rPr>
          <w:sz w:val="22"/>
          <w:szCs w:val="22"/>
        </w:rPr>
      </w:pPr>
      <w:r w:rsidRPr="00936D65">
        <w:rPr>
          <w:color w:val="auto"/>
          <w:sz w:val="22"/>
          <w:szCs w:val="22"/>
        </w:rPr>
        <w:t xml:space="preserve">9.1 </w:t>
      </w:r>
      <w:r w:rsidR="00936D65">
        <w:rPr>
          <w:color w:val="auto"/>
          <w:sz w:val="22"/>
          <w:szCs w:val="22"/>
        </w:rPr>
        <w:tab/>
      </w:r>
      <w:r w:rsidRPr="00936D65">
        <w:rPr>
          <w:sz w:val="22"/>
          <w:szCs w:val="22"/>
        </w:rPr>
        <w:t>Demonstrate the capacity to gather and evaluate library and web based resources (e-journals and other on-line resources) appropriate to level 4 study</w:t>
      </w:r>
      <w:r w:rsidR="00936D65">
        <w:rPr>
          <w:sz w:val="22"/>
          <w:szCs w:val="22"/>
        </w:rPr>
        <w:t>.</w:t>
      </w:r>
    </w:p>
    <w:p w14:paraId="309534BD" w14:textId="01575C45" w:rsidR="00395B70" w:rsidRPr="00936D65" w:rsidRDefault="00395B70" w:rsidP="00936D65">
      <w:pPr>
        <w:pStyle w:val="Default"/>
        <w:tabs>
          <w:tab w:val="left" w:pos="10206"/>
        </w:tabs>
        <w:spacing w:after="120"/>
        <w:ind w:left="1134" w:right="260" w:hanging="567"/>
        <w:jc w:val="both"/>
        <w:rPr>
          <w:sz w:val="22"/>
          <w:szCs w:val="22"/>
        </w:rPr>
      </w:pPr>
      <w:r w:rsidRPr="00936D65">
        <w:rPr>
          <w:sz w:val="22"/>
          <w:szCs w:val="22"/>
        </w:rPr>
        <w:lastRenderedPageBreak/>
        <w:t xml:space="preserve">9.2 </w:t>
      </w:r>
      <w:r w:rsidR="00936D65">
        <w:rPr>
          <w:sz w:val="22"/>
          <w:szCs w:val="22"/>
        </w:rPr>
        <w:tab/>
      </w:r>
      <w:r w:rsidRPr="00936D65">
        <w:rPr>
          <w:sz w:val="22"/>
          <w:szCs w:val="22"/>
        </w:rPr>
        <w:t>Integrate theoretical perspectives and evidence from a range of appropriate sources in              order to construct a coherent argument in writing</w:t>
      </w:r>
      <w:r w:rsidR="00936D65">
        <w:rPr>
          <w:sz w:val="22"/>
          <w:szCs w:val="22"/>
        </w:rPr>
        <w:t>.</w:t>
      </w:r>
    </w:p>
    <w:p w14:paraId="6714F2AD" w14:textId="01910A39" w:rsidR="00395B70" w:rsidRPr="00936D65" w:rsidRDefault="00395B70" w:rsidP="00936D65">
      <w:pPr>
        <w:pStyle w:val="ListParagraph"/>
        <w:numPr>
          <w:ilvl w:val="1"/>
          <w:numId w:val="11"/>
        </w:numPr>
        <w:tabs>
          <w:tab w:val="left" w:pos="10206"/>
        </w:tabs>
        <w:spacing w:after="0" w:line="240" w:lineRule="auto"/>
        <w:ind w:left="1134" w:right="261" w:hanging="567"/>
        <w:jc w:val="both"/>
        <w:rPr>
          <w:rFonts w:ascii="Arial" w:hAnsi="Arial" w:cs="Arial"/>
        </w:rPr>
      </w:pPr>
      <w:r w:rsidRPr="00936D65">
        <w:rPr>
          <w:rFonts w:ascii="Arial" w:hAnsi="Arial" w:cs="Arial"/>
        </w:rPr>
        <w:t>Demonstrate academic skills through library investigation, class discussion and written    assignments</w:t>
      </w:r>
      <w:r w:rsidR="00936D65">
        <w:rPr>
          <w:rFonts w:ascii="Arial" w:hAnsi="Arial" w:cs="Arial"/>
        </w:rPr>
        <w:t>.</w:t>
      </w:r>
    </w:p>
    <w:p w14:paraId="03813C49" w14:textId="77777777" w:rsidR="00EF7BC1" w:rsidRPr="00395B70" w:rsidRDefault="00EF7BC1" w:rsidP="00936D65">
      <w:pPr>
        <w:pStyle w:val="ListParagraph"/>
        <w:tabs>
          <w:tab w:val="left" w:pos="10206"/>
        </w:tabs>
        <w:spacing w:after="0" w:line="240" w:lineRule="auto"/>
        <w:ind w:left="567" w:right="261"/>
        <w:jc w:val="both"/>
        <w:rPr>
          <w:rFonts w:ascii="Arial" w:hAnsi="Arial" w:cs="Arial"/>
          <w:sz w:val="24"/>
          <w:szCs w:val="24"/>
        </w:rPr>
      </w:pPr>
    </w:p>
    <w:p w14:paraId="441B7256" w14:textId="77777777" w:rsidR="009A2D37" w:rsidRPr="00302082" w:rsidRDefault="009A2D37" w:rsidP="00936D65">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A synopsis of the curriculum</w:t>
      </w:r>
    </w:p>
    <w:p w14:paraId="6BFE36BD" w14:textId="77777777" w:rsidR="00784FFD" w:rsidRPr="00784FFD" w:rsidRDefault="00784FFD" w:rsidP="00936D65">
      <w:pPr>
        <w:pStyle w:val="ListParagraph"/>
        <w:tabs>
          <w:tab w:val="left" w:pos="10206"/>
        </w:tabs>
        <w:spacing w:after="0" w:line="240" w:lineRule="auto"/>
        <w:ind w:left="567" w:right="261"/>
        <w:jc w:val="both"/>
        <w:rPr>
          <w:rFonts w:ascii="Arial" w:hAnsi="Arial" w:cs="Arial"/>
        </w:rPr>
      </w:pPr>
      <w:r w:rsidRPr="00784FFD">
        <w:rPr>
          <w:rFonts w:ascii="Arial" w:hAnsi="Arial" w:cs="Arial"/>
        </w:rPr>
        <w:t xml:space="preserve">This module will introduce students to why social workers need to know the law; how laws are made and classified; natural law and positivist law and their intersection with ethics and philosophy; the sources and context of English law; and the ‘legal framework’ of English social work including legislation, quasi-legislation and social policy.  </w:t>
      </w:r>
    </w:p>
    <w:p w14:paraId="1286E746" w14:textId="77777777" w:rsidR="00784FFD" w:rsidRPr="00784FFD" w:rsidRDefault="00784FFD" w:rsidP="00936D65">
      <w:pPr>
        <w:pStyle w:val="ListParagraph"/>
        <w:tabs>
          <w:tab w:val="left" w:pos="10206"/>
        </w:tabs>
        <w:spacing w:after="0" w:line="240" w:lineRule="auto"/>
        <w:ind w:left="567" w:right="261"/>
        <w:jc w:val="both"/>
        <w:rPr>
          <w:rFonts w:ascii="Arial" w:hAnsi="Arial" w:cs="Arial"/>
        </w:rPr>
      </w:pPr>
      <w:r w:rsidRPr="00784FFD">
        <w:rPr>
          <w:rFonts w:ascii="Arial" w:hAnsi="Arial" w:cs="Arial"/>
        </w:rPr>
        <w:t>An introduction will be provided to the primary and secondary legislation and guidance and the cases that together constitute ‘the law’ relating to: children and families; youth justice; adults - including those with a learning disability, a physical disability and who are vulnerable as a consequence of age related ill health &amp; carers; and mental health work.</w:t>
      </w:r>
    </w:p>
    <w:p w14:paraId="5C633096" w14:textId="77777777" w:rsidR="00784FFD" w:rsidRPr="00784FFD" w:rsidRDefault="00784FFD" w:rsidP="00936D65">
      <w:pPr>
        <w:pStyle w:val="ListParagraph"/>
        <w:tabs>
          <w:tab w:val="left" w:pos="10206"/>
        </w:tabs>
        <w:spacing w:after="0" w:line="240" w:lineRule="auto"/>
        <w:ind w:left="567" w:right="261"/>
        <w:jc w:val="both"/>
        <w:rPr>
          <w:rFonts w:ascii="Arial" w:hAnsi="Arial" w:cs="Arial"/>
        </w:rPr>
      </w:pPr>
      <w:r w:rsidRPr="00784FFD">
        <w:rPr>
          <w:rFonts w:ascii="Arial" w:hAnsi="Arial" w:cs="Arial"/>
        </w:rPr>
        <w:t>Students will consider the application of legislation as it relates to social work activities, duties and decisions including Case Law, the role and nature of Courts and the legal profession, legal procedure, and the nature of evidence including forensic vs therapeutic interventions. They will be introduced to Human Rights and equality law with a particular focus on justice and the promotion of equality in the areas of “race”, gender and sexual orientation, disability and age. They will also consider safeguarding, mental capacity law, confidentiality and responsible information handling.</w:t>
      </w:r>
    </w:p>
    <w:p w14:paraId="644BC142" w14:textId="77777777" w:rsidR="00154D48" w:rsidRPr="00154D48" w:rsidRDefault="00154D48" w:rsidP="00936D65">
      <w:pPr>
        <w:tabs>
          <w:tab w:val="left" w:pos="10206"/>
        </w:tabs>
        <w:spacing w:after="120" w:line="240" w:lineRule="auto"/>
        <w:ind w:left="567" w:right="260"/>
        <w:jc w:val="both"/>
        <w:rPr>
          <w:rFonts w:ascii="Arial" w:hAnsi="Arial" w:cs="Arial"/>
          <w:iCs/>
        </w:rPr>
      </w:pPr>
    </w:p>
    <w:p w14:paraId="4941E7DA" w14:textId="77777777" w:rsidR="009A2D37" w:rsidRPr="00302082" w:rsidRDefault="00883204" w:rsidP="00936D65">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687F19" w14:textId="77777777" w:rsidR="00784FFD" w:rsidRPr="00784FFD" w:rsidRDefault="00784FFD" w:rsidP="00936D65">
      <w:pPr>
        <w:tabs>
          <w:tab w:val="left" w:pos="10206"/>
        </w:tabs>
        <w:spacing w:after="120" w:line="240" w:lineRule="auto"/>
        <w:ind w:left="567" w:right="260"/>
        <w:jc w:val="both"/>
        <w:rPr>
          <w:rFonts w:ascii="Arial" w:hAnsi="Arial" w:cs="Arial"/>
        </w:rPr>
      </w:pPr>
      <w:proofErr w:type="spellStart"/>
      <w:r w:rsidRPr="00784FFD">
        <w:rPr>
          <w:rFonts w:ascii="Arial" w:hAnsi="Arial" w:cs="Arial"/>
        </w:rPr>
        <w:t>Braye</w:t>
      </w:r>
      <w:proofErr w:type="spellEnd"/>
      <w:r w:rsidRPr="00784FFD">
        <w:rPr>
          <w:rFonts w:ascii="Arial" w:hAnsi="Arial" w:cs="Arial"/>
        </w:rPr>
        <w:t xml:space="preserve">, S. &amp; Preston-Shoot, M. (2010) </w:t>
      </w:r>
      <w:r w:rsidRPr="00784FFD">
        <w:rPr>
          <w:rFonts w:ascii="Arial" w:hAnsi="Arial" w:cs="Arial"/>
          <w:i/>
        </w:rPr>
        <w:t>Practising Social Work Law</w:t>
      </w:r>
      <w:r w:rsidRPr="00784FFD">
        <w:rPr>
          <w:rFonts w:ascii="Arial" w:hAnsi="Arial" w:cs="Arial"/>
        </w:rPr>
        <w:t xml:space="preserve"> 3rd </w:t>
      </w:r>
      <w:proofErr w:type="spellStart"/>
      <w:r w:rsidRPr="00784FFD">
        <w:rPr>
          <w:rFonts w:ascii="Arial" w:hAnsi="Arial" w:cs="Arial"/>
        </w:rPr>
        <w:t>edn</w:t>
      </w:r>
      <w:proofErr w:type="spellEnd"/>
      <w:r w:rsidRPr="00784FFD">
        <w:rPr>
          <w:rFonts w:ascii="Arial" w:hAnsi="Arial" w:cs="Arial"/>
        </w:rPr>
        <w:t>. Basingstoke: Palgrave Macmillan.</w:t>
      </w:r>
    </w:p>
    <w:p w14:paraId="43E0A0F2" w14:textId="77777777" w:rsidR="00784FFD" w:rsidRPr="00784FFD" w:rsidRDefault="00784FFD" w:rsidP="00936D65">
      <w:pPr>
        <w:tabs>
          <w:tab w:val="left" w:pos="10206"/>
        </w:tabs>
        <w:spacing w:after="120" w:line="240" w:lineRule="auto"/>
        <w:ind w:left="567" w:right="260"/>
        <w:jc w:val="both"/>
        <w:rPr>
          <w:rFonts w:ascii="Arial" w:hAnsi="Arial" w:cs="Arial"/>
        </w:rPr>
      </w:pPr>
      <w:proofErr w:type="spellStart"/>
      <w:r w:rsidRPr="00784FFD">
        <w:rPr>
          <w:rFonts w:ascii="Arial" w:hAnsi="Arial" w:cs="Arial"/>
        </w:rPr>
        <w:t>Brayne</w:t>
      </w:r>
      <w:proofErr w:type="spellEnd"/>
      <w:r w:rsidRPr="00784FFD">
        <w:rPr>
          <w:rFonts w:ascii="Arial" w:hAnsi="Arial" w:cs="Arial"/>
        </w:rPr>
        <w:t xml:space="preserve">, H. and Carr, H. (2012) </w:t>
      </w:r>
      <w:r w:rsidRPr="00784FFD">
        <w:rPr>
          <w:rFonts w:ascii="Arial" w:hAnsi="Arial" w:cs="Arial"/>
          <w:i/>
        </w:rPr>
        <w:t>Law for Social Workers</w:t>
      </w:r>
      <w:r w:rsidRPr="00784FFD">
        <w:rPr>
          <w:rFonts w:ascii="Arial" w:hAnsi="Arial" w:cs="Arial"/>
        </w:rPr>
        <w:t xml:space="preserve"> 12th ed Oxford University Press </w:t>
      </w:r>
    </w:p>
    <w:p w14:paraId="1B8B4CF8" w14:textId="45AF90A0" w:rsidR="00784FFD" w:rsidRPr="00784FFD" w:rsidRDefault="00784FFD" w:rsidP="00936D65">
      <w:pPr>
        <w:tabs>
          <w:tab w:val="left" w:pos="10206"/>
        </w:tabs>
        <w:spacing w:after="120" w:line="240" w:lineRule="auto"/>
        <w:ind w:left="567" w:right="260"/>
        <w:jc w:val="both"/>
        <w:rPr>
          <w:rFonts w:ascii="Arial" w:hAnsi="Arial" w:cs="Arial"/>
        </w:rPr>
      </w:pPr>
      <w:r w:rsidRPr="00784FFD">
        <w:rPr>
          <w:rFonts w:ascii="Arial" w:hAnsi="Arial" w:cs="Arial"/>
        </w:rPr>
        <w:t>Health &amp; Care Profe</w:t>
      </w:r>
      <w:r w:rsidR="00E43999">
        <w:rPr>
          <w:rFonts w:ascii="Arial" w:hAnsi="Arial" w:cs="Arial"/>
        </w:rPr>
        <w:t>s</w:t>
      </w:r>
      <w:r w:rsidRPr="00784FFD">
        <w:rPr>
          <w:rFonts w:ascii="Arial" w:hAnsi="Arial" w:cs="Arial"/>
        </w:rPr>
        <w:t xml:space="preserve">sions Council (2012) </w:t>
      </w:r>
      <w:r w:rsidRPr="00784FFD">
        <w:rPr>
          <w:rFonts w:ascii="Arial" w:hAnsi="Arial" w:cs="Arial"/>
          <w:i/>
        </w:rPr>
        <w:t>Standards of Proficiency - England</w:t>
      </w:r>
      <w:r w:rsidRPr="00784FFD">
        <w:rPr>
          <w:rFonts w:ascii="Arial" w:hAnsi="Arial" w:cs="Arial"/>
        </w:rPr>
        <w:t xml:space="preserve"> London: HCPC</w:t>
      </w:r>
    </w:p>
    <w:p w14:paraId="4A147AEB" w14:textId="77777777" w:rsidR="00784FFD" w:rsidRPr="00784FFD" w:rsidRDefault="00784FFD" w:rsidP="00936D65">
      <w:pPr>
        <w:tabs>
          <w:tab w:val="left" w:pos="10206"/>
        </w:tabs>
        <w:spacing w:after="120" w:line="240" w:lineRule="auto"/>
        <w:ind w:left="567" w:right="260"/>
        <w:jc w:val="both"/>
        <w:rPr>
          <w:rFonts w:ascii="Arial" w:hAnsi="Arial" w:cs="Arial"/>
        </w:rPr>
      </w:pPr>
      <w:r w:rsidRPr="00784FFD">
        <w:rPr>
          <w:rFonts w:ascii="Arial" w:hAnsi="Arial" w:cs="Arial"/>
        </w:rPr>
        <w:t xml:space="preserve">Laird, S.E (2010) </w:t>
      </w:r>
      <w:r w:rsidRPr="00784FFD">
        <w:rPr>
          <w:rFonts w:ascii="Arial" w:hAnsi="Arial" w:cs="Arial"/>
          <w:i/>
        </w:rPr>
        <w:t>Practical Social Work Law,</w:t>
      </w:r>
      <w:r w:rsidRPr="00784FFD">
        <w:rPr>
          <w:rFonts w:ascii="Arial" w:hAnsi="Arial" w:cs="Arial"/>
        </w:rPr>
        <w:t xml:space="preserve"> Pearson, Harlow </w:t>
      </w:r>
    </w:p>
    <w:p w14:paraId="0EBC6563" w14:textId="77777777" w:rsidR="00784FFD" w:rsidRPr="00784FFD" w:rsidRDefault="00784FFD" w:rsidP="00936D65">
      <w:pPr>
        <w:tabs>
          <w:tab w:val="left" w:pos="10206"/>
        </w:tabs>
        <w:spacing w:after="120" w:line="240" w:lineRule="auto"/>
        <w:ind w:left="567" w:right="260"/>
        <w:jc w:val="both"/>
        <w:rPr>
          <w:rFonts w:ascii="Arial" w:hAnsi="Arial" w:cs="Arial"/>
        </w:rPr>
      </w:pPr>
      <w:r w:rsidRPr="00784FFD">
        <w:rPr>
          <w:rFonts w:ascii="Arial" w:hAnsi="Arial" w:cs="Arial"/>
        </w:rPr>
        <w:t xml:space="preserve">Long, L., Roche, J. &amp; Stringer, D. (eds) (2010) </w:t>
      </w:r>
      <w:r w:rsidRPr="00784FFD">
        <w:rPr>
          <w:rFonts w:ascii="Arial" w:hAnsi="Arial" w:cs="Arial"/>
          <w:i/>
        </w:rPr>
        <w:t>The Law and Social Work: Contemporary Issues for Practice</w:t>
      </w:r>
      <w:r w:rsidRPr="00784FFD">
        <w:rPr>
          <w:rFonts w:ascii="Arial" w:hAnsi="Arial" w:cs="Arial"/>
        </w:rPr>
        <w:t xml:space="preserve"> (2nd </w:t>
      </w:r>
      <w:proofErr w:type="spellStart"/>
      <w:proofErr w:type="gramStart"/>
      <w:r w:rsidRPr="00784FFD">
        <w:rPr>
          <w:rFonts w:ascii="Arial" w:hAnsi="Arial" w:cs="Arial"/>
        </w:rPr>
        <w:t>edn</w:t>
      </w:r>
      <w:proofErr w:type="spellEnd"/>
      <w:r w:rsidRPr="00784FFD">
        <w:rPr>
          <w:rFonts w:ascii="Arial" w:hAnsi="Arial" w:cs="Arial"/>
        </w:rPr>
        <w:t>)  Basingstoke</w:t>
      </w:r>
      <w:proofErr w:type="gramEnd"/>
      <w:r w:rsidRPr="00784FFD">
        <w:rPr>
          <w:rFonts w:ascii="Arial" w:hAnsi="Arial" w:cs="Arial"/>
        </w:rPr>
        <w:t xml:space="preserve">: Palgrave Macmillan. </w:t>
      </w:r>
    </w:p>
    <w:p w14:paraId="6C8A3C89" w14:textId="77777777" w:rsidR="00784FFD" w:rsidRPr="00784FFD" w:rsidRDefault="00784FFD" w:rsidP="00936D65">
      <w:pPr>
        <w:tabs>
          <w:tab w:val="left" w:pos="10206"/>
        </w:tabs>
        <w:spacing w:after="120" w:line="240" w:lineRule="auto"/>
        <w:ind w:left="567" w:right="260"/>
        <w:jc w:val="both"/>
        <w:rPr>
          <w:rFonts w:ascii="Arial" w:hAnsi="Arial" w:cs="Arial"/>
        </w:rPr>
      </w:pPr>
      <w:r w:rsidRPr="00784FFD">
        <w:rPr>
          <w:rFonts w:ascii="Arial" w:hAnsi="Arial" w:cs="Arial"/>
        </w:rPr>
        <w:t xml:space="preserve">Partington, M. (Ed) (2008) </w:t>
      </w:r>
      <w:r w:rsidRPr="00784FFD">
        <w:rPr>
          <w:rFonts w:ascii="Arial" w:hAnsi="Arial" w:cs="Arial"/>
          <w:i/>
        </w:rPr>
        <w:t>An Introduction to the English Legal System</w:t>
      </w:r>
      <w:r w:rsidRPr="00784FFD">
        <w:rPr>
          <w:rFonts w:ascii="Arial" w:hAnsi="Arial" w:cs="Arial"/>
        </w:rPr>
        <w:t xml:space="preserve"> 4th ed Oxford University Press </w:t>
      </w:r>
    </w:p>
    <w:p w14:paraId="0E414F1B" w14:textId="77777777" w:rsidR="009A2D37" w:rsidRPr="00154D48" w:rsidRDefault="00784FFD" w:rsidP="00936D65">
      <w:pPr>
        <w:tabs>
          <w:tab w:val="left" w:pos="10206"/>
        </w:tabs>
        <w:spacing w:after="120" w:line="240" w:lineRule="auto"/>
        <w:ind w:left="567" w:right="260"/>
        <w:jc w:val="both"/>
        <w:rPr>
          <w:rFonts w:ascii="Arial" w:hAnsi="Arial" w:cs="Arial"/>
        </w:rPr>
      </w:pPr>
      <w:r w:rsidRPr="00784FFD">
        <w:rPr>
          <w:rFonts w:ascii="Arial" w:hAnsi="Arial" w:cs="Arial"/>
        </w:rPr>
        <w:t xml:space="preserve">White, R., Broadbent, G. and Brown, K. (2009) </w:t>
      </w:r>
      <w:r w:rsidRPr="00784FFD">
        <w:rPr>
          <w:rFonts w:ascii="Arial" w:hAnsi="Arial" w:cs="Arial"/>
          <w:i/>
        </w:rPr>
        <w:t>Law and the Social Work Practitioner</w:t>
      </w:r>
      <w:r w:rsidRPr="00784FFD">
        <w:rPr>
          <w:rFonts w:ascii="Arial" w:hAnsi="Arial" w:cs="Arial"/>
        </w:rPr>
        <w:t xml:space="preserve"> 2nd ed Exeter: Learning Matters Ltd</w:t>
      </w:r>
    </w:p>
    <w:p w14:paraId="7A8471AF" w14:textId="77777777" w:rsidR="00154D48" w:rsidRPr="00154D48" w:rsidRDefault="00154D48" w:rsidP="00936D65">
      <w:pPr>
        <w:tabs>
          <w:tab w:val="left" w:pos="10206"/>
        </w:tabs>
        <w:spacing w:after="120" w:line="240" w:lineRule="auto"/>
        <w:ind w:left="567" w:right="260"/>
        <w:jc w:val="both"/>
        <w:rPr>
          <w:rFonts w:ascii="Arial" w:hAnsi="Arial" w:cs="Arial"/>
        </w:rPr>
      </w:pPr>
    </w:p>
    <w:p w14:paraId="460A2D3A" w14:textId="77777777" w:rsidR="00883204" w:rsidRPr="00883204" w:rsidRDefault="009A2D37" w:rsidP="00936D65">
      <w:pPr>
        <w:numPr>
          <w:ilvl w:val="0"/>
          <w:numId w:val="1"/>
        </w:numPr>
        <w:tabs>
          <w:tab w:val="left" w:pos="10206"/>
        </w:tabs>
        <w:spacing w:after="120"/>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F75DE38" w14:textId="77777777" w:rsidR="00784FFD" w:rsidRPr="00275A56" w:rsidRDefault="00784FFD" w:rsidP="00936D65">
      <w:pPr>
        <w:pStyle w:val="ListParagraph"/>
        <w:tabs>
          <w:tab w:val="left" w:pos="10206"/>
        </w:tabs>
        <w:spacing w:after="120"/>
        <w:ind w:left="567" w:right="260"/>
        <w:jc w:val="both"/>
        <w:rPr>
          <w:rFonts w:ascii="Arial" w:hAnsi="Arial" w:cs="Arial"/>
          <w:iCs/>
        </w:rPr>
      </w:pPr>
      <w:r w:rsidRPr="00275A56">
        <w:rPr>
          <w:rFonts w:ascii="Arial" w:hAnsi="Arial" w:cs="Arial"/>
          <w:iCs/>
        </w:rPr>
        <w:t>Total contact hours:  22</w:t>
      </w:r>
    </w:p>
    <w:p w14:paraId="37DABD25" w14:textId="77777777" w:rsidR="00784FFD" w:rsidRPr="00275A56" w:rsidRDefault="00784FFD" w:rsidP="00936D65">
      <w:pPr>
        <w:pStyle w:val="ListParagraph"/>
        <w:tabs>
          <w:tab w:val="left" w:pos="10206"/>
        </w:tabs>
        <w:spacing w:after="120"/>
        <w:ind w:left="567" w:right="260"/>
        <w:jc w:val="both"/>
        <w:rPr>
          <w:rFonts w:ascii="Arial" w:hAnsi="Arial" w:cs="Arial"/>
          <w:iCs/>
        </w:rPr>
      </w:pPr>
      <w:r w:rsidRPr="00275A56">
        <w:rPr>
          <w:rFonts w:ascii="Arial" w:hAnsi="Arial" w:cs="Arial"/>
          <w:iCs/>
        </w:rPr>
        <w:t>Private study hours: 128</w:t>
      </w:r>
      <w:r w:rsidRPr="00275A56">
        <w:rPr>
          <w:rFonts w:ascii="Arial" w:hAnsi="Arial" w:cs="Arial"/>
          <w:iCs/>
        </w:rPr>
        <w:tab/>
      </w:r>
    </w:p>
    <w:p w14:paraId="5D971420" w14:textId="77777777" w:rsidR="009A2D37" w:rsidRPr="00154D48" w:rsidRDefault="00784FFD" w:rsidP="00936D65">
      <w:pPr>
        <w:pStyle w:val="ListParagraph"/>
        <w:tabs>
          <w:tab w:val="left" w:pos="10206"/>
        </w:tabs>
        <w:spacing w:after="120"/>
        <w:ind w:left="567" w:right="260"/>
        <w:jc w:val="both"/>
        <w:rPr>
          <w:rFonts w:ascii="Arial" w:hAnsi="Arial" w:cs="Arial"/>
          <w:iCs/>
        </w:rPr>
      </w:pPr>
      <w:r w:rsidRPr="00275A56">
        <w:rPr>
          <w:rFonts w:ascii="Arial" w:hAnsi="Arial" w:cs="Arial"/>
          <w:iCs/>
        </w:rPr>
        <w:t>Total study hours:  150</w:t>
      </w:r>
    </w:p>
    <w:p w14:paraId="07EBE7BF" w14:textId="77777777" w:rsidR="00154D48" w:rsidRPr="00154D48" w:rsidRDefault="00154D48" w:rsidP="00936D65">
      <w:pPr>
        <w:tabs>
          <w:tab w:val="left" w:pos="10206"/>
        </w:tabs>
        <w:spacing w:after="120" w:line="240" w:lineRule="auto"/>
        <w:ind w:left="567" w:right="260"/>
        <w:jc w:val="both"/>
        <w:rPr>
          <w:rFonts w:ascii="Arial" w:hAnsi="Arial" w:cs="Arial"/>
          <w:iCs/>
        </w:rPr>
      </w:pPr>
    </w:p>
    <w:p w14:paraId="00262EE2" w14:textId="77777777" w:rsidR="00883204" w:rsidRPr="00883204" w:rsidRDefault="00EF4933" w:rsidP="00936D65">
      <w:pPr>
        <w:numPr>
          <w:ilvl w:val="0"/>
          <w:numId w:val="1"/>
        </w:numPr>
        <w:tabs>
          <w:tab w:val="left" w:pos="10206"/>
        </w:tabs>
        <w:spacing w:after="120" w:line="240" w:lineRule="auto"/>
        <w:ind w:left="567" w:right="260" w:hanging="567"/>
        <w:jc w:val="both"/>
        <w:rPr>
          <w:rFonts w:ascii="Arial" w:hAnsi="Arial" w:cs="Arial"/>
          <w:i/>
          <w:iCs/>
        </w:rPr>
      </w:pPr>
      <w:r w:rsidRPr="00302082">
        <w:rPr>
          <w:rFonts w:ascii="Arial" w:hAnsi="Arial" w:cs="Arial"/>
          <w:b/>
        </w:rPr>
        <w:t>Assessment methods</w:t>
      </w:r>
    </w:p>
    <w:p w14:paraId="53E132D2" w14:textId="77777777" w:rsidR="00696FF5" w:rsidRPr="00936D65" w:rsidRDefault="00696FF5" w:rsidP="00936D65">
      <w:pPr>
        <w:pStyle w:val="ListParagraph"/>
        <w:numPr>
          <w:ilvl w:val="1"/>
          <w:numId w:val="9"/>
        </w:numPr>
        <w:tabs>
          <w:tab w:val="left" w:pos="10206"/>
        </w:tabs>
        <w:spacing w:after="120"/>
        <w:ind w:left="567" w:hanging="567"/>
        <w:jc w:val="both"/>
        <w:rPr>
          <w:rFonts w:ascii="Arial" w:hAnsi="Arial" w:cs="Arial"/>
          <w:iCs/>
          <w:u w:val="single"/>
        </w:rPr>
      </w:pPr>
      <w:r w:rsidRPr="00936D65">
        <w:rPr>
          <w:rFonts w:ascii="Arial" w:hAnsi="Arial" w:cs="Arial"/>
          <w:iCs/>
          <w:u w:val="single"/>
        </w:rPr>
        <w:t>Main assessment methods</w:t>
      </w:r>
    </w:p>
    <w:p w14:paraId="01678E44" w14:textId="5C713C0F" w:rsidR="003F3578" w:rsidRDefault="00936D65" w:rsidP="00936D65">
      <w:pPr>
        <w:tabs>
          <w:tab w:val="left" w:pos="10206"/>
        </w:tabs>
        <w:spacing w:after="120" w:line="240" w:lineRule="auto"/>
        <w:ind w:left="567" w:right="260"/>
        <w:jc w:val="both"/>
        <w:rPr>
          <w:rFonts w:ascii="Arial" w:hAnsi="Arial" w:cs="Arial"/>
          <w:iCs/>
        </w:rPr>
      </w:pPr>
      <w:r>
        <w:rPr>
          <w:rFonts w:ascii="Arial" w:hAnsi="Arial" w:cs="Arial"/>
          <w:iCs/>
        </w:rPr>
        <w:t>Coursework – essay (20</w:t>
      </w:r>
      <w:r w:rsidR="00784FFD">
        <w:rPr>
          <w:rFonts w:ascii="Arial" w:hAnsi="Arial" w:cs="Arial"/>
          <w:iCs/>
        </w:rPr>
        <w:t>00 words) – 80%</w:t>
      </w:r>
      <w:r w:rsidR="00EF7BC1">
        <w:rPr>
          <w:rFonts w:ascii="Arial" w:hAnsi="Arial" w:cs="Arial"/>
          <w:iCs/>
        </w:rPr>
        <w:t>*</w:t>
      </w:r>
    </w:p>
    <w:p w14:paraId="7CC97EBF" w14:textId="14C3DA98" w:rsidR="00784FFD" w:rsidRPr="00154D48" w:rsidRDefault="00784FFD" w:rsidP="00936D65">
      <w:pPr>
        <w:tabs>
          <w:tab w:val="left" w:pos="10206"/>
        </w:tabs>
        <w:spacing w:after="120" w:line="240" w:lineRule="auto"/>
        <w:ind w:left="567" w:right="260"/>
        <w:jc w:val="both"/>
        <w:rPr>
          <w:rFonts w:ascii="Arial" w:hAnsi="Arial" w:cs="Arial"/>
          <w:iCs/>
        </w:rPr>
      </w:pPr>
      <w:r>
        <w:rPr>
          <w:rFonts w:ascii="Arial" w:hAnsi="Arial" w:cs="Arial"/>
          <w:iCs/>
        </w:rPr>
        <w:lastRenderedPageBreak/>
        <w:t>Coursework – in-class test - 20%</w:t>
      </w:r>
      <w:r w:rsidR="00EF7BC1">
        <w:rPr>
          <w:rFonts w:ascii="Arial" w:hAnsi="Arial" w:cs="Arial"/>
          <w:iCs/>
        </w:rPr>
        <w:t>*</w:t>
      </w:r>
    </w:p>
    <w:p w14:paraId="5910607E" w14:textId="441BB9E8" w:rsidR="00154D48" w:rsidRDefault="00EF7BC1" w:rsidP="00936D65">
      <w:pPr>
        <w:tabs>
          <w:tab w:val="left" w:pos="10206"/>
        </w:tabs>
        <w:spacing w:after="120" w:line="240" w:lineRule="auto"/>
        <w:ind w:left="567" w:right="260"/>
        <w:jc w:val="both"/>
        <w:rPr>
          <w:rFonts w:ascii="Arial" w:hAnsi="Arial" w:cs="Arial"/>
          <w:iCs/>
        </w:rPr>
      </w:pPr>
      <w:r>
        <w:rPr>
          <w:rFonts w:ascii="Arial" w:hAnsi="Arial" w:cs="Arial"/>
          <w:iCs/>
        </w:rPr>
        <w:t>*</w:t>
      </w:r>
      <w:r w:rsidR="00936D65">
        <w:rPr>
          <w:rFonts w:ascii="Arial" w:hAnsi="Arial" w:cs="Arial"/>
          <w:iCs/>
        </w:rPr>
        <w:t xml:space="preserve"> </w:t>
      </w:r>
      <w:r>
        <w:rPr>
          <w:rFonts w:ascii="Arial" w:hAnsi="Arial" w:cs="Arial"/>
          <w:iCs/>
        </w:rPr>
        <w:t xml:space="preserve">These components are ‘Pass compulsory’ – </w:t>
      </w:r>
      <w:r w:rsidR="00784FFD">
        <w:rPr>
          <w:rFonts w:ascii="Arial" w:hAnsi="Arial" w:cs="Arial"/>
          <w:iCs/>
        </w:rPr>
        <w:t>Students are required to pass</w:t>
      </w:r>
      <w:r>
        <w:rPr>
          <w:rFonts w:ascii="Arial" w:hAnsi="Arial" w:cs="Arial"/>
          <w:iCs/>
        </w:rPr>
        <w:t xml:space="preserve"> BOTH</w:t>
      </w:r>
      <w:r w:rsidR="00784FFD">
        <w:rPr>
          <w:rFonts w:ascii="Arial" w:hAnsi="Arial" w:cs="Arial"/>
          <w:iCs/>
        </w:rPr>
        <w:t xml:space="preserve"> individual components of the main assessment to pass the module</w:t>
      </w:r>
    </w:p>
    <w:p w14:paraId="399A7A1C" w14:textId="77777777" w:rsidR="00936D65" w:rsidRPr="00154D48" w:rsidRDefault="00936D65" w:rsidP="00936D65">
      <w:pPr>
        <w:tabs>
          <w:tab w:val="left" w:pos="10206"/>
        </w:tabs>
        <w:spacing w:after="120" w:line="240" w:lineRule="auto"/>
        <w:ind w:left="567" w:right="260"/>
        <w:jc w:val="both"/>
        <w:rPr>
          <w:rFonts w:ascii="Arial" w:hAnsi="Arial" w:cs="Arial"/>
          <w:iCs/>
        </w:rPr>
      </w:pPr>
    </w:p>
    <w:p w14:paraId="6452B7EF" w14:textId="77777777" w:rsidR="00696FF5" w:rsidRPr="00936D65" w:rsidRDefault="00696FF5" w:rsidP="00936D65">
      <w:pPr>
        <w:tabs>
          <w:tab w:val="left" w:pos="10206"/>
        </w:tabs>
        <w:spacing w:after="120"/>
        <w:ind w:left="567" w:hanging="567"/>
        <w:jc w:val="both"/>
        <w:rPr>
          <w:rFonts w:ascii="Arial" w:hAnsi="Arial" w:cs="Arial"/>
          <w:iCs/>
          <w:u w:val="single"/>
        </w:rPr>
      </w:pPr>
      <w:r>
        <w:rPr>
          <w:rFonts w:ascii="Arial" w:hAnsi="Arial" w:cs="Arial"/>
          <w:iCs/>
        </w:rPr>
        <w:t>13.2</w:t>
      </w:r>
      <w:r>
        <w:rPr>
          <w:rFonts w:ascii="Arial" w:hAnsi="Arial" w:cs="Arial"/>
          <w:iCs/>
        </w:rPr>
        <w:tab/>
      </w:r>
      <w:r w:rsidRPr="00936D65">
        <w:rPr>
          <w:rFonts w:ascii="Arial" w:hAnsi="Arial" w:cs="Arial"/>
          <w:iCs/>
          <w:u w:val="single"/>
        </w:rPr>
        <w:t xml:space="preserve">Reassessment methods </w:t>
      </w:r>
    </w:p>
    <w:p w14:paraId="546736D2" w14:textId="77777777" w:rsidR="00B72470" w:rsidRPr="00154D48" w:rsidRDefault="00784FFD" w:rsidP="00936D65">
      <w:pPr>
        <w:tabs>
          <w:tab w:val="left" w:pos="10206"/>
        </w:tabs>
        <w:spacing w:after="120" w:line="240" w:lineRule="auto"/>
        <w:ind w:left="567" w:right="260"/>
        <w:jc w:val="both"/>
        <w:rPr>
          <w:rFonts w:ascii="Arial" w:hAnsi="Arial" w:cs="Arial"/>
          <w:iCs/>
        </w:rPr>
      </w:pPr>
      <w:r>
        <w:rPr>
          <w:rFonts w:ascii="Arial" w:hAnsi="Arial" w:cs="Arial"/>
          <w:iCs/>
        </w:rPr>
        <w:t>Like-for-like</w:t>
      </w:r>
    </w:p>
    <w:p w14:paraId="16AEFED1" w14:textId="77777777" w:rsidR="00154D48" w:rsidRPr="00154D48" w:rsidRDefault="00154D48" w:rsidP="00936D65">
      <w:pPr>
        <w:tabs>
          <w:tab w:val="left" w:pos="10206"/>
        </w:tabs>
        <w:spacing w:after="120" w:line="240" w:lineRule="auto"/>
        <w:ind w:left="567" w:right="260"/>
        <w:jc w:val="both"/>
        <w:rPr>
          <w:rFonts w:ascii="Arial" w:hAnsi="Arial" w:cs="Arial"/>
          <w:iCs/>
        </w:rPr>
      </w:pPr>
    </w:p>
    <w:p w14:paraId="52725A50" w14:textId="77777777" w:rsidR="00274ED7" w:rsidRPr="00936D65" w:rsidRDefault="006F3F8B" w:rsidP="00936D65">
      <w:pPr>
        <w:numPr>
          <w:ilvl w:val="0"/>
          <w:numId w:val="1"/>
        </w:numPr>
        <w:tabs>
          <w:tab w:val="left" w:pos="10206"/>
        </w:tabs>
        <w:spacing w:after="120" w:line="240" w:lineRule="auto"/>
        <w:ind w:left="567" w:right="261" w:hanging="567"/>
        <w:jc w:val="both"/>
        <w:rPr>
          <w:rFonts w:ascii="Arial" w:hAnsi="Arial" w:cs="Arial"/>
          <w:b/>
          <w:iCs/>
        </w:rPr>
      </w:pPr>
      <w:r w:rsidRPr="00936D65">
        <w:rPr>
          <w:rFonts w:ascii="Arial" w:hAnsi="Arial" w:cs="Arial"/>
          <w:b/>
          <w:iCs/>
        </w:rPr>
        <w:t xml:space="preserve">Map of </w:t>
      </w:r>
      <w:r w:rsidR="00883204" w:rsidRPr="00936D65">
        <w:rPr>
          <w:rFonts w:ascii="Arial" w:hAnsi="Arial" w:cs="Arial"/>
          <w:b/>
          <w:iCs/>
        </w:rPr>
        <w:t xml:space="preserve">module learning outcomes </w:t>
      </w:r>
      <w:r w:rsidR="00B30E07" w:rsidRPr="00936D65">
        <w:rPr>
          <w:rFonts w:ascii="Arial" w:hAnsi="Arial" w:cs="Arial"/>
          <w:b/>
          <w:iCs/>
        </w:rPr>
        <w:t>(sections 8 &amp; 9)</w:t>
      </w:r>
      <w:r w:rsidR="00883204" w:rsidRPr="00936D65">
        <w:rPr>
          <w:rFonts w:ascii="Arial" w:hAnsi="Arial" w:cs="Arial"/>
          <w:b/>
          <w:iCs/>
        </w:rPr>
        <w:t xml:space="preserve"> to l</w:t>
      </w:r>
      <w:r w:rsidRPr="00936D65">
        <w:rPr>
          <w:rFonts w:ascii="Arial" w:hAnsi="Arial" w:cs="Arial"/>
          <w:b/>
          <w:iCs/>
        </w:rPr>
        <w:t>earning</w:t>
      </w:r>
      <w:r w:rsidR="00B30E07" w:rsidRPr="00936D65">
        <w:rPr>
          <w:rFonts w:ascii="Arial" w:hAnsi="Arial" w:cs="Arial"/>
          <w:b/>
          <w:iCs/>
        </w:rPr>
        <w:t xml:space="preserve"> and </w:t>
      </w:r>
      <w:r w:rsidR="00883204" w:rsidRPr="00936D65">
        <w:rPr>
          <w:rFonts w:ascii="Arial" w:hAnsi="Arial" w:cs="Arial"/>
          <w:b/>
          <w:iCs/>
        </w:rPr>
        <w:t>teaching m</w:t>
      </w:r>
      <w:r w:rsidR="00B30E07" w:rsidRPr="00936D65">
        <w:rPr>
          <w:rFonts w:ascii="Arial" w:hAnsi="Arial" w:cs="Arial"/>
          <w:b/>
          <w:iCs/>
        </w:rPr>
        <w:t>ethods (section12</w:t>
      </w:r>
      <w:r w:rsidRPr="00936D65">
        <w:rPr>
          <w:rFonts w:ascii="Arial" w:hAnsi="Arial" w:cs="Arial"/>
          <w:b/>
          <w:iCs/>
        </w:rPr>
        <w:t>) and m</w:t>
      </w:r>
      <w:r w:rsidR="00883204" w:rsidRPr="00936D65">
        <w:rPr>
          <w:rFonts w:ascii="Arial" w:hAnsi="Arial" w:cs="Arial"/>
          <w:b/>
          <w:iCs/>
        </w:rPr>
        <w:t>ethods of a</w:t>
      </w:r>
      <w:r w:rsidR="00B30E07" w:rsidRPr="00936D65">
        <w:rPr>
          <w:rFonts w:ascii="Arial" w:hAnsi="Arial" w:cs="Arial"/>
          <w:b/>
          <w:iCs/>
        </w:rPr>
        <w:t>ssessment (section 13</w:t>
      </w:r>
      <w:r w:rsidR="00EF4933" w:rsidRPr="00936D65">
        <w:rPr>
          <w:rFonts w:ascii="Arial" w:hAnsi="Arial" w:cs="Arial"/>
          <w:b/>
          <w:iCs/>
        </w:rPr>
        <w:t>)</w:t>
      </w:r>
    </w:p>
    <w:p w14:paraId="07FF865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969" w:type="dxa"/>
        <w:jc w:val="center"/>
        <w:tblLayout w:type="fixed"/>
        <w:tblLook w:val="04A0" w:firstRow="1" w:lastRow="0" w:firstColumn="1" w:lastColumn="0" w:noHBand="0" w:noVBand="1"/>
      </w:tblPr>
      <w:tblGrid>
        <w:gridCol w:w="2268"/>
        <w:gridCol w:w="670"/>
        <w:gridCol w:w="670"/>
        <w:gridCol w:w="670"/>
        <w:gridCol w:w="670"/>
        <w:gridCol w:w="670"/>
        <w:gridCol w:w="670"/>
        <w:gridCol w:w="670"/>
        <w:gridCol w:w="670"/>
        <w:gridCol w:w="670"/>
        <w:gridCol w:w="671"/>
      </w:tblGrid>
      <w:tr w:rsidR="00936D65" w:rsidRPr="00302082" w14:paraId="29C972A3" w14:textId="77777777" w:rsidTr="00936D65">
        <w:trPr>
          <w:jc w:val="center"/>
        </w:trPr>
        <w:tc>
          <w:tcPr>
            <w:tcW w:w="2268" w:type="dxa"/>
            <w:shd w:val="clear" w:color="auto" w:fill="D9D9D9" w:themeFill="background1" w:themeFillShade="D9"/>
          </w:tcPr>
          <w:p w14:paraId="70D21BFC" w14:textId="77777777" w:rsidR="00936D65" w:rsidRPr="00302082" w:rsidRDefault="00936D65" w:rsidP="00302082">
            <w:pPr>
              <w:spacing w:after="120"/>
              <w:ind w:left="33"/>
              <w:rPr>
                <w:rFonts w:ascii="Arial" w:hAnsi="Arial" w:cs="Arial"/>
                <w:b/>
              </w:rPr>
            </w:pPr>
            <w:r w:rsidRPr="00302082">
              <w:rPr>
                <w:rFonts w:ascii="Arial" w:hAnsi="Arial" w:cs="Arial"/>
                <w:b/>
              </w:rPr>
              <w:t>Module learning outcome</w:t>
            </w:r>
          </w:p>
        </w:tc>
        <w:tc>
          <w:tcPr>
            <w:tcW w:w="670" w:type="dxa"/>
          </w:tcPr>
          <w:p w14:paraId="478884F6" w14:textId="77777777" w:rsidR="00936D65" w:rsidRPr="002302FD" w:rsidRDefault="00936D65" w:rsidP="00302082">
            <w:pPr>
              <w:spacing w:after="120"/>
              <w:rPr>
                <w:rFonts w:ascii="Arial" w:hAnsi="Arial" w:cs="Arial"/>
              </w:rPr>
            </w:pPr>
            <w:r w:rsidRPr="002302FD">
              <w:rPr>
                <w:rFonts w:ascii="Arial" w:hAnsi="Arial" w:cs="Arial"/>
              </w:rPr>
              <w:t>8.1</w:t>
            </w:r>
          </w:p>
        </w:tc>
        <w:tc>
          <w:tcPr>
            <w:tcW w:w="670" w:type="dxa"/>
          </w:tcPr>
          <w:p w14:paraId="5B61B94B" w14:textId="77777777" w:rsidR="00936D65" w:rsidRPr="002302FD" w:rsidRDefault="00936D65" w:rsidP="00302082">
            <w:pPr>
              <w:spacing w:after="120"/>
              <w:rPr>
                <w:rFonts w:ascii="Arial" w:hAnsi="Arial" w:cs="Arial"/>
              </w:rPr>
            </w:pPr>
            <w:r w:rsidRPr="002302FD">
              <w:rPr>
                <w:rFonts w:ascii="Arial" w:hAnsi="Arial" w:cs="Arial"/>
              </w:rPr>
              <w:t>8.2</w:t>
            </w:r>
          </w:p>
        </w:tc>
        <w:tc>
          <w:tcPr>
            <w:tcW w:w="670" w:type="dxa"/>
          </w:tcPr>
          <w:p w14:paraId="4F0E499D" w14:textId="77777777" w:rsidR="00936D65" w:rsidRPr="002302FD" w:rsidRDefault="00936D65" w:rsidP="00302082">
            <w:pPr>
              <w:spacing w:after="120"/>
              <w:rPr>
                <w:rFonts w:ascii="Arial" w:hAnsi="Arial" w:cs="Arial"/>
              </w:rPr>
            </w:pPr>
            <w:r w:rsidRPr="002302FD">
              <w:rPr>
                <w:rFonts w:ascii="Arial" w:hAnsi="Arial" w:cs="Arial"/>
              </w:rPr>
              <w:t>8.3</w:t>
            </w:r>
          </w:p>
        </w:tc>
        <w:tc>
          <w:tcPr>
            <w:tcW w:w="670" w:type="dxa"/>
          </w:tcPr>
          <w:p w14:paraId="722ADDEE" w14:textId="77777777" w:rsidR="00936D65" w:rsidRPr="002302FD" w:rsidRDefault="00936D65" w:rsidP="00302082">
            <w:pPr>
              <w:spacing w:after="120"/>
              <w:rPr>
                <w:rFonts w:ascii="Arial" w:hAnsi="Arial" w:cs="Arial"/>
              </w:rPr>
            </w:pPr>
            <w:r w:rsidRPr="002302FD">
              <w:rPr>
                <w:rFonts w:ascii="Arial" w:hAnsi="Arial" w:cs="Arial"/>
              </w:rPr>
              <w:t>8.4</w:t>
            </w:r>
          </w:p>
        </w:tc>
        <w:tc>
          <w:tcPr>
            <w:tcW w:w="670" w:type="dxa"/>
          </w:tcPr>
          <w:p w14:paraId="7190E1C1" w14:textId="77777777" w:rsidR="00936D65" w:rsidRPr="002302FD" w:rsidRDefault="00936D65" w:rsidP="00302082">
            <w:pPr>
              <w:spacing w:after="120"/>
              <w:rPr>
                <w:rFonts w:ascii="Arial" w:hAnsi="Arial" w:cs="Arial"/>
              </w:rPr>
            </w:pPr>
            <w:r w:rsidRPr="002302FD">
              <w:rPr>
                <w:rFonts w:ascii="Arial" w:hAnsi="Arial" w:cs="Arial"/>
              </w:rPr>
              <w:t>8.5</w:t>
            </w:r>
          </w:p>
        </w:tc>
        <w:tc>
          <w:tcPr>
            <w:tcW w:w="670" w:type="dxa"/>
          </w:tcPr>
          <w:p w14:paraId="5E319156" w14:textId="77777777" w:rsidR="00936D65" w:rsidRPr="002302FD" w:rsidRDefault="00936D65" w:rsidP="00302082">
            <w:pPr>
              <w:spacing w:after="120"/>
              <w:rPr>
                <w:rFonts w:ascii="Arial" w:hAnsi="Arial" w:cs="Arial"/>
              </w:rPr>
            </w:pPr>
            <w:r>
              <w:rPr>
                <w:rFonts w:ascii="Arial" w:hAnsi="Arial" w:cs="Arial"/>
              </w:rPr>
              <w:t>8.6</w:t>
            </w:r>
          </w:p>
        </w:tc>
        <w:tc>
          <w:tcPr>
            <w:tcW w:w="670" w:type="dxa"/>
          </w:tcPr>
          <w:p w14:paraId="2EA1838F" w14:textId="77777777" w:rsidR="00936D65" w:rsidRPr="002302FD" w:rsidRDefault="00936D65" w:rsidP="00302082">
            <w:pPr>
              <w:spacing w:after="120"/>
              <w:rPr>
                <w:rFonts w:ascii="Arial" w:hAnsi="Arial" w:cs="Arial"/>
              </w:rPr>
            </w:pPr>
            <w:r>
              <w:rPr>
                <w:rFonts w:ascii="Arial" w:hAnsi="Arial" w:cs="Arial"/>
              </w:rPr>
              <w:t>8.7</w:t>
            </w:r>
          </w:p>
        </w:tc>
        <w:tc>
          <w:tcPr>
            <w:tcW w:w="670" w:type="dxa"/>
          </w:tcPr>
          <w:p w14:paraId="2211FB31" w14:textId="77777777" w:rsidR="00936D65" w:rsidRPr="002302FD" w:rsidRDefault="00936D65" w:rsidP="00302082">
            <w:pPr>
              <w:spacing w:after="120"/>
              <w:rPr>
                <w:rFonts w:ascii="Arial" w:hAnsi="Arial" w:cs="Arial"/>
              </w:rPr>
            </w:pPr>
            <w:r>
              <w:rPr>
                <w:rFonts w:ascii="Arial" w:hAnsi="Arial" w:cs="Arial"/>
              </w:rPr>
              <w:t>9.1</w:t>
            </w:r>
          </w:p>
        </w:tc>
        <w:tc>
          <w:tcPr>
            <w:tcW w:w="670" w:type="dxa"/>
          </w:tcPr>
          <w:p w14:paraId="26DE3AF4" w14:textId="77777777" w:rsidR="00936D65" w:rsidRPr="002302FD" w:rsidRDefault="00936D65" w:rsidP="00302082">
            <w:pPr>
              <w:spacing w:after="120"/>
              <w:rPr>
                <w:rFonts w:ascii="Arial" w:hAnsi="Arial" w:cs="Arial"/>
              </w:rPr>
            </w:pPr>
            <w:r>
              <w:rPr>
                <w:rFonts w:ascii="Arial" w:hAnsi="Arial" w:cs="Arial"/>
              </w:rPr>
              <w:t>9.2</w:t>
            </w:r>
          </w:p>
        </w:tc>
        <w:tc>
          <w:tcPr>
            <w:tcW w:w="671" w:type="dxa"/>
          </w:tcPr>
          <w:p w14:paraId="3688664D" w14:textId="77777777" w:rsidR="00936D65" w:rsidRPr="002302FD" w:rsidRDefault="00936D65" w:rsidP="00302082">
            <w:pPr>
              <w:spacing w:after="120"/>
              <w:rPr>
                <w:rFonts w:ascii="Arial" w:hAnsi="Arial" w:cs="Arial"/>
              </w:rPr>
            </w:pPr>
            <w:r>
              <w:rPr>
                <w:rFonts w:ascii="Arial" w:hAnsi="Arial" w:cs="Arial"/>
              </w:rPr>
              <w:t>9.3</w:t>
            </w:r>
          </w:p>
        </w:tc>
      </w:tr>
      <w:tr w:rsidR="00936D65" w:rsidRPr="00302082" w14:paraId="3A8C1608" w14:textId="77777777" w:rsidTr="00936D65">
        <w:trPr>
          <w:jc w:val="center"/>
        </w:trPr>
        <w:tc>
          <w:tcPr>
            <w:tcW w:w="2268" w:type="dxa"/>
            <w:shd w:val="clear" w:color="auto" w:fill="D9D9D9" w:themeFill="background1" w:themeFillShade="D9"/>
          </w:tcPr>
          <w:p w14:paraId="303FA8D0" w14:textId="77777777" w:rsidR="00936D65" w:rsidRPr="00302082" w:rsidRDefault="00936D65" w:rsidP="00302082">
            <w:pPr>
              <w:spacing w:after="120"/>
              <w:rPr>
                <w:rFonts w:ascii="Arial" w:hAnsi="Arial" w:cs="Arial"/>
                <w:b/>
              </w:rPr>
            </w:pPr>
            <w:r w:rsidRPr="00302082">
              <w:rPr>
                <w:rFonts w:ascii="Arial" w:hAnsi="Arial" w:cs="Arial"/>
                <w:b/>
              </w:rPr>
              <w:t>Learning/ teaching method</w:t>
            </w:r>
          </w:p>
        </w:tc>
        <w:tc>
          <w:tcPr>
            <w:tcW w:w="670" w:type="dxa"/>
          </w:tcPr>
          <w:p w14:paraId="153C05FD" w14:textId="77777777" w:rsidR="00936D65" w:rsidRPr="00302082" w:rsidRDefault="00936D65" w:rsidP="00302082">
            <w:pPr>
              <w:spacing w:after="120"/>
              <w:rPr>
                <w:rFonts w:ascii="Arial" w:hAnsi="Arial" w:cs="Arial"/>
                <w:b/>
              </w:rPr>
            </w:pPr>
          </w:p>
        </w:tc>
        <w:tc>
          <w:tcPr>
            <w:tcW w:w="670" w:type="dxa"/>
          </w:tcPr>
          <w:p w14:paraId="3ABE66E5" w14:textId="77777777" w:rsidR="00936D65" w:rsidRPr="00302082" w:rsidRDefault="00936D65" w:rsidP="00302082">
            <w:pPr>
              <w:spacing w:after="120"/>
              <w:rPr>
                <w:rFonts w:ascii="Arial" w:hAnsi="Arial" w:cs="Arial"/>
                <w:b/>
              </w:rPr>
            </w:pPr>
          </w:p>
        </w:tc>
        <w:tc>
          <w:tcPr>
            <w:tcW w:w="670" w:type="dxa"/>
          </w:tcPr>
          <w:p w14:paraId="357E2A92" w14:textId="77777777" w:rsidR="00936D65" w:rsidRPr="00302082" w:rsidRDefault="00936D65" w:rsidP="00302082">
            <w:pPr>
              <w:spacing w:after="120"/>
              <w:rPr>
                <w:rFonts w:ascii="Arial" w:hAnsi="Arial" w:cs="Arial"/>
                <w:b/>
              </w:rPr>
            </w:pPr>
          </w:p>
        </w:tc>
        <w:tc>
          <w:tcPr>
            <w:tcW w:w="670" w:type="dxa"/>
          </w:tcPr>
          <w:p w14:paraId="4433F28A" w14:textId="77777777" w:rsidR="00936D65" w:rsidRPr="00302082" w:rsidRDefault="00936D65" w:rsidP="00302082">
            <w:pPr>
              <w:spacing w:after="120"/>
              <w:rPr>
                <w:rFonts w:ascii="Arial" w:hAnsi="Arial" w:cs="Arial"/>
                <w:b/>
              </w:rPr>
            </w:pPr>
          </w:p>
        </w:tc>
        <w:tc>
          <w:tcPr>
            <w:tcW w:w="670" w:type="dxa"/>
          </w:tcPr>
          <w:p w14:paraId="17EC6743" w14:textId="77777777" w:rsidR="00936D65" w:rsidRPr="00302082" w:rsidRDefault="00936D65" w:rsidP="00302082">
            <w:pPr>
              <w:spacing w:after="120"/>
              <w:rPr>
                <w:rFonts w:ascii="Arial" w:hAnsi="Arial" w:cs="Arial"/>
                <w:b/>
              </w:rPr>
            </w:pPr>
          </w:p>
        </w:tc>
        <w:tc>
          <w:tcPr>
            <w:tcW w:w="670" w:type="dxa"/>
          </w:tcPr>
          <w:p w14:paraId="6342219F" w14:textId="77777777" w:rsidR="00936D65" w:rsidRPr="00302082" w:rsidRDefault="00936D65" w:rsidP="00302082">
            <w:pPr>
              <w:spacing w:after="120"/>
              <w:rPr>
                <w:rFonts w:ascii="Arial" w:hAnsi="Arial" w:cs="Arial"/>
                <w:b/>
              </w:rPr>
            </w:pPr>
          </w:p>
        </w:tc>
        <w:tc>
          <w:tcPr>
            <w:tcW w:w="670" w:type="dxa"/>
          </w:tcPr>
          <w:p w14:paraId="7B10B802" w14:textId="77777777" w:rsidR="00936D65" w:rsidRPr="00302082" w:rsidRDefault="00936D65" w:rsidP="00302082">
            <w:pPr>
              <w:spacing w:after="120"/>
              <w:rPr>
                <w:rFonts w:ascii="Arial" w:hAnsi="Arial" w:cs="Arial"/>
                <w:b/>
              </w:rPr>
            </w:pPr>
          </w:p>
        </w:tc>
        <w:tc>
          <w:tcPr>
            <w:tcW w:w="670" w:type="dxa"/>
          </w:tcPr>
          <w:p w14:paraId="2A003C4B" w14:textId="77777777" w:rsidR="00936D65" w:rsidRPr="00302082" w:rsidRDefault="00936D65" w:rsidP="00302082">
            <w:pPr>
              <w:spacing w:after="120"/>
              <w:rPr>
                <w:rFonts w:ascii="Arial" w:hAnsi="Arial" w:cs="Arial"/>
                <w:b/>
              </w:rPr>
            </w:pPr>
          </w:p>
        </w:tc>
        <w:tc>
          <w:tcPr>
            <w:tcW w:w="670" w:type="dxa"/>
          </w:tcPr>
          <w:p w14:paraId="6615D4C6" w14:textId="77777777" w:rsidR="00936D65" w:rsidRPr="00302082" w:rsidRDefault="00936D65" w:rsidP="00302082">
            <w:pPr>
              <w:spacing w:after="120"/>
              <w:rPr>
                <w:rFonts w:ascii="Arial" w:hAnsi="Arial" w:cs="Arial"/>
                <w:b/>
              </w:rPr>
            </w:pPr>
          </w:p>
        </w:tc>
        <w:tc>
          <w:tcPr>
            <w:tcW w:w="671" w:type="dxa"/>
          </w:tcPr>
          <w:p w14:paraId="6E908D5D" w14:textId="77777777" w:rsidR="00936D65" w:rsidRPr="00302082" w:rsidRDefault="00936D65" w:rsidP="00302082">
            <w:pPr>
              <w:spacing w:after="120"/>
              <w:rPr>
                <w:rFonts w:ascii="Arial" w:hAnsi="Arial" w:cs="Arial"/>
                <w:b/>
              </w:rPr>
            </w:pPr>
          </w:p>
        </w:tc>
      </w:tr>
      <w:tr w:rsidR="00936D65" w:rsidRPr="00302082" w14:paraId="58DD662A" w14:textId="77777777" w:rsidTr="00936D65">
        <w:trPr>
          <w:jc w:val="center"/>
        </w:trPr>
        <w:tc>
          <w:tcPr>
            <w:tcW w:w="2268" w:type="dxa"/>
          </w:tcPr>
          <w:p w14:paraId="2B360474" w14:textId="77777777" w:rsidR="00936D65" w:rsidRPr="00936D65" w:rsidRDefault="00936D65" w:rsidP="00BC648F">
            <w:pPr>
              <w:spacing w:after="120"/>
              <w:rPr>
                <w:rFonts w:ascii="Arial" w:hAnsi="Arial" w:cs="Arial"/>
              </w:rPr>
            </w:pPr>
            <w:r w:rsidRPr="00936D65">
              <w:rPr>
                <w:rFonts w:ascii="Arial" w:hAnsi="Arial" w:cs="Arial"/>
              </w:rPr>
              <w:t>Private Study</w:t>
            </w:r>
          </w:p>
        </w:tc>
        <w:tc>
          <w:tcPr>
            <w:tcW w:w="670" w:type="dxa"/>
          </w:tcPr>
          <w:p w14:paraId="52559DEC"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39984106"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2103584D"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185F42A3"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198C37B1"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334137ED"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680B4288"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2638E401"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6F8FCBA8" w14:textId="77777777" w:rsidR="00936D65" w:rsidRPr="00936D65" w:rsidRDefault="00936D65" w:rsidP="00BC648F">
            <w:pPr>
              <w:spacing w:after="120"/>
              <w:rPr>
                <w:rFonts w:ascii="Arial" w:hAnsi="Arial" w:cs="Arial"/>
              </w:rPr>
            </w:pPr>
            <w:r w:rsidRPr="00936D65">
              <w:rPr>
                <w:rFonts w:ascii="Arial" w:hAnsi="Arial" w:cs="Arial"/>
              </w:rPr>
              <w:t>X</w:t>
            </w:r>
          </w:p>
        </w:tc>
        <w:tc>
          <w:tcPr>
            <w:tcW w:w="671" w:type="dxa"/>
          </w:tcPr>
          <w:p w14:paraId="7A84EF4D" w14:textId="77777777" w:rsidR="00936D65" w:rsidRPr="00936D65" w:rsidRDefault="00936D65" w:rsidP="00BC648F">
            <w:pPr>
              <w:spacing w:after="120"/>
              <w:rPr>
                <w:rFonts w:ascii="Arial" w:hAnsi="Arial" w:cs="Arial"/>
              </w:rPr>
            </w:pPr>
            <w:r w:rsidRPr="00936D65">
              <w:rPr>
                <w:rFonts w:ascii="Arial" w:hAnsi="Arial" w:cs="Arial"/>
              </w:rPr>
              <w:t>X</w:t>
            </w:r>
          </w:p>
        </w:tc>
      </w:tr>
      <w:tr w:rsidR="00936D65" w:rsidRPr="00302082" w14:paraId="16C043E6" w14:textId="77777777" w:rsidTr="00936D65">
        <w:trPr>
          <w:jc w:val="center"/>
        </w:trPr>
        <w:tc>
          <w:tcPr>
            <w:tcW w:w="2268" w:type="dxa"/>
          </w:tcPr>
          <w:p w14:paraId="40A54993" w14:textId="77777777" w:rsidR="00936D65" w:rsidRPr="00154D48" w:rsidRDefault="00936D65" w:rsidP="00784FFD">
            <w:pPr>
              <w:spacing w:after="120"/>
              <w:rPr>
                <w:rFonts w:ascii="Arial" w:hAnsi="Arial" w:cs="Arial"/>
              </w:rPr>
            </w:pPr>
            <w:r>
              <w:rPr>
                <w:rFonts w:ascii="Arial" w:hAnsi="Arial" w:cs="Arial"/>
              </w:rPr>
              <w:t>Lectures</w:t>
            </w:r>
          </w:p>
        </w:tc>
        <w:tc>
          <w:tcPr>
            <w:tcW w:w="670" w:type="dxa"/>
          </w:tcPr>
          <w:p w14:paraId="200470F5" w14:textId="77777777" w:rsidR="00936D65" w:rsidRPr="00936D65" w:rsidRDefault="00936D65" w:rsidP="00784FFD">
            <w:pPr>
              <w:spacing w:after="120"/>
              <w:rPr>
                <w:rFonts w:ascii="Arial" w:hAnsi="Arial" w:cs="Arial"/>
              </w:rPr>
            </w:pPr>
            <w:r w:rsidRPr="00936D65">
              <w:rPr>
                <w:rFonts w:ascii="Arial" w:hAnsi="Arial" w:cs="Arial"/>
              </w:rPr>
              <w:t>X</w:t>
            </w:r>
          </w:p>
        </w:tc>
        <w:tc>
          <w:tcPr>
            <w:tcW w:w="670" w:type="dxa"/>
          </w:tcPr>
          <w:p w14:paraId="656E37B3" w14:textId="77777777" w:rsidR="00936D65" w:rsidRPr="00936D65" w:rsidRDefault="00936D65" w:rsidP="00784FFD">
            <w:pPr>
              <w:spacing w:after="120"/>
              <w:rPr>
                <w:rFonts w:ascii="Arial" w:hAnsi="Arial" w:cs="Arial"/>
              </w:rPr>
            </w:pPr>
            <w:r w:rsidRPr="00936D65">
              <w:rPr>
                <w:rFonts w:ascii="Arial" w:hAnsi="Arial" w:cs="Arial"/>
              </w:rPr>
              <w:t>X</w:t>
            </w:r>
          </w:p>
        </w:tc>
        <w:tc>
          <w:tcPr>
            <w:tcW w:w="670" w:type="dxa"/>
          </w:tcPr>
          <w:p w14:paraId="505BBFEB" w14:textId="77777777" w:rsidR="00936D65" w:rsidRPr="00936D65" w:rsidRDefault="00936D65" w:rsidP="00784FFD">
            <w:pPr>
              <w:spacing w:after="120"/>
              <w:rPr>
                <w:rFonts w:ascii="Arial" w:hAnsi="Arial" w:cs="Arial"/>
              </w:rPr>
            </w:pPr>
            <w:r w:rsidRPr="00936D65">
              <w:rPr>
                <w:rFonts w:ascii="Arial" w:hAnsi="Arial" w:cs="Arial"/>
              </w:rPr>
              <w:t>X</w:t>
            </w:r>
          </w:p>
        </w:tc>
        <w:tc>
          <w:tcPr>
            <w:tcW w:w="670" w:type="dxa"/>
          </w:tcPr>
          <w:p w14:paraId="6ADE77CE" w14:textId="77777777" w:rsidR="00936D65" w:rsidRPr="00936D65" w:rsidRDefault="00936D65" w:rsidP="00784FFD">
            <w:pPr>
              <w:spacing w:after="120"/>
              <w:rPr>
                <w:rFonts w:ascii="Arial" w:hAnsi="Arial" w:cs="Arial"/>
              </w:rPr>
            </w:pPr>
            <w:r w:rsidRPr="00936D65">
              <w:rPr>
                <w:rFonts w:ascii="Arial" w:hAnsi="Arial" w:cs="Arial"/>
              </w:rPr>
              <w:t>X</w:t>
            </w:r>
          </w:p>
        </w:tc>
        <w:tc>
          <w:tcPr>
            <w:tcW w:w="670" w:type="dxa"/>
          </w:tcPr>
          <w:p w14:paraId="73A70714" w14:textId="77777777" w:rsidR="00936D65" w:rsidRPr="00936D65" w:rsidRDefault="00936D65" w:rsidP="00784FFD">
            <w:pPr>
              <w:spacing w:after="120"/>
              <w:rPr>
                <w:rFonts w:ascii="Arial" w:hAnsi="Arial" w:cs="Arial"/>
              </w:rPr>
            </w:pPr>
            <w:r w:rsidRPr="00936D65">
              <w:rPr>
                <w:rFonts w:ascii="Arial" w:hAnsi="Arial" w:cs="Arial"/>
              </w:rPr>
              <w:t>X</w:t>
            </w:r>
          </w:p>
        </w:tc>
        <w:tc>
          <w:tcPr>
            <w:tcW w:w="670" w:type="dxa"/>
          </w:tcPr>
          <w:p w14:paraId="69C7842C" w14:textId="77777777" w:rsidR="00936D65" w:rsidRPr="00936D65" w:rsidRDefault="00936D65" w:rsidP="00784FFD">
            <w:pPr>
              <w:spacing w:after="120"/>
              <w:rPr>
                <w:rFonts w:ascii="Arial" w:hAnsi="Arial" w:cs="Arial"/>
              </w:rPr>
            </w:pPr>
            <w:r w:rsidRPr="00936D65">
              <w:rPr>
                <w:rFonts w:ascii="Arial" w:hAnsi="Arial" w:cs="Arial"/>
              </w:rPr>
              <w:t>X</w:t>
            </w:r>
          </w:p>
        </w:tc>
        <w:tc>
          <w:tcPr>
            <w:tcW w:w="670" w:type="dxa"/>
          </w:tcPr>
          <w:p w14:paraId="26267A35" w14:textId="77777777" w:rsidR="00936D65" w:rsidRPr="00936D65" w:rsidRDefault="00936D65" w:rsidP="00784FFD">
            <w:pPr>
              <w:spacing w:after="120"/>
              <w:rPr>
                <w:rFonts w:ascii="Arial" w:hAnsi="Arial" w:cs="Arial"/>
              </w:rPr>
            </w:pPr>
            <w:r w:rsidRPr="00936D65">
              <w:rPr>
                <w:rFonts w:ascii="Arial" w:hAnsi="Arial" w:cs="Arial"/>
              </w:rPr>
              <w:t>X</w:t>
            </w:r>
          </w:p>
        </w:tc>
        <w:tc>
          <w:tcPr>
            <w:tcW w:w="670" w:type="dxa"/>
          </w:tcPr>
          <w:p w14:paraId="6564C8CD" w14:textId="77777777" w:rsidR="00936D65" w:rsidRPr="00936D65" w:rsidRDefault="00936D65" w:rsidP="00784FFD">
            <w:pPr>
              <w:spacing w:after="120"/>
              <w:rPr>
                <w:rFonts w:ascii="Arial" w:hAnsi="Arial" w:cs="Arial"/>
              </w:rPr>
            </w:pPr>
          </w:p>
        </w:tc>
        <w:tc>
          <w:tcPr>
            <w:tcW w:w="670" w:type="dxa"/>
          </w:tcPr>
          <w:p w14:paraId="667847DF" w14:textId="77777777" w:rsidR="00936D65" w:rsidRPr="00936D65" w:rsidRDefault="00936D65" w:rsidP="00784FFD">
            <w:pPr>
              <w:spacing w:after="120"/>
              <w:rPr>
                <w:rFonts w:ascii="Arial" w:hAnsi="Arial" w:cs="Arial"/>
              </w:rPr>
            </w:pPr>
          </w:p>
        </w:tc>
        <w:tc>
          <w:tcPr>
            <w:tcW w:w="671" w:type="dxa"/>
          </w:tcPr>
          <w:p w14:paraId="2F6A2954" w14:textId="77777777" w:rsidR="00936D65" w:rsidRPr="00936D65" w:rsidRDefault="00936D65" w:rsidP="00784FFD">
            <w:pPr>
              <w:spacing w:after="120"/>
              <w:rPr>
                <w:rFonts w:ascii="Arial" w:hAnsi="Arial" w:cs="Arial"/>
              </w:rPr>
            </w:pPr>
          </w:p>
        </w:tc>
      </w:tr>
      <w:tr w:rsidR="00936D65" w:rsidRPr="00302082" w14:paraId="575B0CBC" w14:textId="77777777" w:rsidTr="00936D65">
        <w:trPr>
          <w:jc w:val="center"/>
        </w:trPr>
        <w:tc>
          <w:tcPr>
            <w:tcW w:w="2268" w:type="dxa"/>
          </w:tcPr>
          <w:p w14:paraId="68F993DC" w14:textId="77777777" w:rsidR="00936D65" w:rsidRPr="00154D48" w:rsidRDefault="00936D65" w:rsidP="00BC648F">
            <w:pPr>
              <w:spacing w:after="120"/>
              <w:rPr>
                <w:rFonts w:ascii="Arial" w:hAnsi="Arial" w:cs="Arial"/>
              </w:rPr>
            </w:pPr>
            <w:r>
              <w:rPr>
                <w:rFonts w:ascii="Arial" w:hAnsi="Arial" w:cs="Arial"/>
              </w:rPr>
              <w:t>Seminars</w:t>
            </w:r>
          </w:p>
        </w:tc>
        <w:tc>
          <w:tcPr>
            <w:tcW w:w="670" w:type="dxa"/>
          </w:tcPr>
          <w:p w14:paraId="49AA5FCC"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2829FF22"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6E2D9603"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65E0E90C"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00596A39"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014CBFAA"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78617DA6"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589FEBF0"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0A2B3F8A" w14:textId="77777777" w:rsidR="00936D65" w:rsidRPr="00936D65" w:rsidRDefault="00936D65" w:rsidP="00BC648F">
            <w:pPr>
              <w:spacing w:after="120"/>
              <w:rPr>
                <w:rFonts w:ascii="Arial" w:hAnsi="Arial" w:cs="Arial"/>
              </w:rPr>
            </w:pPr>
            <w:r w:rsidRPr="00936D65">
              <w:rPr>
                <w:rFonts w:ascii="Arial" w:hAnsi="Arial" w:cs="Arial"/>
              </w:rPr>
              <w:t>X</w:t>
            </w:r>
          </w:p>
        </w:tc>
        <w:tc>
          <w:tcPr>
            <w:tcW w:w="671" w:type="dxa"/>
          </w:tcPr>
          <w:p w14:paraId="38315372" w14:textId="77777777" w:rsidR="00936D65" w:rsidRPr="00936D65" w:rsidRDefault="00936D65" w:rsidP="00BC648F">
            <w:pPr>
              <w:spacing w:after="120"/>
              <w:rPr>
                <w:rFonts w:ascii="Arial" w:hAnsi="Arial" w:cs="Arial"/>
              </w:rPr>
            </w:pPr>
            <w:r w:rsidRPr="00936D65">
              <w:rPr>
                <w:rFonts w:ascii="Arial" w:hAnsi="Arial" w:cs="Arial"/>
              </w:rPr>
              <w:t>X</w:t>
            </w:r>
          </w:p>
        </w:tc>
      </w:tr>
      <w:tr w:rsidR="00936D65" w:rsidRPr="00302082" w14:paraId="07054507" w14:textId="77777777" w:rsidTr="00936D65">
        <w:trPr>
          <w:jc w:val="center"/>
        </w:trPr>
        <w:tc>
          <w:tcPr>
            <w:tcW w:w="2268" w:type="dxa"/>
            <w:shd w:val="clear" w:color="auto" w:fill="D9D9D9" w:themeFill="background1" w:themeFillShade="D9"/>
          </w:tcPr>
          <w:p w14:paraId="3E38D175" w14:textId="77777777" w:rsidR="00936D65" w:rsidRPr="00302082" w:rsidRDefault="00936D65" w:rsidP="00302082">
            <w:pPr>
              <w:spacing w:after="120"/>
              <w:rPr>
                <w:rFonts w:ascii="Arial" w:hAnsi="Arial" w:cs="Arial"/>
                <w:b/>
              </w:rPr>
            </w:pPr>
            <w:r w:rsidRPr="00302082">
              <w:rPr>
                <w:rFonts w:ascii="Arial" w:hAnsi="Arial" w:cs="Arial"/>
                <w:b/>
              </w:rPr>
              <w:t>Assessment method</w:t>
            </w:r>
          </w:p>
        </w:tc>
        <w:tc>
          <w:tcPr>
            <w:tcW w:w="670" w:type="dxa"/>
          </w:tcPr>
          <w:p w14:paraId="24C83A84" w14:textId="77777777" w:rsidR="00936D65" w:rsidRPr="00936D65" w:rsidRDefault="00936D65" w:rsidP="00302082">
            <w:pPr>
              <w:spacing w:after="120"/>
              <w:rPr>
                <w:rFonts w:ascii="Arial" w:hAnsi="Arial" w:cs="Arial"/>
              </w:rPr>
            </w:pPr>
          </w:p>
        </w:tc>
        <w:tc>
          <w:tcPr>
            <w:tcW w:w="670" w:type="dxa"/>
          </w:tcPr>
          <w:p w14:paraId="30799898" w14:textId="77777777" w:rsidR="00936D65" w:rsidRPr="00936D65" w:rsidRDefault="00936D65" w:rsidP="00302082">
            <w:pPr>
              <w:spacing w:after="120"/>
              <w:rPr>
                <w:rFonts w:ascii="Arial" w:hAnsi="Arial" w:cs="Arial"/>
              </w:rPr>
            </w:pPr>
          </w:p>
        </w:tc>
        <w:tc>
          <w:tcPr>
            <w:tcW w:w="670" w:type="dxa"/>
          </w:tcPr>
          <w:p w14:paraId="43DFD35D" w14:textId="77777777" w:rsidR="00936D65" w:rsidRPr="00936D65" w:rsidRDefault="00936D65" w:rsidP="00302082">
            <w:pPr>
              <w:spacing w:after="120"/>
              <w:rPr>
                <w:rFonts w:ascii="Arial" w:hAnsi="Arial" w:cs="Arial"/>
              </w:rPr>
            </w:pPr>
          </w:p>
        </w:tc>
        <w:tc>
          <w:tcPr>
            <w:tcW w:w="670" w:type="dxa"/>
          </w:tcPr>
          <w:p w14:paraId="7CBC6FF2" w14:textId="77777777" w:rsidR="00936D65" w:rsidRPr="00936D65" w:rsidRDefault="00936D65" w:rsidP="00302082">
            <w:pPr>
              <w:spacing w:after="120"/>
              <w:rPr>
                <w:rFonts w:ascii="Arial" w:hAnsi="Arial" w:cs="Arial"/>
              </w:rPr>
            </w:pPr>
          </w:p>
        </w:tc>
        <w:tc>
          <w:tcPr>
            <w:tcW w:w="670" w:type="dxa"/>
          </w:tcPr>
          <w:p w14:paraId="641F9CF5" w14:textId="77777777" w:rsidR="00936D65" w:rsidRPr="00936D65" w:rsidRDefault="00936D65" w:rsidP="00302082">
            <w:pPr>
              <w:spacing w:after="120"/>
              <w:rPr>
                <w:rFonts w:ascii="Arial" w:hAnsi="Arial" w:cs="Arial"/>
              </w:rPr>
            </w:pPr>
          </w:p>
        </w:tc>
        <w:tc>
          <w:tcPr>
            <w:tcW w:w="670" w:type="dxa"/>
          </w:tcPr>
          <w:p w14:paraId="2BD5618F" w14:textId="77777777" w:rsidR="00936D65" w:rsidRPr="00936D65" w:rsidRDefault="00936D65" w:rsidP="00302082">
            <w:pPr>
              <w:spacing w:after="120"/>
              <w:rPr>
                <w:rFonts w:ascii="Arial" w:hAnsi="Arial" w:cs="Arial"/>
              </w:rPr>
            </w:pPr>
          </w:p>
        </w:tc>
        <w:tc>
          <w:tcPr>
            <w:tcW w:w="670" w:type="dxa"/>
          </w:tcPr>
          <w:p w14:paraId="340C7CC6" w14:textId="77777777" w:rsidR="00936D65" w:rsidRPr="00936D65" w:rsidRDefault="00936D65" w:rsidP="00302082">
            <w:pPr>
              <w:spacing w:after="120"/>
              <w:rPr>
                <w:rFonts w:ascii="Arial" w:hAnsi="Arial" w:cs="Arial"/>
              </w:rPr>
            </w:pPr>
          </w:p>
        </w:tc>
        <w:tc>
          <w:tcPr>
            <w:tcW w:w="670" w:type="dxa"/>
          </w:tcPr>
          <w:p w14:paraId="5EF9AF2C" w14:textId="77777777" w:rsidR="00936D65" w:rsidRPr="00936D65" w:rsidRDefault="00936D65" w:rsidP="00302082">
            <w:pPr>
              <w:spacing w:after="120"/>
              <w:rPr>
                <w:rFonts w:ascii="Arial" w:hAnsi="Arial" w:cs="Arial"/>
              </w:rPr>
            </w:pPr>
          </w:p>
        </w:tc>
        <w:tc>
          <w:tcPr>
            <w:tcW w:w="670" w:type="dxa"/>
          </w:tcPr>
          <w:p w14:paraId="2BC21DDA" w14:textId="77777777" w:rsidR="00936D65" w:rsidRPr="00936D65" w:rsidRDefault="00936D65" w:rsidP="00302082">
            <w:pPr>
              <w:spacing w:after="120"/>
              <w:rPr>
                <w:rFonts w:ascii="Arial" w:hAnsi="Arial" w:cs="Arial"/>
              </w:rPr>
            </w:pPr>
          </w:p>
        </w:tc>
        <w:tc>
          <w:tcPr>
            <w:tcW w:w="671" w:type="dxa"/>
          </w:tcPr>
          <w:p w14:paraId="50FFF921" w14:textId="77777777" w:rsidR="00936D65" w:rsidRPr="00936D65" w:rsidRDefault="00936D65" w:rsidP="00302082">
            <w:pPr>
              <w:spacing w:after="120"/>
              <w:rPr>
                <w:rFonts w:ascii="Arial" w:hAnsi="Arial" w:cs="Arial"/>
              </w:rPr>
            </w:pPr>
          </w:p>
        </w:tc>
      </w:tr>
      <w:tr w:rsidR="00936D65" w:rsidRPr="00302082" w14:paraId="2BA1F050" w14:textId="77777777" w:rsidTr="00936D65">
        <w:trPr>
          <w:jc w:val="center"/>
        </w:trPr>
        <w:tc>
          <w:tcPr>
            <w:tcW w:w="2268" w:type="dxa"/>
          </w:tcPr>
          <w:p w14:paraId="7035CF71" w14:textId="4A6729DA" w:rsidR="00936D65" w:rsidRPr="00154D48" w:rsidRDefault="00936D65" w:rsidP="00BC648F">
            <w:pPr>
              <w:spacing w:after="120"/>
              <w:rPr>
                <w:rFonts w:ascii="Arial" w:hAnsi="Arial" w:cs="Arial"/>
              </w:rPr>
            </w:pPr>
            <w:r>
              <w:rPr>
                <w:rFonts w:ascii="Arial" w:hAnsi="Arial" w:cs="Arial"/>
              </w:rPr>
              <w:t>In-class test (20%)</w:t>
            </w:r>
          </w:p>
        </w:tc>
        <w:tc>
          <w:tcPr>
            <w:tcW w:w="670" w:type="dxa"/>
          </w:tcPr>
          <w:p w14:paraId="5B642134"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2B5AAB2C" w14:textId="77777777" w:rsidR="00936D65" w:rsidRPr="00936D65" w:rsidRDefault="00936D65" w:rsidP="00BC648F">
            <w:pPr>
              <w:spacing w:after="120"/>
              <w:rPr>
                <w:rFonts w:ascii="Arial" w:hAnsi="Arial" w:cs="Arial"/>
              </w:rPr>
            </w:pPr>
          </w:p>
        </w:tc>
        <w:tc>
          <w:tcPr>
            <w:tcW w:w="670" w:type="dxa"/>
          </w:tcPr>
          <w:p w14:paraId="5065844F" w14:textId="77777777" w:rsidR="00936D65" w:rsidRPr="00936D65" w:rsidRDefault="00936D65" w:rsidP="00BC648F">
            <w:pPr>
              <w:spacing w:after="120"/>
              <w:rPr>
                <w:rFonts w:ascii="Arial" w:hAnsi="Arial" w:cs="Arial"/>
              </w:rPr>
            </w:pPr>
          </w:p>
        </w:tc>
        <w:tc>
          <w:tcPr>
            <w:tcW w:w="670" w:type="dxa"/>
          </w:tcPr>
          <w:p w14:paraId="6191B5EB" w14:textId="77777777" w:rsidR="00936D65" w:rsidRPr="00936D65" w:rsidRDefault="00936D65" w:rsidP="00BC648F">
            <w:pPr>
              <w:spacing w:after="120"/>
              <w:rPr>
                <w:rFonts w:ascii="Arial" w:hAnsi="Arial" w:cs="Arial"/>
              </w:rPr>
            </w:pPr>
          </w:p>
        </w:tc>
        <w:tc>
          <w:tcPr>
            <w:tcW w:w="670" w:type="dxa"/>
          </w:tcPr>
          <w:p w14:paraId="2DFCF5CD"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5C6E95DC"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1977F157" w14:textId="77777777" w:rsidR="00936D65" w:rsidRPr="00936D65" w:rsidRDefault="00936D65" w:rsidP="00BC648F">
            <w:pPr>
              <w:spacing w:after="120"/>
              <w:rPr>
                <w:rFonts w:ascii="Arial" w:hAnsi="Arial" w:cs="Arial"/>
              </w:rPr>
            </w:pPr>
          </w:p>
        </w:tc>
        <w:tc>
          <w:tcPr>
            <w:tcW w:w="670" w:type="dxa"/>
          </w:tcPr>
          <w:p w14:paraId="227F430F"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073C5D8F" w14:textId="77777777" w:rsidR="00936D65" w:rsidRPr="00936D65" w:rsidRDefault="00936D65" w:rsidP="00BC648F">
            <w:pPr>
              <w:spacing w:after="120"/>
              <w:rPr>
                <w:rFonts w:ascii="Arial" w:hAnsi="Arial" w:cs="Arial"/>
              </w:rPr>
            </w:pPr>
            <w:r w:rsidRPr="00936D65">
              <w:rPr>
                <w:rFonts w:ascii="Arial" w:hAnsi="Arial" w:cs="Arial"/>
              </w:rPr>
              <w:t>X</w:t>
            </w:r>
          </w:p>
        </w:tc>
        <w:tc>
          <w:tcPr>
            <w:tcW w:w="671" w:type="dxa"/>
          </w:tcPr>
          <w:p w14:paraId="31DDF8E3" w14:textId="77777777" w:rsidR="00936D65" w:rsidRPr="00936D65" w:rsidRDefault="00936D65" w:rsidP="00BC648F">
            <w:pPr>
              <w:spacing w:after="120"/>
              <w:rPr>
                <w:rFonts w:ascii="Arial" w:hAnsi="Arial" w:cs="Arial"/>
              </w:rPr>
            </w:pPr>
            <w:r w:rsidRPr="00936D65">
              <w:rPr>
                <w:rFonts w:ascii="Arial" w:hAnsi="Arial" w:cs="Arial"/>
              </w:rPr>
              <w:t>X</w:t>
            </w:r>
          </w:p>
        </w:tc>
      </w:tr>
      <w:tr w:rsidR="00936D65" w:rsidRPr="00302082" w14:paraId="7BD0882D" w14:textId="77777777" w:rsidTr="00936D65">
        <w:trPr>
          <w:jc w:val="center"/>
        </w:trPr>
        <w:tc>
          <w:tcPr>
            <w:tcW w:w="2268" w:type="dxa"/>
          </w:tcPr>
          <w:p w14:paraId="7E8CEA5A" w14:textId="0495E845" w:rsidR="00936D65" w:rsidRPr="00154D48" w:rsidRDefault="00936D65" w:rsidP="00936D65">
            <w:pPr>
              <w:spacing w:after="120"/>
              <w:rPr>
                <w:rFonts w:ascii="Arial" w:hAnsi="Arial" w:cs="Arial"/>
              </w:rPr>
            </w:pPr>
            <w:r>
              <w:rPr>
                <w:rFonts w:ascii="Arial" w:hAnsi="Arial" w:cs="Arial"/>
              </w:rPr>
              <w:t>Essay (80%)</w:t>
            </w:r>
          </w:p>
        </w:tc>
        <w:tc>
          <w:tcPr>
            <w:tcW w:w="670" w:type="dxa"/>
          </w:tcPr>
          <w:p w14:paraId="7F076EDC" w14:textId="77777777" w:rsidR="00936D65" w:rsidRPr="00936D65" w:rsidRDefault="00936D65" w:rsidP="00BC648F">
            <w:pPr>
              <w:spacing w:after="120"/>
              <w:rPr>
                <w:rFonts w:ascii="Arial" w:hAnsi="Arial" w:cs="Arial"/>
              </w:rPr>
            </w:pPr>
          </w:p>
        </w:tc>
        <w:tc>
          <w:tcPr>
            <w:tcW w:w="670" w:type="dxa"/>
          </w:tcPr>
          <w:p w14:paraId="5B34EAFA"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182758CE"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3886A476"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2060239A" w14:textId="77777777" w:rsidR="00936D65" w:rsidRPr="00936D65" w:rsidRDefault="00936D65" w:rsidP="00BC648F">
            <w:pPr>
              <w:spacing w:after="120"/>
              <w:rPr>
                <w:rFonts w:ascii="Arial" w:hAnsi="Arial" w:cs="Arial"/>
              </w:rPr>
            </w:pPr>
          </w:p>
        </w:tc>
        <w:tc>
          <w:tcPr>
            <w:tcW w:w="670" w:type="dxa"/>
          </w:tcPr>
          <w:p w14:paraId="23429188" w14:textId="77777777" w:rsidR="00936D65" w:rsidRPr="00936D65" w:rsidRDefault="00936D65" w:rsidP="00BC648F">
            <w:pPr>
              <w:spacing w:after="120"/>
              <w:rPr>
                <w:rFonts w:ascii="Arial" w:hAnsi="Arial" w:cs="Arial"/>
              </w:rPr>
            </w:pPr>
          </w:p>
        </w:tc>
        <w:tc>
          <w:tcPr>
            <w:tcW w:w="670" w:type="dxa"/>
          </w:tcPr>
          <w:p w14:paraId="4BD5C5ED" w14:textId="77777777" w:rsidR="00936D65" w:rsidRPr="00936D65" w:rsidRDefault="00936D65" w:rsidP="00BC648F">
            <w:pPr>
              <w:spacing w:after="120"/>
              <w:rPr>
                <w:rFonts w:ascii="Arial" w:hAnsi="Arial" w:cs="Arial"/>
              </w:rPr>
            </w:pPr>
          </w:p>
        </w:tc>
        <w:tc>
          <w:tcPr>
            <w:tcW w:w="670" w:type="dxa"/>
          </w:tcPr>
          <w:p w14:paraId="0545F76B" w14:textId="77777777" w:rsidR="00936D65" w:rsidRPr="00936D65" w:rsidRDefault="00936D65" w:rsidP="00BC648F">
            <w:pPr>
              <w:spacing w:after="120"/>
              <w:rPr>
                <w:rFonts w:ascii="Arial" w:hAnsi="Arial" w:cs="Arial"/>
              </w:rPr>
            </w:pPr>
            <w:r w:rsidRPr="00936D65">
              <w:rPr>
                <w:rFonts w:ascii="Arial" w:hAnsi="Arial" w:cs="Arial"/>
              </w:rPr>
              <w:t>X</w:t>
            </w:r>
          </w:p>
        </w:tc>
        <w:tc>
          <w:tcPr>
            <w:tcW w:w="670" w:type="dxa"/>
          </w:tcPr>
          <w:p w14:paraId="68317FF6" w14:textId="77777777" w:rsidR="00936D65" w:rsidRPr="00936D65" w:rsidRDefault="00936D65" w:rsidP="00BC648F">
            <w:pPr>
              <w:spacing w:after="120"/>
              <w:rPr>
                <w:rFonts w:ascii="Arial" w:hAnsi="Arial" w:cs="Arial"/>
              </w:rPr>
            </w:pPr>
            <w:r w:rsidRPr="00936D65">
              <w:rPr>
                <w:rFonts w:ascii="Arial" w:hAnsi="Arial" w:cs="Arial"/>
              </w:rPr>
              <w:t>X</w:t>
            </w:r>
          </w:p>
        </w:tc>
        <w:tc>
          <w:tcPr>
            <w:tcW w:w="671" w:type="dxa"/>
          </w:tcPr>
          <w:p w14:paraId="4E06F422" w14:textId="77777777" w:rsidR="00936D65" w:rsidRPr="00936D65" w:rsidRDefault="00936D65" w:rsidP="00BC648F">
            <w:pPr>
              <w:spacing w:after="120"/>
              <w:rPr>
                <w:rFonts w:ascii="Arial" w:hAnsi="Arial" w:cs="Arial"/>
              </w:rPr>
            </w:pPr>
            <w:r w:rsidRPr="00936D65">
              <w:rPr>
                <w:rFonts w:ascii="Arial" w:hAnsi="Arial" w:cs="Arial"/>
              </w:rPr>
              <w:t>X</w:t>
            </w:r>
          </w:p>
        </w:tc>
      </w:tr>
    </w:tbl>
    <w:p w14:paraId="6509C306" w14:textId="77777777" w:rsidR="007A6245" w:rsidRDefault="007A6245" w:rsidP="00302082">
      <w:pPr>
        <w:spacing w:after="120" w:line="240" w:lineRule="auto"/>
        <w:ind w:left="426" w:right="260"/>
        <w:rPr>
          <w:rFonts w:ascii="Arial" w:hAnsi="Arial" w:cs="Arial"/>
          <w:b/>
          <w:iCs/>
        </w:rPr>
      </w:pPr>
    </w:p>
    <w:p w14:paraId="428B9D3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11A91C9" w14:textId="4568704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BC648F">
        <w:rPr>
          <w:rFonts w:ascii="Arial" w:hAnsi="Arial" w:cs="Arial"/>
        </w:rPr>
        <w:t xml:space="preserve">he </w:t>
      </w:r>
      <w:r w:rsidR="00EF7BC1">
        <w:rPr>
          <w:rFonts w:ascii="Arial" w:hAnsi="Arial" w:cs="Arial"/>
        </w:rPr>
        <w:t>Division/</w:t>
      </w:r>
      <w:r w:rsidR="00BC648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35780D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EF6BA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5CE82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94340E4" w14:textId="77777777" w:rsidR="00096DA4" w:rsidRPr="00302082" w:rsidRDefault="00096DA4" w:rsidP="00302082">
      <w:pPr>
        <w:spacing w:after="120" w:line="240" w:lineRule="auto"/>
        <w:ind w:left="426" w:right="260"/>
        <w:rPr>
          <w:rFonts w:ascii="Arial" w:hAnsi="Arial" w:cs="Arial"/>
          <w:i/>
          <w:iCs/>
        </w:rPr>
      </w:pPr>
    </w:p>
    <w:p w14:paraId="641D360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FAF9F03" w14:textId="77777777" w:rsidR="009A2D37" w:rsidRPr="00154D48" w:rsidRDefault="00BC648F" w:rsidP="00154D48">
      <w:pPr>
        <w:spacing w:after="120" w:line="240" w:lineRule="auto"/>
        <w:ind w:left="567" w:right="260"/>
        <w:rPr>
          <w:rFonts w:ascii="Arial" w:hAnsi="Arial" w:cs="Arial"/>
        </w:rPr>
      </w:pPr>
      <w:r>
        <w:rPr>
          <w:rFonts w:ascii="Arial" w:hAnsi="Arial" w:cs="Arial"/>
        </w:rPr>
        <w:t xml:space="preserve">Medway </w:t>
      </w:r>
    </w:p>
    <w:p w14:paraId="1F740D75" w14:textId="77777777" w:rsidR="00154D48" w:rsidRPr="00154D48" w:rsidRDefault="00154D48" w:rsidP="00154D48">
      <w:pPr>
        <w:spacing w:after="120" w:line="240" w:lineRule="auto"/>
        <w:ind w:left="567" w:right="260"/>
        <w:rPr>
          <w:rFonts w:ascii="Arial" w:hAnsi="Arial" w:cs="Arial"/>
          <w:iCs/>
        </w:rPr>
      </w:pPr>
    </w:p>
    <w:p w14:paraId="4235136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18F122" w14:textId="216E012B" w:rsidR="00641D6D" w:rsidRPr="00302082" w:rsidRDefault="00BC648F" w:rsidP="00936D65">
      <w:pPr>
        <w:pStyle w:val="ListParagraph"/>
        <w:autoSpaceDE w:val="0"/>
        <w:autoSpaceDN w:val="0"/>
        <w:adjustRightInd w:val="0"/>
        <w:spacing w:after="120" w:line="240" w:lineRule="auto"/>
        <w:ind w:left="567" w:right="261"/>
        <w:jc w:val="both"/>
        <w:rPr>
          <w:rFonts w:ascii="Arial" w:hAnsi="Arial" w:cs="Arial"/>
        </w:rPr>
      </w:pPr>
      <w:r w:rsidRPr="00526D2B">
        <w:rPr>
          <w:rFonts w:ascii="Arial" w:hAnsi="Arial" w:cs="Arial"/>
        </w:rPr>
        <w:t xml:space="preserve">This module is largely domestically focused due to the nature of the </w:t>
      </w:r>
      <w:r>
        <w:rPr>
          <w:rFonts w:ascii="Arial" w:hAnsi="Arial" w:cs="Arial"/>
        </w:rPr>
        <w:t xml:space="preserve">professionally accredited </w:t>
      </w:r>
      <w:r w:rsidRPr="00526D2B">
        <w:rPr>
          <w:rFonts w:ascii="Arial" w:hAnsi="Arial" w:cs="Arial"/>
        </w:rPr>
        <w:t>programme to which it contributes. However, students will develop a range of skills that are transferable to international contexts (see learning outcomes 9.1-9.3 above).</w:t>
      </w:r>
    </w:p>
    <w:p w14:paraId="03E77741" w14:textId="5D56DBE5" w:rsidR="00441E76" w:rsidRPr="00BA453C" w:rsidRDefault="00EF7BC1"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1D69A2E" w14:textId="77777777" w:rsidR="00D83563" w:rsidRPr="00BA453C" w:rsidRDefault="00D83563" w:rsidP="00936D65">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E5BEF1"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49A3D5DA" w14:textId="77777777" w:rsidTr="00936D65">
        <w:trPr>
          <w:trHeight w:val="317"/>
        </w:trPr>
        <w:tc>
          <w:tcPr>
            <w:tcW w:w="1526" w:type="dxa"/>
          </w:tcPr>
          <w:p w14:paraId="08DACA1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86AF9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60B08C9"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05CEF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18672FDC" w14:textId="77777777" w:rsidR="00422B69" w:rsidRPr="00BA453C" w:rsidRDefault="00422B69" w:rsidP="00936D65">
            <w:pPr>
              <w:spacing w:after="120"/>
              <w:ind w:right="-11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C648F" w:rsidRPr="00302082" w14:paraId="0529BA51" w14:textId="77777777" w:rsidTr="00936D65">
        <w:trPr>
          <w:trHeight w:val="305"/>
        </w:trPr>
        <w:tc>
          <w:tcPr>
            <w:tcW w:w="1526" w:type="dxa"/>
          </w:tcPr>
          <w:p w14:paraId="2D4FD840" w14:textId="77777777" w:rsidR="00BC648F" w:rsidRPr="00302082" w:rsidRDefault="00BC648F" w:rsidP="00BC648F">
            <w:pPr>
              <w:spacing w:after="120"/>
              <w:ind w:right="-330"/>
              <w:rPr>
                <w:rFonts w:ascii="Arial" w:hAnsi="Arial" w:cs="Arial"/>
              </w:rPr>
            </w:pPr>
            <w:r>
              <w:rPr>
                <w:rFonts w:ascii="Arial" w:hAnsi="Arial" w:cs="Arial"/>
              </w:rPr>
              <w:t>16/12/16</w:t>
            </w:r>
          </w:p>
        </w:tc>
        <w:tc>
          <w:tcPr>
            <w:tcW w:w="1701" w:type="dxa"/>
          </w:tcPr>
          <w:p w14:paraId="6B27D0BC" w14:textId="77777777" w:rsidR="00BC648F" w:rsidRPr="00302082" w:rsidRDefault="00BC648F" w:rsidP="00BC648F">
            <w:pPr>
              <w:spacing w:after="120"/>
              <w:ind w:right="-330"/>
              <w:rPr>
                <w:rFonts w:ascii="Arial" w:hAnsi="Arial" w:cs="Arial"/>
              </w:rPr>
            </w:pPr>
            <w:r>
              <w:rPr>
                <w:rFonts w:ascii="Arial" w:hAnsi="Arial" w:cs="Arial"/>
              </w:rPr>
              <w:t>Major</w:t>
            </w:r>
          </w:p>
        </w:tc>
        <w:tc>
          <w:tcPr>
            <w:tcW w:w="1871" w:type="dxa"/>
          </w:tcPr>
          <w:p w14:paraId="717FB30E" w14:textId="77777777" w:rsidR="00BC648F" w:rsidRPr="00302082" w:rsidRDefault="00BC648F" w:rsidP="00BC648F">
            <w:pPr>
              <w:spacing w:after="120"/>
              <w:ind w:right="-330"/>
              <w:rPr>
                <w:rFonts w:ascii="Arial" w:hAnsi="Arial" w:cs="Arial"/>
              </w:rPr>
            </w:pPr>
            <w:r>
              <w:rPr>
                <w:rFonts w:ascii="Arial" w:hAnsi="Arial" w:cs="Arial"/>
              </w:rPr>
              <w:t>September 2017</w:t>
            </w:r>
          </w:p>
        </w:tc>
        <w:tc>
          <w:tcPr>
            <w:tcW w:w="2552" w:type="dxa"/>
          </w:tcPr>
          <w:p w14:paraId="4B051C8B" w14:textId="77777777" w:rsidR="00BC648F" w:rsidRPr="00302082" w:rsidRDefault="00BC648F" w:rsidP="00BC648F">
            <w:pPr>
              <w:spacing w:after="120"/>
              <w:ind w:right="-330"/>
              <w:rPr>
                <w:rFonts w:ascii="Arial" w:hAnsi="Arial" w:cs="Arial"/>
              </w:rPr>
            </w:pPr>
            <w:r>
              <w:rPr>
                <w:rFonts w:ascii="Arial" w:hAnsi="Arial" w:cs="Arial"/>
              </w:rPr>
              <w:t>13</w:t>
            </w:r>
          </w:p>
        </w:tc>
        <w:tc>
          <w:tcPr>
            <w:tcW w:w="2835" w:type="dxa"/>
          </w:tcPr>
          <w:p w14:paraId="1E24CF19" w14:textId="77777777" w:rsidR="00BC648F" w:rsidRPr="00302082" w:rsidRDefault="00BC648F" w:rsidP="00BC648F">
            <w:pPr>
              <w:spacing w:after="120"/>
              <w:ind w:right="-330"/>
              <w:rPr>
                <w:rFonts w:ascii="Arial" w:hAnsi="Arial" w:cs="Arial"/>
              </w:rPr>
            </w:pPr>
            <w:r>
              <w:rPr>
                <w:rFonts w:ascii="Arial" w:hAnsi="Arial" w:cs="Arial"/>
              </w:rPr>
              <w:t>No</w:t>
            </w:r>
          </w:p>
        </w:tc>
      </w:tr>
      <w:tr w:rsidR="00302082" w:rsidRPr="00302082" w14:paraId="28274DFF" w14:textId="77777777" w:rsidTr="00936D65">
        <w:trPr>
          <w:trHeight w:val="305"/>
        </w:trPr>
        <w:tc>
          <w:tcPr>
            <w:tcW w:w="1526" w:type="dxa"/>
          </w:tcPr>
          <w:p w14:paraId="2CDD6CCD" w14:textId="77777777" w:rsidR="00422B69" w:rsidRPr="00302082" w:rsidRDefault="00422B69" w:rsidP="00302082">
            <w:pPr>
              <w:spacing w:after="120"/>
              <w:ind w:right="-330"/>
              <w:rPr>
                <w:rFonts w:ascii="Arial" w:hAnsi="Arial" w:cs="Arial"/>
              </w:rPr>
            </w:pPr>
          </w:p>
        </w:tc>
        <w:tc>
          <w:tcPr>
            <w:tcW w:w="1701" w:type="dxa"/>
          </w:tcPr>
          <w:p w14:paraId="45A3B0DD" w14:textId="77777777" w:rsidR="00422B69" w:rsidRPr="00302082" w:rsidRDefault="00422B69" w:rsidP="00302082">
            <w:pPr>
              <w:spacing w:after="120"/>
              <w:ind w:right="-330"/>
              <w:rPr>
                <w:rFonts w:ascii="Arial" w:hAnsi="Arial" w:cs="Arial"/>
              </w:rPr>
            </w:pPr>
          </w:p>
        </w:tc>
        <w:tc>
          <w:tcPr>
            <w:tcW w:w="1871" w:type="dxa"/>
          </w:tcPr>
          <w:p w14:paraId="33C4F78F" w14:textId="77777777" w:rsidR="00422B69" w:rsidRPr="00302082" w:rsidRDefault="00422B69" w:rsidP="00302082">
            <w:pPr>
              <w:spacing w:after="120"/>
              <w:ind w:right="-330"/>
              <w:rPr>
                <w:rFonts w:ascii="Arial" w:hAnsi="Arial" w:cs="Arial"/>
              </w:rPr>
            </w:pPr>
          </w:p>
        </w:tc>
        <w:tc>
          <w:tcPr>
            <w:tcW w:w="2552" w:type="dxa"/>
          </w:tcPr>
          <w:p w14:paraId="265A0AA8" w14:textId="77777777" w:rsidR="00422B69" w:rsidRPr="00302082" w:rsidRDefault="00422B69" w:rsidP="00302082">
            <w:pPr>
              <w:spacing w:after="120"/>
              <w:ind w:right="-330"/>
              <w:rPr>
                <w:rFonts w:ascii="Arial" w:hAnsi="Arial" w:cs="Arial"/>
              </w:rPr>
            </w:pPr>
          </w:p>
        </w:tc>
        <w:tc>
          <w:tcPr>
            <w:tcW w:w="2835" w:type="dxa"/>
          </w:tcPr>
          <w:p w14:paraId="6757A379" w14:textId="77777777" w:rsidR="00422B69" w:rsidRPr="00302082" w:rsidRDefault="00422B69" w:rsidP="00302082">
            <w:pPr>
              <w:spacing w:after="120"/>
              <w:ind w:right="-330"/>
              <w:rPr>
                <w:rFonts w:ascii="Arial" w:hAnsi="Arial" w:cs="Arial"/>
              </w:rPr>
            </w:pPr>
          </w:p>
        </w:tc>
      </w:tr>
    </w:tbl>
    <w:p w14:paraId="06E7FED7"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BC648F" w14:paraId="59FA5330" w14:textId="77777777" w:rsidTr="00BC648F">
        <w:tc>
          <w:tcPr>
            <w:tcW w:w="10456" w:type="dxa"/>
          </w:tcPr>
          <w:p w14:paraId="0D28315C" w14:textId="77777777" w:rsidR="00BC648F" w:rsidRDefault="00BC648F" w:rsidP="00302082">
            <w:pPr>
              <w:spacing w:after="120"/>
              <w:ind w:right="-330"/>
              <w:rPr>
                <w:rFonts w:ascii="Arial" w:hAnsi="Arial" w:cs="Arial"/>
              </w:rPr>
            </w:pPr>
            <w:r>
              <w:rPr>
                <w:rFonts w:ascii="Arial" w:hAnsi="Arial" w:cs="Arial"/>
              </w:rPr>
              <w:t>Updated into CMA compliant format by SSPSSR November 2018</w:t>
            </w:r>
          </w:p>
        </w:tc>
      </w:tr>
    </w:tbl>
    <w:p w14:paraId="73563E30" w14:textId="77777777" w:rsidR="00BC648F" w:rsidRPr="00302082" w:rsidRDefault="00BC648F" w:rsidP="00302082">
      <w:pPr>
        <w:spacing w:after="120" w:line="240" w:lineRule="auto"/>
        <w:ind w:right="-330"/>
        <w:rPr>
          <w:rFonts w:ascii="Arial" w:hAnsi="Arial" w:cs="Arial"/>
        </w:rPr>
      </w:pPr>
    </w:p>
    <w:sectPr w:rsidR="00BC648F" w:rsidRPr="00302082" w:rsidSect="00936D65">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B998" w14:textId="77777777" w:rsidR="009A3ABB" w:rsidRDefault="009A3ABB" w:rsidP="009A2D37">
      <w:pPr>
        <w:spacing w:after="0" w:line="240" w:lineRule="auto"/>
      </w:pPr>
      <w:r>
        <w:separator/>
      </w:r>
    </w:p>
    <w:p w14:paraId="6C22F06E" w14:textId="77777777" w:rsidR="009A3ABB" w:rsidRDefault="009A3ABB"/>
  </w:endnote>
  <w:endnote w:type="continuationSeparator" w:id="0">
    <w:p w14:paraId="163A4B51" w14:textId="77777777" w:rsidR="009A3ABB" w:rsidRDefault="009A3ABB" w:rsidP="009A2D37">
      <w:pPr>
        <w:spacing w:after="0" w:line="240" w:lineRule="auto"/>
      </w:pPr>
      <w:r>
        <w:continuationSeparator/>
      </w:r>
    </w:p>
    <w:p w14:paraId="55682902" w14:textId="77777777" w:rsidR="009A3ABB" w:rsidRDefault="009A3ABB"/>
  </w:endnote>
  <w:endnote w:type="continuationNotice" w:id="1">
    <w:p w14:paraId="6F35C45D" w14:textId="77777777" w:rsidR="009A3ABB" w:rsidRDefault="009A3ABB">
      <w:pPr>
        <w:spacing w:after="0" w:line="240" w:lineRule="auto"/>
      </w:pPr>
    </w:p>
    <w:p w14:paraId="7CBB04D0" w14:textId="77777777" w:rsidR="009A3ABB" w:rsidRDefault="009A3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E06A5AC" w14:textId="77777777" w:rsidR="00936D65" w:rsidRDefault="00936D65" w:rsidP="009A2D37">
        <w:pPr>
          <w:pStyle w:val="Footer"/>
          <w:jc w:val="center"/>
        </w:pPr>
      </w:p>
      <w:p w14:paraId="4DA26330" w14:textId="0AFBD7D0" w:rsidR="008B2543" w:rsidRDefault="0019787E" w:rsidP="009A2D37">
        <w:pPr>
          <w:pStyle w:val="Footer"/>
          <w:jc w:val="center"/>
        </w:pPr>
        <w:r>
          <w:fldChar w:fldCharType="begin"/>
        </w:r>
        <w:r>
          <w:instrText xml:space="preserve"> PAGE   \* MERGEFORMAT </w:instrText>
        </w:r>
        <w:r>
          <w:fldChar w:fldCharType="separate"/>
        </w:r>
        <w:r w:rsidR="00936D65">
          <w:rPr>
            <w:noProof/>
          </w:rPr>
          <w:t>4</w:t>
        </w:r>
        <w:r>
          <w:rPr>
            <w:noProof/>
          </w:rPr>
          <w:fldChar w:fldCharType="end"/>
        </w:r>
      </w:p>
    </w:sdtContent>
  </w:sdt>
  <w:p w14:paraId="4523EA83" w14:textId="61271BC9" w:rsidR="00C14F31" w:rsidRPr="00936D65" w:rsidRDefault="00EF7BC1" w:rsidP="00936D65">
    <w:pPr>
      <w:spacing w:after="120" w:line="240" w:lineRule="auto"/>
      <w:ind w:left="567" w:right="260"/>
      <w:jc w:val="center"/>
      <w:rPr>
        <w:rFonts w:ascii="Arial" w:hAnsi="Arial"/>
        <w:sz w:val="18"/>
      </w:rPr>
    </w:pPr>
    <w:r w:rsidRPr="00EF7BC1">
      <w:rPr>
        <w:rFonts w:ascii="Arial" w:hAnsi="Arial" w:cs="Arial"/>
        <w:sz w:val="18"/>
        <w:szCs w:val="18"/>
      </w:rPr>
      <w:t>SOCI3090 (SO309) Law, Rights and Justice</w:t>
    </w:r>
    <w:r w:rsidR="008B2543">
      <w:rPr>
        <w:rFonts w:ascii="Arial" w:hAnsi="Arial"/>
        <w:sz w:val="18"/>
      </w:rPr>
      <w:t xml:space="preserve"> (</w:t>
    </w:r>
    <w:r w:rsidR="00936D65">
      <w:rPr>
        <w:rFonts w:ascii="Arial" w:hAnsi="Arial"/>
        <w:sz w:val="18"/>
      </w:rPr>
      <w:t>f</w:t>
    </w:r>
    <w:r>
      <w:rPr>
        <w:rFonts w:ascii="Arial" w:hAnsi="Arial"/>
        <w:sz w:val="18"/>
      </w:rPr>
      <w:t>or September 2021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6922" w14:textId="77777777" w:rsidR="009A3ABB" w:rsidRDefault="009A3ABB" w:rsidP="009A2D37">
      <w:pPr>
        <w:spacing w:after="0" w:line="240" w:lineRule="auto"/>
      </w:pPr>
      <w:r>
        <w:separator/>
      </w:r>
    </w:p>
    <w:p w14:paraId="04C52B0D" w14:textId="77777777" w:rsidR="009A3ABB" w:rsidRDefault="009A3ABB"/>
  </w:footnote>
  <w:footnote w:type="continuationSeparator" w:id="0">
    <w:p w14:paraId="00258C60" w14:textId="77777777" w:rsidR="009A3ABB" w:rsidRDefault="009A3ABB" w:rsidP="009A2D37">
      <w:pPr>
        <w:spacing w:after="0" w:line="240" w:lineRule="auto"/>
      </w:pPr>
      <w:r>
        <w:continuationSeparator/>
      </w:r>
    </w:p>
    <w:p w14:paraId="3B86FD4A" w14:textId="77777777" w:rsidR="009A3ABB" w:rsidRDefault="009A3ABB"/>
  </w:footnote>
  <w:footnote w:type="continuationNotice" w:id="1">
    <w:p w14:paraId="2B03B9F6" w14:textId="77777777" w:rsidR="009A3ABB" w:rsidRDefault="009A3ABB">
      <w:pPr>
        <w:spacing w:after="0" w:line="240" w:lineRule="auto"/>
      </w:pPr>
    </w:p>
    <w:p w14:paraId="4901EC22" w14:textId="77777777" w:rsidR="009A3ABB" w:rsidRDefault="009A3A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F96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C10455" wp14:editId="61D008B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8F453A" w14:textId="53564EB8" w:rsidR="00C14F31" w:rsidRDefault="00C14F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0C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EA6A03" wp14:editId="2FF1A4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395B70">
      <w:rPr>
        <w:rFonts w:ascii="Arial" w:hAnsi="Arial" w:cs="Arial"/>
        <w:b/>
        <w:sz w:val="28"/>
        <w:szCs w:val="28"/>
      </w:rPr>
      <w:t xml:space="preserve"> SPECIFICATION</w:t>
    </w:r>
  </w:p>
  <w:p w14:paraId="5644982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9109B9"/>
    <w:multiLevelType w:val="multilevel"/>
    <w:tmpl w:val="3C5CDF5E"/>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5158EC"/>
    <w:multiLevelType w:val="hybridMultilevel"/>
    <w:tmpl w:val="314CA3BE"/>
    <w:lvl w:ilvl="0" w:tplc="F1C2207A">
      <w:start w:val="1"/>
      <w:numFmt w:val="decimal"/>
      <w:lvlText w:val="8.%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2A89"/>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F35"/>
    <w:rsid w:val="003934D2"/>
    <w:rsid w:val="00395B70"/>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6DAB"/>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FFD"/>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36D65"/>
    <w:rsid w:val="00947180"/>
    <w:rsid w:val="009567BE"/>
    <w:rsid w:val="009676FA"/>
    <w:rsid w:val="009679E0"/>
    <w:rsid w:val="00977632"/>
    <w:rsid w:val="00982A8E"/>
    <w:rsid w:val="00987DB4"/>
    <w:rsid w:val="0099029D"/>
    <w:rsid w:val="00996204"/>
    <w:rsid w:val="009A26CB"/>
    <w:rsid w:val="009A2BC2"/>
    <w:rsid w:val="009A2D37"/>
    <w:rsid w:val="009A3ABB"/>
    <w:rsid w:val="009A7587"/>
    <w:rsid w:val="009B0A69"/>
    <w:rsid w:val="009C2474"/>
    <w:rsid w:val="009C7082"/>
    <w:rsid w:val="009D0006"/>
    <w:rsid w:val="009D068C"/>
    <w:rsid w:val="009F3A2A"/>
    <w:rsid w:val="009F509D"/>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6D8F"/>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48F"/>
    <w:rsid w:val="00BD009E"/>
    <w:rsid w:val="00BD0EF8"/>
    <w:rsid w:val="00BD4D03"/>
    <w:rsid w:val="00BD7A8C"/>
    <w:rsid w:val="00BE2126"/>
    <w:rsid w:val="00BE3B17"/>
    <w:rsid w:val="00BF51AB"/>
    <w:rsid w:val="00BF716B"/>
    <w:rsid w:val="00BF7233"/>
    <w:rsid w:val="00C02AA2"/>
    <w:rsid w:val="00C04C95"/>
    <w:rsid w:val="00C12613"/>
    <w:rsid w:val="00C14F31"/>
    <w:rsid w:val="00C16DEF"/>
    <w:rsid w:val="00C2492F"/>
    <w:rsid w:val="00C3744A"/>
    <w:rsid w:val="00C4002A"/>
    <w:rsid w:val="00C46912"/>
    <w:rsid w:val="00C612A8"/>
    <w:rsid w:val="00C618D2"/>
    <w:rsid w:val="00C67631"/>
    <w:rsid w:val="00C709C6"/>
    <w:rsid w:val="00C7299F"/>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6920"/>
    <w:rsid w:val="00D65506"/>
    <w:rsid w:val="00D773CF"/>
    <w:rsid w:val="00D83563"/>
    <w:rsid w:val="00D8448F"/>
    <w:rsid w:val="00DA64B6"/>
    <w:rsid w:val="00DB5C9D"/>
    <w:rsid w:val="00DC2833"/>
    <w:rsid w:val="00DD02E6"/>
    <w:rsid w:val="00DF0910"/>
    <w:rsid w:val="00DF665B"/>
    <w:rsid w:val="00E0152A"/>
    <w:rsid w:val="00E03394"/>
    <w:rsid w:val="00E066E5"/>
    <w:rsid w:val="00E22F03"/>
    <w:rsid w:val="00E233C1"/>
    <w:rsid w:val="00E43999"/>
    <w:rsid w:val="00E51404"/>
    <w:rsid w:val="00E574C9"/>
    <w:rsid w:val="00E610DE"/>
    <w:rsid w:val="00E66167"/>
    <w:rsid w:val="00E71F2F"/>
    <w:rsid w:val="00E77786"/>
    <w:rsid w:val="00E806FB"/>
    <w:rsid w:val="00EB1C2D"/>
    <w:rsid w:val="00EB67AC"/>
    <w:rsid w:val="00EC1810"/>
    <w:rsid w:val="00EC3FCC"/>
    <w:rsid w:val="00EC6F98"/>
    <w:rsid w:val="00ED32FF"/>
    <w:rsid w:val="00EF039B"/>
    <w:rsid w:val="00EF4933"/>
    <w:rsid w:val="00EF5044"/>
    <w:rsid w:val="00EF7BC1"/>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5FF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D34C-CA3B-4996-820B-DCAB990497FD}"/>
</file>

<file path=customXml/itemProps2.xml><?xml version="1.0" encoding="utf-8"?>
<ds:datastoreItem xmlns:ds="http://schemas.openxmlformats.org/officeDocument/2006/customXml" ds:itemID="{F08DDD6B-C32F-4A2B-A140-C671C099CDCC}">
  <ds:schemaRefs>
    <ds:schemaRef ds:uri="http://schemas.microsoft.com/sharepoint/v3/contenttype/forms"/>
  </ds:schemaRefs>
</ds:datastoreItem>
</file>

<file path=customXml/itemProps3.xml><?xml version="1.0" encoding="utf-8"?>
<ds:datastoreItem xmlns:ds="http://schemas.openxmlformats.org/officeDocument/2006/customXml" ds:itemID="{897C238E-97FB-4E8A-9A0A-F17EE91841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F29A1-2FCB-4E15-91CA-0931169E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Mould</cp:lastModifiedBy>
  <cp:revision>6</cp:revision>
  <cp:lastPrinted>2015-09-09T08:37:00Z</cp:lastPrinted>
  <dcterms:created xsi:type="dcterms:W3CDTF">2021-10-05T15:34:00Z</dcterms:created>
  <dcterms:modified xsi:type="dcterms:W3CDTF">2022-03-04T14:57:00Z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