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9D2D0A">
      <w:pPr>
        <w:pStyle w:val="Heading2"/>
        <w:spacing w:before="0"/>
      </w:pPr>
      <w:r>
        <w:t>KentVision Code and t</w:t>
      </w:r>
      <w:r w:rsidR="009A2D37" w:rsidRPr="00072357">
        <w:t>itle of the module</w:t>
      </w:r>
    </w:p>
    <w:p w14:paraId="53DD716D" w14:textId="53CB8DA0" w:rsidR="00694B52" w:rsidRPr="00402A37" w:rsidRDefault="00402A37" w:rsidP="009D2D0A">
      <w:pPr>
        <w:pStyle w:val="BodyText"/>
      </w:pPr>
      <w:r w:rsidRPr="00427161">
        <w:t>SACO8190</w:t>
      </w:r>
      <w:r w:rsidRPr="00402A37">
        <w:rPr>
          <w:i/>
        </w:rPr>
        <w:t xml:space="preserve"> </w:t>
      </w:r>
      <w:r w:rsidRPr="00402A37">
        <w:t>Field Excavation and Recovery Methods</w:t>
      </w:r>
    </w:p>
    <w:p w14:paraId="71554414" w14:textId="66149F08" w:rsidR="009A2D37" w:rsidRPr="00B2615D" w:rsidRDefault="007A49C1" w:rsidP="009D2D0A">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30F187BB" w:rsidR="00694B52" w:rsidRPr="00FD798E" w:rsidRDefault="00911A12" w:rsidP="009D2D0A">
      <w:pPr>
        <w:pStyle w:val="BodyText"/>
      </w:pPr>
      <w:r>
        <w:t xml:space="preserve">Division of Human and </w:t>
      </w:r>
      <w:r w:rsidR="00402A37" w:rsidRPr="00FD798E">
        <w:t>S</w:t>
      </w:r>
      <w:r>
        <w:t xml:space="preserve">ocial </w:t>
      </w:r>
      <w:r w:rsidR="00402A37" w:rsidRPr="00FD798E">
        <w:t>S</w:t>
      </w:r>
      <w:r>
        <w:t>ciences, School of Anthropology and Conservation</w:t>
      </w:r>
    </w:p>
    <w:p w14:paraId="04C6DE8C" w14:textId="77777777" w:rsidR="009A2D37" w:rsidRPr="009D52D0" w:rsidRDefault="00883204" w:rsidP="009D2D0A">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61201B76" w:rsidR="00694B52" w:rsidRPr="00FD798E" w:rsidRDefault="00402A37" w:rsidP="009D2D0A">
      <w:pPr>
        <w:pStyle w:val="BodyText"/>
      </w:pPr>
      <w:r w:rsidRPr="00FD798E">
        <w:t>Level 7</w:t>
      </w:r>
    </w:p>
    <w:p w14:paraId="20483909" w14:textId="77777777" w:rsidR="009A2D37" w:rsidRPr="009D52D0" w:rsidRDefault="009A2D37" w:rsidP="009D2D0A">
      <w:pPr>
        <w:pStyle w:val="Heading2"/>
      </w:pPr>
      <w:r w:rsidRPr="009D52D0">
        <w:t xml:space="preserve">The number of credits and the ECTS value which the module represents </w:t>
      </w:r>
    </w:p>
    <w:p w14:paraId="369EF084" w14:textId="020DA5B5" w:rsidR="00694B52" w:rsidRPr="00CF7186" w:rsidRDefault="00402A37" w:rsidP="009D2D0A">
      <w:pPr>
        <w:pStyle w:val="BodyText"/>
      </w:pPr>
      <w:r w:rsidRPr="00CF7186">
        <w:t>30</w:t>
      </w:r>
      <w:r w:rsidR="00DC490D" w:rsidRPr="00CF7186">
        <w:t xml:space="preserve"> credits (</w:t>
      </w:r>
      <w:r w:rsidRPr="00CF7186">
        <w:t>15</w:t>
      </w:r>
      <w:r w:rsidR="00DC490D" w:rsidRPr="00CF7186">
        <w:t xml:space="preserve"> ECTS)</w:t>
      </w:r>
    </w:p>
    <w:p w14:paraId="0A7DD2EB" w14:textId="77777777" w:rsidR="009A2D37" w:rsidRPr="009D52D0" w:rsidRDefault="009A2D37" w:rsidP="009D2D0A">
      <w:pPr>
        <w:pStyle w:val="Heading2"/>
      </w:pPr>
      <w:r w:rsidRPr="009D52D0">
        <w:t>Which term(s) the module is to be taught in (or other teaching pattern)</w:t>
      </w:r>
    </w:p>
    <w:p w14:paraId="6A16589E" w14:textId="4D63BB1E" w:rsidR="00694B52" w:rsidRPr="00694B52" w:rsidRDefault="00DC490D" w:rsidP="009D2D0A">
      <w:pPr>
        <w:pStyle w:val="BodyText"/>
      </w:pPr>
      <w:r w:rsidRPr="00CF7186">
        <w:t>Spring (12 weeks)</w:t>
      </w:r>
    </w:p>
    <w:p w14:paraId="76529F9A" w14:textId="1E4AB6DA" w:rsidR="009A2D37" w:rsidRDefault="009A2D37" w:rsidP="009D2D0A">
      <w:pPr>
        <w:pStyle w:val="Heading2"/>
      </w:pPr>
      <w:r w:rsidRPr="009D52D0">
        <w:t>Prerequisite and co-requisite modules</w:t>
      </w:r>
      <w:r w:rsidR="00E1736E">
        <w:t xml:space="preserve"> and/or any module restrictions</w:t>
      </w:r>
    </w:p>
    <w:p w14:paraId="5AE02DAF" w14:textId="74EF550A" w:rsidR="00694B52" w:rsidRPr="00FD798E" w:rsidRDefault="00CF7186" w:rsidP="009D2D0A">
      <w:pPr>
        <w:pStyle w:val="BodyText"/>
      </w:pPr>
      <w:r w:rsidRPr="00CF7186">
        <w:t>None</w:t>
      </w:r>
    </w:p>
    <w:p w14:paraId="65457720" w14:textId="77777777" w:rsidR="009A2D37" w:rsidRPr="009D52D0" w:rsidRDefault="009A2D37" w:rsidP="009D2D0A">
      <w:pPr>
        <w:pStyle w:val="Heading2"/>
      </w:pPr>
      <w:r w:rsidRPr="009D52D0">
        <w:t xml:space="preserve">The </w:t>
      </w:r>
      <w:r w:rsidR="007A49C1" w:rsidRPr="009D52D0">
        <w:t>course(s)</w:t>
      </w:r>
      <w:r w:rsidRPr="009D52D0">
        <w:t xml:space="preserve"> of study to which the module contributes</w:t>
      </w:r>
    </w:p>
    <w:p w14:paraId="28CC1478" w14:textId="1B528F29" w:rsidR="00694B52" w:rsidRPr="00694B52" w:rsidRDefault="008532F0" w:rsidP="009D2D0A">
      <w:pPr>
        <w:pStyle w:val="BodyText"/>
      </w:pPr>
      <w:r w:rsidRPr="00CF7186">
        <w:t>MSc Forensic Osteology and Field Recovery Methods</w:t>
      </w:r>
    </w:p>
    <w:p w14:paraId="3839F6AB" w14:textId="77777777" w:rsidR="009A2D37" w:rsidRPr="009D52D0" w:rsidRDefault="009A2D37" w:rsidP="005E7662">
      <w:pPr>
        <w:pStyle w:val="header2"/>
        <w:ind w:left="567" w:hanging="567"/>
      </w:pPr>
      <w:r w:rsidRPr="009D2D0A">
        <w:rPr>
          <w:rStyle w:val="Heading2Char"/>
          <w:b/>
          <w:bCs/>
        </w:rPr>
        <w:t>The intended subject specific learning outcomes</w:t>
      </w:r>
      <w:r w:rsidR="00C729D7" w:rsidRPr="009D2D0A">
        <w:rPr>
          <w:rStyle w:val="Heading2Char"/>
          <w:b/>
          <w:bCs/>
        </w:rPr>
        <w:t>.</w:t>
      </w:r>
      <w:r w:rsidR="00C729D7" w:rsidRPr="009D2D0A">
        <w:rPr>
          <w:rStyle w:val="Heading2Char"/>
          <w:b/>
          <w:bCs/>
        </w:rPr>
        <w:br/>
      </w:r>
      <w:r w:rsidR="00C729D7" w:rsidRPr="009D52D0">
        <w:t>On successfully completing the module students will be able to:</w:t>
      </w:r>
    </w:p>
    <w:p w14:paraId="3044C09E" w14:textId="07C85FBF" w:rsidR="008532F0" w:rsidRPr="008532F0" w:rsidRDefault="008532F0" w:rsidP="009D2D0A">
      <w:pPr>
        <w:pStyle w:val="ListNumber2"/>
        <w:rPr>
          <w:b/>
          <w:lang w:eastAsia="en-US"/>
        </w:rPr>
      </w:pPr>
      <w:r w:rsidRPr="008532F0">
        <w:rPr>
          <w:lang w:eastAsia="en-US"/>
        </w:rPr>
        <w:t>8.1</w:t>
      </w:r>
      <w:r w:rsidR="009D2D0A">
        <w:rPr>
          <w:lang w:eastAsia="en-US"/>
        </w:rPr>
        <w:tab/>
        <w:t>H</w:t>
      </w:r>
      <w:r w:rsidRPr="008532F0">
        <w:rPr>
          <w:lang w:eastAsia="en-US"/>
        </w:rPr>
        <w:t>ave a systematic understanding of how to survey and knowledge of identification methods</w:t>
      </w:r>
    </w:p>
    <w:p w14:paraId="4A004DC4" w14:textId="41EFD949" w:rsidR="008532F0" w:rsidRPr="008532F0" w:rsidRDefault="008532F0" w:rsidP="009D2D0A">
      <w:pPr>
        <w:pStyle w:val="ListNumber2"/>
        <w:rPr>
          <w:b/>
          <w:lang w:eastAsia="en-US"/>
        </w:rPr>
      </w:pPr>
      <w:r w:rsidRPr="008532F0">
        <w:rPr>
          <w:lang w:eastAsia="en-US"/>
        </w:rPr>
        <w:t>8.2</w:t>
      </w:r>
      <w:r w:rsidR="009D2D0A">
        <w:rPr>
          <w:lang w:eastAsia="en-US"/>
        </w:rPr>
        <w:tab/>
        <w:t>H</w:t>
      </w:r>
      <w:r w:rsidRPr="008532F0">
        <w:rPr>
          <w:lang w:eastAsia="en-US"/>
        </w:rPr>
        <w:t>ave comprehensive understanding of how to record burial layout, orientation and location of human remains and contextual evidence</w:t>
      </w:r>
    </w:p>
    <w:p w14:paraId="0263F385" w14:textId="267E0CFA" w:rsidR="008532F0" w:rsidRPr="008532F0" w:rsidRDefault="008532F0" w:rsidP="009D2D0A">
      <w:pPr>
        <w:pStyle w:val="ListNumber2"/>
        <w:rPr>
          <w:b/>
          <w:lang w:eastAsia="en-US"/>
        </w:rPr>
      </w:pPr>
      <w:r w:rsidRPr="008532F0">
        <w:rPr>
          <w:lang w:eastAsia="en-US"/>
        </w:rPr>
        <w:t>8.3</w:t>
      </w:r>
      <w:r w:rsidR="009D2D0A">
        <w:rPr>
          <w:lang w:eastAsia="en-US"/>
        </w:rPr>
        <w:tab/>
        <w:t>H</w:t>
      </w:r>
      <w:r w:rsidRPr="008532F0">
        <w:rPr>
          <w:lang w:eastAsia="en-US"/>
        </w:rPr>
        <w:t>ave comprehensive understanding of how to excavate human remains and how to recover contextual evidence</w:t>
      </w:r>
    </w:p>
    <w:p w14:paraId="256A8AC3" w14:textId="678C046B" w:rsidR="008D4447" w:rsidRPr="00FD798E" w:rsidRDefault="008532F0" w:rsidP="009D2D0A">
      <w:pPr>
        <w:pStyle w:val="ListNumber2"/>
        <w:rPr>
          <w:b/>
          <w:lang w:eastAsia="en-US"/>
        </w:rPr>
      </w:pPr>
      <w:r w:rsidRPr="008532F0">
        <w:rPr>
          <w:lang w:eastAsia="en-US"/>
        </w:rPr>
        <w:t>8.4</w:t>
      </w:r>
      <w:r w:rsidR="009D2D0A">
        <w:rPr>
          <w:lang w:eastAsia="en-US"/>
        </w:rPr>
        <w:tab/>
        <w:t>H</w:t>
      </w:r>
      <w:r w:rsidRPr="008532F0">
        <w:rPr>
          <w:lang w:eastAsia="en-US"/>
        </w:rPr>
        <w:t>ave systematic understanding of how to photograph, label and bag human remains and</w:t>
      </w:r>
      <w:r>
        <w:rPr>
          <w:lang w:eastAsia="en-US"/>
        </w:rPr>
        <w:t xml:space="preserve"> </w:t>
      </w:r>
      <w:r w:rsidRPr="008532F0">
        <w:rPr>
          <w:lang w:eastAsia="en-US"/>
        </w:rPr>
        <w:t>contextual evidence.</w:t>
      </w:r>
    </w:p>
    <w:p w14:paraId="6B50D985" w14:textId="77777777" w:rsidR="009D2D0A" w:rsidRDefault="009D2D0A">
      <w:pPr>
        <w:spacing w:after="200" w:line="276" w:lineRule="auto"/>
        <w:rPr>
          <w:rStyle w:val="Heading2Char"/>
          <w:bCs/>
        </w:rPr>
      </w:pPr>
      <w:r>
        <w:rPr>
          <w:rStyle w:val="Heading2Char"/>
          <w:b w:val="0"/>
          <w:bCs/>
        </w:rPr>
        <w:br w:type="page"/>
      </w:r>
    </w:p>
    <w:p w14:paraId="035A14B0" w14:textId="019279A1" w:rsidR="00C729D7" w:rsidRPr="009D52D0" w:rsidRDefault="009A2D37" w:rsidP="008C498F">
      <w:pPr>
        <w:pStyle w:val="header2"/>
        <w:spacing w:before="840"/>
        <w:ind w:left="567" w:right="544" w:hanging="567"/>
      </w:pPr>
      <w:r w:rsidRPr="009D2D0A">
        <w:rPr>
          <w:rStyle w:val="Heading2Char"/>
          <w:b/>
          <w:bCs/>
        </w:rPr>
        <w:lastRenderedPageBreak/>
        <w:t>The intended generic learning outcomes</w:t>
      </w:r>
      <w:r w:rsidR="00C729D7" w:rsidRPr="009D2D0A">
        <w:rPr>
          <w:rStyle w:val="Heading2Char"/>
          <w:b/>
          <w:bCs/>
        </w:rPr>
        <w:t>.</w:t>
      </w:r>
      <w:r w:rsidR="00C729D7" w:rsidRPr="009D2D0A">
        <w:rPr>
          <w:rStyle w:val="Heading2Char"/>
        </w:rPr>
        <w:br/>
      </w:r>
      <w:r w:rsidR="00C729D7" w:rsidRPr="009D52D0">
        <w:t>On successfully completing the module students will be able to:</w:t>
      </w:r>
    </w:p>
    <w:p w14:paraId="0C7988F9" w14:textId="49B23AFF" w:rsidR="008532F0" w:rsidRPr="008532F0" w:rsidRDefault="008532F0" w:rsidP="009D2D0A">
      <w:pPr>
        <w:pStyle w:val="ListNumber2"/>
        <w:rPr>
          <w:b/>
          <w:lang w:eastAsia="en-US"/>
        </w:rPr>
      </w:pPr>
      <w:r w:rsidRPr="008532F0">
        <w:rPr>
          <w:lang w:eastAsia="en-US"/>
        </w:rPr>
        <w:t>9.1</w:t>
      </w:r>
      <w:r w:rsidR="009D2D0A">
        <w:rPr>
          <w:lang w:eastAsia="en-US"/>
        </w:rPr>
        <w:tab/>
        <w:t>C</w:t>
      </w:r>
      <w:r w:rsidRPr="008532F0">
        <w:rPr>
          <w:lang w:eastAsia="en-US"/>
        </w:rPr>
        <w:t>ritically evaluate and problem solve</w:t>
      </w:r>
    </w:p>
    <w:p w14:paraId="2D887659" w14:textId="558E3582" w:rsidR="008532F0" w:rsidRPr="008532F0" w:rsidRDefault="008532F0" w:rsidP="009D2D0A">
      <w:pPr>
        <w:pStyle w:val="ListNumber2"/>
        <w:rPr>
          <w:b/>
          <w:lang w:eastAsia="en-US"/>
        </w:rPr>
      </w:pPr>
      <w:r w:rsidRPr="008532F0">
        <w:rPr>
          <w:lang w:eastAsia="en-US"/>
        </w:rPr>
        <w:t>9.2</w:t>
      </w:r>
      <w:r w:rsidR="009D2D0A">
        <w:rPr>
          <w:lang w:eastAsia="en-US"/>
        </w:rPr>
        <w:tab/>
        <w:t>O</w:t>
      </w:r>
      <w:r w:rsidRPr="008532F0">
        <w:rPr>
          <w:lang w:eastAsia="en-US"/>
        </w:rPr>
        <w:t>rganise and present information in a clear and concise manner</w:t>
      </w:r>
    </w:p>
    <w:p w14:paraId="67310F85" w14:textId="4BA79325" w:rsidR="008532F0" w:rsidRPr="008532F0" w:rsidRDefault="008532F0" w:rsidP="009D2D0A">
      <w:pPr>
        <w:pStyle w:val="ListNumber2"/>
        <w:rPr>
          <w:b/>
          <w:lang w:eastAsia="en-US"/>
        </w:rPr>
      </w:pPr>
      <w:r w:rsidRPr="008532F0">
        <w:rPr>
          <w:lang w:eastAsia="en-US"/>
        </w:rPr>
        <w:t>9.3</w:t>
      </w:r>
      <w:r w:rsidR="009D2D0A">
        <w:rPr>
          <w:lang w:eastAsia="en-US"/>
        </w:rPr>
        <w:tab/>
        <w:t>D</w:t>
      </w:r>
      <w:r w:rsidRPr="008532F0">
        <w:rPr>
          <w:lang w:eastAsia="en-US"/>
        </w:rPr>
        <w:t>emonstrate advanced development of laboratory and practical skills</w:t>
      </w:r>
    </w:p>
    <w:p w14:paraId="54EBC02D" w14:textId="7E9C3535" w:rsidR="008D4447" w:rsidRPr="00FD798E" w:rsidRDefault="008532F0" w:rsidP="009D2D0A">
      <w:pPr>
        <w:pStyle w:val="ListNumber2"/>
        <w:rPr>
          <w:b/>
          <w:i/>
          <w:iCs/>
        </w:rPr>
      </w:pPr>
      <w:r w:rsidRPr="008532F0">
        <w:rPr>
          <w:lang w:eastAsia="en-US"/>
        </w:rPr>
        <w:t>9.4</w:t>
      </w:r>
      <w:r w:rsidR="009D2D0A">
        <w:rPr>
          <w:lang w:eastAsia="en-US"/>
        </w:rPr>
        <w:tab/>
        <w:t>D</w:t>
      </w:r>
      <w:r w:rsidRPr="008532F0">
        <w:rPr>
          <w:lang w:eastAsia="en-US"/>
        </w:rPr>
        <w:t>emonstrate further development of communication by a variety of methods</w:t>
      </w:r>
      <w:r w:rsidR="00E97A9E">
        <w:rPr>
          <w:lang w:eastAsia="en-US"/>
        </w:rPr>
        <w:t>.</w:t>
      </w:r>
    </w:p>
    <w:p w14:paraId="73386C6A" w14:textId="77777777" w:rsidR="009A2D37" w:rsidRPr="009D52D0" w:rsidRDefault="009A2D37" w:rsidP="009D2D0A">
      <w:pPr>
        <w:pStyle w:val="Heading2"/>
      </w:pPr>
      <w:r w:rsidRPr="009D52D0">
        <w:t>A synopsis of the curriculum</w:t>
      </w:r>
    </w:p>
    <w:p w14:paraId="7040E90A" w14:textId="76C4C0E3" w:rsidR="008D4447" w:rsidRPr="00FD798E" w:rsidRDefault="008532F0" w:rsidP="009D2D0A">
      <w:pPr>
        <w:pStyle w:val="BodyText"/>
        <w:rPr>
          <w:b/>
        </w:rPr>
      </w:pPr>
      <w:r w:rsidRPr="008532F0">
        <w:t>This module will teach students the steps from finding human remains (mapping and carrying out a survey) to taking the remains into the lab for analysis. Students gain experience in designing and laying out an excavation grid</w:t>
      </w:r>
      <w:r w:rsidR="0090759C">
        <w:t>,</w:t>
      </w:r>
      <w:r w:rsidRPr="008532F0">
        <w:t xml:space="preserve"> learning how to record and photograph human remains and contextual evidence found in the field. Finally the students will have hands on learning experience in recording and bagging the finds and creating a chain of evidence. This module will look at the challenges of single and multiple burials and mass disasters.</w:t>
      </w:r>
    </w:p>
    <w:p w14:paraId="05E3877E" w14:textId="77777777" w:rsidR="00636058" w:rsidRDefault="00883204" w:rsidP="009D2D0A">
      <w:pPr>
        <w:pStyle w:val="Heading2"/>
      </w:pPr>
      <w:r w:rsidRPr="009D52D0">
        <w:t>Reading l</w:t>
      </w:r>
      <w:r w:rsidR="009A2D37" w:rsidRPr="009D52D0">
        <w:t xml:space="preserve">ist </w:t>
      </w:r>
    </w:p>
    <w:p w14:paraId="6260158A" w14:textId="77777777" w:rsidR="00C17144" w:rsidRDefault="00C17144" w:rsidP="009D2D0A">
      <w:pPr>
        <w:pStyle w:val="BodyText"/>
        <w:rPr>
          <w:b/>
        </w:rPr>
      </w:pPr>
      <w:r w:rsidRPr="00636058">
        <w:t xml:space="preserve">The University is committed to ensuring that core reading materials are in accessible electronic format in line with the Kent Inclusive Practices. </w:t>
      </w:r>
    </w:p>
    <w:p w14:paraId="7E346B0D" w14:textId="0D54C315" w:rsidR="00C17144" w:rsidRDefault="00C17144" w:rsidP="009D2D0A">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w:t>
      </w:r>
    </w:p>
    <w:p w14:paraId="715A2291" w14:textId="15D7BD54" w:rsidR="00883204" w:rsidRDefault="00636058" w:rsidP="009D2D0A">
      <w:pPr>
        <w:pStyle w:val="Heading2"/>
      </w:pPr>
      <w:r>
        <w:t>Contact Hours</w:t>
      </w:r>
    </w:p>
    <w:p w14:paraId="683E6436" w14:textId="39133A2D" w:rsidR="005E70EE" w:rsidRDefault="005E70EE" w:rsidP="009D2D0A">
      <w:pPr>
        <w:pStyle w:val="BodyText"/>
        <w:rPr>
          <w:b/>
        </w:rPr>
      </w:pPr>
      <w:r>
        <w:t>Private Study:</w:t>
      </w:r>
      <w:r w:rsidR="009D2D0A">
        <w:tab/>
      </w:r>
      <w:r>
        <w:t>260</w:t>
      </w:r>
    </w:p>
    <w:p w14:paraId="3D41D87E" w14:textId="70A9442D" w:rsidR="008532F0" w:rsidRPr="008532F0" w:rsidRDefault="005E70EE" w:rsidP="009D2D0A">
      <w:pPr>
        <w:pStyle w:val="BodyText"/>
        <w:rPr>
          <w:b/>
        </w:rPr>
      </w:pPr>
      <w:r>
        <w:t>C</w:t>
      </w:r>
      <w:r w:rsidR="008532F0" w:rsidRPr="008532F0">
        <w:t xml:space="preserve">ontact </w:t>
      </w:r>
      <w:r>
        <w:t>H</w:t>
      </w:r>
      <w:r w:rsidR="008532F0" w:rsidRPr="008532F0">
        <w:t>ours:</w:t>
      </w:r>
      <w:r w:rsidR="009D2D0A">
        <w:t xml:space="preserve">  </w:t>
      </w:r>
      <w:r w:rsidR="008532F0" w:rsidRPr="008532F0">
        <w:t>40</w:t>
      </w:r>
    </w:p>
    <w:p w14:paraId="2B788CD2" w14:textId="309B4FA7" w:rsidR="0057546D" w:rsidRPr="007D07CA" w:rsidRDefault="008532F0" w:rsidP="009D2D0A">
      <w:pPr>
        <w:pStyle w:val="BodyText"/>
        <w:rPr>
          <w:b/>
        </w:rPr>
      </w:pPr>
      <w:r w:rsidRPr="008532F0">
        <w:t>Total:</w:t>
      </w:r>
      <w:r w:rsidR="009D2D0A">
        <w:tab/>
      </w:r>
      <w:r w:rsidR="009D2D0A">
        <w:tab/>
      </w:r>
      <w:r w:rsidRPr="008532F0">
        <w:t>300</w:t>
      </w:r>
    </w:p>
    <w:p w14:paraId="1C49B47B" w14:textId="77777777" w:rsidR="00B2615D" w:rsidRPr="005E7662" w:rsidRDefault="00EF4933" w:rsidP="009D2D0A">
      <w:pPr>
        <w:pStyle w:val="Heading2"/>
      </w:pPr>
      <w:r w:rsidRPr="009D52D0">
        <w:t>Assessment methods</w:t>
      </w:r>
    </w:p>
    <w:p w14:paraId="7F14E902" w14:textId="1C4B6F84" w:rsidR="00696FF5" w:rsidRPr="00B2615D" w:rsidRDefault="00696FF5" w:rsidP="009D2D0A">
      <w:pPr>
        <w:pStyle w:val="header2"/>
        <w:numPr>
          <w:ilvl w:val="1"/>
          <w:numId w:val="11"/>
        </w:numPr>
        <w:spacing w:before="0"/>
        <w:ind w:left="567" w:right="510" w:hanging="567"/>
        <w:rPr>
          <w:b w:val="0"/>
          <w:bCs/>
          <w:i/>
          <w:iCs/>
        </w:rPr>
      </w:pPr>
      <w:r w:rsidRPr="00B2615D">
        <w:rPr>
          <w:b w:val="0"/>
          <w:bCs/>
          <w:iCs/>
        </w:rPr>
        <w:t>Main assessment methods</w:t>
      </w:r>
    </w:p>
    <w:p w14:paraId="08A5CA63" w14:textId="47775F47" w:rsidR="008532F0" w:rsidRPr="00566669" w:rsidRDefault="008532F0" w:rsidP="009D2D0A">
      <w:pPr>
        <w:pStyle w:val="ListBullet"/>
      </w:pPr>
      <w:r w:rsidRPr="00566669">
        <w:t>Field Report (3500 words) (40%)</w:t>
      </w:r>
      <w:r w:rsidR="003058A4" w:rsidRPr="00566669">
        <w:t>*</w:t>
      </w:r>
    </w:p>
    <w:p w14:paraId="5B51F4BB" w14:textId="52F399AE" w:rsidR="008532F0" w:rsidRPr="00566669" w:rsidRDefault="008532F0" w:rsidP="009D2D0A">
      <w:pPr>
        <w:pStyle w:val="ListBullet"/>
        <w:rPr>
          <w:b/>
          <w:i/>
        </w:rPr>
      </w:pPr>
      <w:r w:rsidRPr="00566669">
        <w:t xml:space="preserve">Onsite </w:t>
      </w:r>
      <w:r w:rsidR="00C20873">
        <w:t>E</w:t>
      </w:r>
      <w:r w:rsidRPr="00566669">
        <w:t>valuation (</w:t>
      </w:r>
      <w:r w:rsidR="008843E9" w:rsidRPr="00566669">
        <w:t>2</w:t>
      </w:r>
      <w:r w:rsidRPr="00566669">
        <w:t>0%)</w:t>
      </w:r>
    </w:p>
    <w:p w14:paraId="51989973" w14:textId="1C412EF8" w:rsidR="0057546D" w:rsidRDefault="008532F0" w:rsidP="009D2D0A">
      <w:pPr>
        <w:pStyle w:val="ListBullet"/>
      </w:pPr>
      <w:r w:rsidRPr="00566669">
        <w:t xml:space="preserve">Lab notebook (2500 words) </w:t>
      </w:r>
      <w:r w:rsidR="0001567D">
        <w:t>(40%)</w:t>
      </w:r>
    </w:p>
    <w:p w14:paraId="270274DF" w14:textId="414117CD" w:rsidR="0057546D" w:rsidRPr="00A55857" w:rsidRDefault="00A55857" w:rsidP="00CE1A33">
      <w:pPr>
        <w:pStyle w:val="BodyText"/>
        <w:spacing w:before="240"/>
        <w:rPr>
          <w:b/>
          <w:bCs/>
          <w:i/>
          <w:iCs/>
          <w:sz w:val="22"/>
        </w:rPr>
      </w:pPr>
      <w:r w:rsidRPr="00A55857">
        <w:rPr>
          <w:b/>
          <w:bCs/>
          <w:i/>
          <w:iCs/>
          <w:sz w:val="22"/>
        </w:rPr>
        <w:t>*</w:t>
      </w:r>
      <w:r w:rsidR="0057546D" w:rsidRPr="00A55857">
        <w:rPr>
          <w:b/>
          <w:bCs/>
          <w:i/>
          <w:iCs/>
          <w:sz w:val="22"/>
        </w:rPr>
        <w:t>The Field report is pass compulsory and must be passed in order to achieve the learning outcomes of the module.</w:t>
      </w:r>
    </w:p>
    <w:p w14:paraId="2B8522A5" w14:textId="77777777" w:rsidR="00254D98" w:rsidRDefault="00254D98">
      <w:pPr>
        <w:spacing w:after="200" w:line="276" w:lineRule="auto"/>
        <w:rPr>
          <w:rFonts w:ascii="Arial" w:hAnsi="Arial" w:cs="Arial"/>
          <w:b/>
          <w:iCs/>
          <w:sz w:val="24"/>
          <w:szCs w:val="24"/>
        </w:rPr>
      </w:pPr>
      <w:r>
        <w:rPr>
          <w:iCs/>
        </w:rPr>
        <w:br w:type="page"/>
      </w:r>
    </w:p>
    <w:p w14:paraId="3DA1BBE3" w14:textId="7BDEC053" w:rsidR="00696FF5" w:rsidRPr="007D07CA" w:rsidRDefault="00696FF5" w:rsidP="00566669">
      <w:pPr>
        <w:pStyle w:val="header2"/>
        <w:numPr>
          <w:ilvl w:val="1"/>
          <w:numId w:val="11"/>
        </w:numPr>
        <w:ind w:left="567" w:right="510" w:hanging="567"/>
        <w:rPr>
          <w:iCs/>
        </w:rPr>
      </w:pPr>
      <w:r w:rsidRPr="007D07CA">
        <w:rPr>
          <w:iCs/>
        </w:rPr>
        <w:lastRenderedPageBreak/>
        <w:t xml:space="preserve">Reassessment methods </w:t>
      </w:r>
    </w:p>
    <w:p w14:paraId="0E68351E" w14:textId="7A611239" w:rsidR="003058A4" w:rsidRPr="00CF7186" w:rsidRDefault="003058A4" w:rsidP="009D2D0A">
      <w:pPr>
        <w:pStyle w:val="BodyText"/>
      </w:pPr>
      <w:r w:rsidRPr="00CF7186">
        <w:t xml:space="preserve">Like for </w:t>
      </w:r>
      <w:r w:rsidR="00CF7186">
        <w:t>l</w:t>
      </w:r>
      <w:r w:rsidRPr="00CF7186">
        <w:t>ike</w:t>
      </w:r>
    </w:p>
    <w:p w14:paraId="763207D4" w14:textId="107C8B86" w:rsidR="003058A4" w:rsidRPr="00C20873" w:rsidRDefault="003058A4" w:rsidP="007516F8">
      <w:pPr>
        <w:pStyle w:val="BodyTextIndent"/>
        <w:rPr>
          <w:sz w:val="22"/>
        </w:rPr>
      </w:pPr>
      <w:r w:rsidRPr="00C20873">
        <w:rPr>
          <w:sz w:val="22"/>
        </w:rPr>
        <w:t>*Field Report 40% and On</w:t>
      </w:r>
      <w:r w:rsidR="00C20873" w:rsidRPr="00C20873">
        <w:rPr>
          <w:sz w:val="22"/>
        </w:rPr>
        <w:t>s</w:t>
      </w:r>
      <w:r w:rsidRPr="00C20873">
        <w:rPr>
          <w:sz w:val="22"/>
        </w:rPr>
        <w:t xml:space="preserve">ite Evaluation </w:t>
      </w:r>
      <w:r w:rsidR="00015FC6" w:rsidRPr="00C20873">
        <w:rPr>
          <w:sz w:val="22"/>
        </w:rPr>
        <w:t>2</w:t>
      </w:r>
      <w:r w:rsidRPr="00C20873">
        <w:rPr>
          <w:sz w:val="22"/>
        </w:rPr>
        <w:t>0% are part of professional training and cannot be resat</w:t>
      </w:r>
      <w:r w:rsidR="00A55857" w:rsidRPr="00C20873">
        <w:rPr>
          <w:sz w:val="22"/>
        </w:rPr>
        <w:t>.</w:t>
      </w:r>
      <w:r w:rsidR="00C20873">
        <w:rPr>
          <w:sz w:val="22"/>
        </w:rPr>
        <w:t xml:space="preserve"> </w:t>
      </w:r>
      <w:r w:rsidR="00442F29" w:rsidRPr="00C20873">
        <w:rPr>
          <w:sz w:val="22"/>
        </w:rPr>
        <w:t>In the event of failure</w:t>
      </w:r>
      <w:r w:rsidR="0001567D" w:rsidRPr="00C20873">
        <w:rPr>
          <w:sz w:val="22"/>
        </w:rPr>
        <w:t xml:space="preserve"> of the module or the </w:t>
      </w:r>
      <w:r w:rsidR="00C20873" w:rsidRPr="00C20873">
        <w:rPr>
          <w:sz w:val="22"/>
        </w:rPr>
        <w:t>F</w:t>
      </w:r>
      <w:r w:rsidR="0001567D" w:rsidRPr="00C20873">
        <w:rPr>
          <w:sz w:val="22"/>
        </w:rPr>
        <w:t xml:space="preserve">ield </w:t>
      </w:r>
      <w:r w:rsidR="00C20873" w:rsidRPr="00C20873">
        <w:rPr>
          <w:sz w:val="22"/>
        </w:rPr>
        <w:t>R</w:t>
      </w:r>
      <w:r w:rsidR="0001567D" w:rsidRPr="00C20873">
        <w:rPr>
          <w:sz w:val="22"/>
        </w:rPr>
        <w:t>eport</w:t>
      </w:r>
      <w:r w:rsidR="00442F29" w:rsidRPr="00C20873">
        <w:rPr>
          <w:sz w:val="22"/>
        </w:rPr>
        <w:t xml:space="preserve">, this module must be repeated </w:t>
      </w:r>
      <w:r w:rsidR="00442F29" w:rsidRPr="00CE1A33">
        <w:rPr>
          <w:b/>
          <w:bCs/>
          <w:sz w:val="22"/>
        </w:rPr>
        <w:t>in attendance</w:t>
      </w:r>
      <w:r w:rsidR="00442F29" w:rsidRPr="00C20873">
        <w:rPr>
          <w:sz w:val="22"/>
        </w:rPr>
        <w:t>.</w:t>
      </w:r>
      <w:r w:rsidRPr="00C20873">
        <w:rPr>
          <w:sz w:val="22"/>
        </w:rPr>
        <w:t xml:space="preserve">   </w:t>
      </w:r>
    </w:p>
    <w:p w14:paraId="4062F7E7" w14:textId="43BC5BF2" w:rsidR="008D4447" w:rsidRPr="00C20873" w:rsidRDefault="00DC490D" w:rsidP="007516F8">
      <w:pPr>
        <w:pStyle w:val="BodyTextIndent"/>
        <w:rPr>
          <w:sz w:val="22"/>
        </w:rPr>
      </w:pPr>
      <w:r w:rsidRPr="00C20873">
        <w:rPr>
          <w:sz w:val="22"/>
        </w:rPr>
        <w:t>(</w:t>
      </w:r>
      <w:r w:rsidR="005E7662" w:rsidRPr="00C20873">
        <w:rPr>
          <w:sz w:val="22"/>
        </w:rPr>
        <w:t xml:space="preserve">See </w:t>
      </w:r>
      <w:hyperlink r:id="rId12" w:history="1">
        <w:r w:rsidRPr="00C20873">
          <w:rPr>
            <w:rStyle w:val="Hyperlink"/>
            <w:sz w:val="22"/>
          </w:rPr>
          <w:t>Annex Q</w:t>
        </w:r>
      </w:hyperlink>
      <w:r w:rsidRPr="00C20873">
        <w:rPr>
          <w:sz w:val="22"/>
        </w:rPr>
        <w:t xml:space="preserve"> </w:t>
      </w:r>
      <w:r w:rsidR="007516F8" w:rsidRPr="00C20873">
        <w:rPr>
          <w:i/>
          <w:iCs/>
          <w:sz w:val="22"/>
        </w:rPr>
        <w:t>Work based learning and practice</w:t>
      </w:r>
      <w:r w:rsidR="007516F8" w:rsidRPr="00C20873">
        <w:rPr>
          <w:sz w:val="22"/>
        </w:rPr>
        <w:t xml:space="preserve">, </w:t>
      </w:r>
      <w:r w:rsidRPr="00C20873">
        <w:rPr>
          <w:sz w:val="22"/>
        </w:rPr>
        <w:t xml:space="preserve">section 1.3 </w:t>
      </w:r>
      <w:r w:rsidR="007516F8" w:rsidRPr="00C20873">
        <w:rPr>
          <w:sz w:val="22"/>
        </w:rPr>
        <w:t xml:space="preserve">of the </w:t>
      </w:r>
      <w:r w:rsidR="007516F8" w:rsidRPr="00C20873">
        <w:rPr>
          <w:color w:val="000000"/>
          <w:sz w:val="22"/>
        </w:rPr>
        <w:t>Code of Practice for Quality Assurance of Taught Courses of Study</w:t>
      </w:r>
      <w:r w:rsidR="007516F8" w:rsidRPr="00C20873">
        <w:rPr>
          <w:color w:val="000000"/>
          <w:sz w:val="22"/>
        </w:rPr>
        <w:t xml:space="preserve"> </w:t>
      </w:r>
      <w:r w:rsidRPr="00C20873">
        <w:rPr>
          <w:sz w:val="22"/>
        </w:rPr>
        <w:t>for details)</w:t>
      </w:r>
      <w:r w:rsidR="00CE1A33">
        <w:rPr>
          <w:sz w:val="22"/>
        </w:rPr>
        <w:t>.</w:t>
      </w:r>
    </w:p>
    <w:p w14:paraId="707CBE74" w14:textId="2E236817" w:rsidR="001C1787" w:rsidRPr="00935800" w:rsidRDefault="006F3F8B" w:rsidP="009D2D0A">
      <w:pPr>
        <w:pStyle w:val="Heading2"/>
      </w:pPr>
      <w:r w:rsidRPr="009D52D0">
        <w:t xml:space="preserve">Map of </w:t>
      </w:r>
      <w:r w:rsidR="00883204" w:rsidRPr="009D52D0">
        <w:t xml:space="preserve">module learning outcomes </w:t>
      </w:r>
      <w:r w:rsidR="00E24E4E" w:rsidRPr="004B6E7F">
        <w:t>(sections 8 and 9) to l</w:t>
      </w:r>
      <w:r w:rsidR="00E24E4E" w:rsidRPr="00B32936">
        <w:t>earning and teaching methods and methods of assessment (section 13)</w:t>
      </w:r>
    </w:p>
    <w:p w14:paraId="6F5E84D9" w14:textId="21BBC0D5" w:rsidR="00636058" w:rsidRPr="00C20873" w:rsidRDefault="00636058" w:rsidP="00C20873">
      <w:pPr>
        <w:pStyle w:val="BodyText"/>
        <w:spacing w:before="360" w:after="240"/>
        <w:rPr>
          <w:b/>
          <w:bCs/>
        </w:rPr>
      </w:pPr>
      <w:r w:rsidRPr="00C20873">
        <w:rPr>
          <w:b/>
          <w:bCs/>
        </w:rPr>
        <w:t>Module learning outcomes against learning and teaching methods:</w:t>
      </w:r>
    </w:p>
    <w:tbl>
      <w:tblPr>
        <w:tblStyle w:val="TableGrid"/>
        <w:tblW w:w="7182" w:type="dxa"/>
        <w:tblInd w:w="610" w:type="dxa"/>
        <w:tblLayout w:type="fixed"/>
        <w:tblLook w:val="04A0" w:firstRow="1" w:lastRow="0" w:firstColumn="1" w:lastColumn="0" w:noHBand="0" w:noVBand="1"/>
      </w:tblPr>
      <w:tblGrid>
        <w:gridCol w:w="2439"/>
        <w:gridCol w:w="592"/>
        <w:gridCol w:w="593"/>
        <w:gridCol w:w="593"/>
        <w:gridCol w:w="593"/>
        <w:gridCol w:w="593"/>
        <w:gridCol w:w="593"/>
        <w:gridCol w:w="593"/>
        <w:gridCol w:w="593"/>
      </w:tblGrid>
      <w:tr w:rsidR="004B5AA6" w:rsidRPr="009D52D0" w14:paraId="5413EC92" w14:textId="77777777" w:rsidTr="00CE1A33">
        <w:trPr>
          <w:cantSplit/>
          <w:tblHeader/>
        </w:trPr>
        <w:tc>
          <w:tcPr>
            <w:tcW w:w="2439" w:type="dxa"/>
            <w:shd w:val="clear" w:color="auto" w:fill="D9D9D9" w:themeFill="background1" w:themeFillShade="D9"/>
          </w:tcPr>
          <w:p w14:paraId="140365DD" w14:textId="40EC9E6B" w:rsidR="004B5AA6" w:rsidRPr="00E24E4E" w:rsidRDefault="004B5AA6" w:rsidP="00C20873">
            <w:pPr>
              <w:spacing w:before="60" w:after="60"/>
              <w:rPr>
                <w:rFonts w:ascii="Arial" w:hAnsi="Arial" w:cs="Arial"/>
                <w:b/>
              </w:rPr>
            </w:pPr>
            <w:r w:rsidRPr="00E24E4E">
              <w:rPr>
                <w:rFonts w:ascii="Arial" w:hAnsi="Arial" w:cs="Arial"/>
                <w:b/>
              </w:rPr>
              <w:t>Module</w:t>
            </w:r>
            <w:r w:rsidR="00E24E4E">
              <w:rPr>
                <w:rFonts w:ascii="Arial" w:hAnsi="Arial" w:cs="Arial"/>
                <w:b/>
              </w:rPr>
              <w:t xml:space="preserve"> </w:t>
            </w:r>
            <w:r w:rsidRPr="00E24E4E">
              <w:rPr>
                <w:rFonts w:ascii="Arial" w:hAnsi="Arial" w:cs="Arial"/>
                <w:b/>
              </w:rPr>
              <w:t>learning outcome</w:t>
            </w:r>
          </w:p>
        </w:tc>
        <w:tc>
          <w:tcPr>
            <w:tcW w:w="592" w:type="dxa"/>
          </w:tcPr>
          <w:p w14:paraId="6167848F" w14:textId="77777777" w:rsidR="004B5AA6" w:rsidRPr="00E24E4E" w:rsidRDefault="004B5AA6" w:rsidP="00C20873">
            <w:pPr>
              <w:spacing w:before="60" w:after="60"/>
              <w:jc w:val="center"/>
              <w:rPr>
                <w:rFonts w:ascii="Arial" w:hAnsi="Arial" w:cs="Arial"/>
              </w:rPr>
            </w:pPr>
            <w:r w:rsidRPr="00E24E4E">
              <w:rPr>
                <w:rFonts w:ascii="Arial" w:hAnsi="Arial" w:cs="Arial"/>
              </w:rPr>
              <w:t>8.1</w:t>
            </w:r>
          </w:p>
        </w:tc>
        <w:tc>
          <w:tcPr>
            <w:tcW w:w="593" w:type="dxa"/>
          </w:tcPr>
          <w:p w14:paraId="5B554168" w14:textId="77777777" w:rsidR="004B5AA6" w:rsidRPr="00E24E4E" w:rsidRDefault="004B5AA6" w:rsidP="00C20873">
            <w:pPr>
              <w:spacing w:before="60" w:after="60"/>
              <w:jc w:val="center"/>
              <w:rPr>
                <w:rFonts w:ascii="Arial" w:hAnsi="Arial" w:cs="Arial"/>
              </w:rPr>
            </w:pPr>
            <w:r w:rsidRPr="00E24E4E">
              <w:rPr>
                <w:rFonts w:ascii="Arial" w:hAnsi="Arial" w:cs="Arial"/>
              </w:rPr>
              <w:t>8.2</w:t>
            </w:r>
          </w:p>
        </w:tc>
        <w:tc>
          <w:tcPr>
            <w:tcW w:w="593" w:type="dxa"/>
          </w:tcPr>
          <w:p w14:paraId="70BB1C5A" w14:textId="77777777" w:rsidR="004B5AA6" w:rsidRPr="00E24E4E" w:rsidRDefault="004B5AA6" w:rsidP="00C20873">
            <w:pPr>
              <w:spacing w:before="60" w:after="60"/>
              <w:jc w:val="center"/>
              <w:rPr>
                <w:rFonts w:ascii="Arial" w:hAnsi="Arial" w:cs="Arial"/>
              </w:rPr>
            </w:pPr>
            <w:r w:rsidRPr="00E24E4E">
              <w:rPr>
                <w:rFonts w:ascii="Arial" w:hAnsi="Arial" w:cs="Arial"/>
              </w:rPr>
              <w:t>8.3</w:t>
            </w:r>
          </w:p>
        </w:tc>
        <w:tc>
          <w:tcPr>
            <w:tcW w:w="593" w:type="dxa"/>
          </w:tcPr>
          <w:p w14:paraId="553BA646" w14:textId="77777777" w:rsidR="004B5AA6" w:rsidRPr="00E24E4E" w:rsidRDefault="004B5AA6" w:rsidP="00C20873">
            <w:pPr>
              <w:spacing w:before="60" w:after="60"/>
              <w:jc w:val="center"/>
              <w:rPr>
                <w:rFonts w:ascii="Arial" w:hAnsi="Arial" w:cs="Arial"/>
              </w:rPr>
            </w:pPr>
            <w:r w:rsidRPr="00E24E4E">
              <w:rPr>
                <w:rFonts w:ascii="Arial" w:hAnsi="Arial" w:cs="Arial"/>
              </w:rPr>
              <w:t>8.4</w:t>
            </w:r>
          </w:p>
        </w:tc>
        <w:tc>
          <w:tcPr>
            <w:tcW w:w="593" w:type="dxa"/>
          </w:tcPr>
          <w:p w14:paraId="3B577D4A" w14:textId="77777777" w:rsidR="004B5AA6" w:rsidRPr="00E24E4E" w:rsidRDefault="004B5AA6" w:rsidP="00C20873">
            <w:pPr>
              <w:spacing w:before="60" w:after="60"/>
              <w:jc w:val="center"/>
              <w:rPr>
                <w:rFonts w:ascii="Arial" w:hAnsi="Arial" w:cs="Arial"/>
              </w:rPr>
            </w:pPr>
            <w:r w:rsidRPr="00E24E4E">
              <w:rPr>
                <w:rFonts w:ascii="Arial" w:hAnsi="Arial" w:cs="Arial"/>
              </w:rPr>
              <w:t>9.1</w:t>
            </w:r>
          </w:p>
        </w:tc>
        <w:tc>
          <w:tcPr>
            <w:tcW w:w="593" w:type="dxa"/>
          </w:tcPr>
          <w:p w14:paraId="266E4126" w14:textId="77777777" w:rsidR="004B5AA6" w:rsidRPr="00E24E4E" w:rsidRDefault="004B5AA6" w:rsidP="00C20873">
            <w:pPr>
              <w:spacing w:before="60" w:after="60"/>
              <w:jc w:val="center"/>
              <w:rPr>
                <w:rFonts w:ascii="Arial" w:hAnsi="Arial" w:cs="Arial"/>
              </w:rPr>
            </w:pPr>
            <w:r w:rsidRPr="00E24E4E">
              <w:rPr>
                <w:rFonts w:ascii="Arial" w:hAnsi="Arial" w:cs="Arial"/>
              </w:rPr>
              <w:t>9.2</w:t>
            </w:r>
          </w:p>
        </w:tc>
        <w:tc>
          <w:tcPr>
            <w:tcW w:w="593" w:type="dxa"/>
          </w:tcPr>
          <w:p w14:paraId="6EC60A4C" w14:textId="77777777" w:rsidR="004B5AA6" w:rsidRPr="00E24E4E" w:rsidRDefault="004B5AA6" w:rsidP="00C20873">
            <w:pPr>
              <w:spacing w:before="60" w:after="60"/>
              <w:jc w:val="center"/>
              <w:rPr>
                <w:rFonts w:ascii="Arial" w:hAnsi="Arial" w:cs="Arial"/>
              </w:rPr>
            </w:pPr>
            <w:r w:rsidRPr="00E24E4E">
              <w:rPr>
                <w:rFonts w:ascii="Arial" w:hAnsi="Arial" w:cs="Arial"/>
              </w:rPr>
              <w:t>9.3</w:t>
            </w:r>
          </w:p>
        </w:tc>
        <w:tc>
          <w:tcPr>
            <w:tcW w:w="593" w:type="dxa"/>
          </w:tcPr>
          <w:p w14:paraId="3E85E7FE" w14:textId="77777777" w:rsidR="004B5AA6" w:rsidRPr="00E24E4E" w:rsidRDefault="004B5AA6" w:rsidP="00C20873">
            <w:pPr>
              <w:spacing w:before="60" w:after="60"/>
              <w:jc w:val="center"/>
              <w:rPr>
                <w:rFonts w:ascii="Arial" w:hAnsi="Arial" w:cs="Arial"/>
              </w:rPr>
            </w:pPr>
            <w:r w:rsidRPr="00E24E4E">
              <w:rPr>
                <w:rFonts w:ascii="Arial" w:hAnsi="Arial" w:cs="Arial"/>
              </w:rPr>
              <w:t>9.4</w:t>
            </w:r>
          </w:p>
        </w:tc>
      </w:tr>
      <w:tr w:rsidR="004B5AA6" w:rsidRPr="009D52D0" w14:paraId="780DC4A5" w14:textId="77777777" w:rsidTr="00CE1A33">
        <w:tc>
          <w:tcPr>
            <w:tcW w:w="2439" w:type="dxa"/>
          </w:tcPr>
          <w:p w14:paraId="16F79E00" w14:textId="77777777" w:rsidR="004B5AA6" w:rsidRPr="00E24E4E" w:rsidRDefault="004B5AA6" w:rsidP="00C20873">
            <w:pPr>
              <w:spacing w:before="60" w:after="60"/>
              <w:rPr>
                <w:rFonts w:ascii="Arial" w:hAnsi="Arial" w:cs="Arial"/>
                <w:bCs/>
              </w:rPr>
            </w:pPr>
            <w:r w:rsidRPr="00E24E4E">
              <w:rPr>
                <w:rFonts w:ascii="Arial" w:hAnsi="Arial" w:cs="Arial"/>
                <w:bCs/>
              </w:rPr>
              <w:t>Private Study</w:t>
            </w:r>
          </w:p>
        </w:tc>
        <w:tc>
          <w:tcPr>
            <w:tcW w:w="592" w:type="dxa"/>
            <w:vAlign w:val="center"/>
          </w:tcPr>
          <w:p w14:paraId="34752F0E" w14:textId="1B2BA417"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593" w:type="dxa"/>
            <w:vAlign w:val="center"/>
          </w:tcPr>
          <w:p w14:paraId="0E9B09C0" w14:textId="7442CE22"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593" w:type="dxa"/>
            <w:vAlign w:val="center"/>
          </w:tcPr>
          <w:p w14:paraId="6CD1C02C" w14:textId="41EAEF01"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593" w:type="dxa"/>
            <w:vAlign w:val="center"/>
          </w:tcPr>
          <w:p w14:paraId="45C64561" w14:textId="6CDFCE8E"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593" w:type="dxa"/>
            <w:vAlign w:val="center"/>
          </w:tcPr>
          <w:p w14:paraId="2A716802" w14:textId="61040B94"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593" w:type="dxa"/>
            <w:vAlign w:val="center"/>
          </w:tcPr>
          <w:p w14:paraId="5BAFD1A4" w14:textId="733D1F7A"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593" w:type="dxa"/>
            <w:vAlign w:val="center"/>
          </w:tcPr>
          <w:p w14:paraId="030A7445" w14:textId="0AED8F0C"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593" w:type="dxa"/>
            <w:vAlign w:val="center"/>
          </w:tcPr>
          <w:p w14:paraId="431B3FED" w14:textId="56957F6C" w:rsidR="004B5AA6" w:rsidRPr="00E24E4E" w:rsidRDefault="004B5AA6" w:rsidP="00C20873">
            <w:pPr>
              <w:spacing w:before="60" w:after="60"/>
              <w:jc w:val="center"/>
              <w:rPr>
                <w:rFonts w:ascii="Arial" w:hAnsi="Arial" w:cs="Arial"/>
                <w:b/>
              </w:rPr>
            </w:pPr>
            <w:r w:rsidRPr="00E24E4E">
              <w:rPr>
                <w:rFonts w:ascii="Arial" w:hAnsi="Arial" w:cs="Arial"/>
                <w:b/>
              </w:rPr>
              <w:t>x</w:t>
            </w:r>
          </w:p>
        </w:tc>
      </w:tr>
      <w:tr w:rsidR="004B5AA6" w:rsidRPr="009D52D0" w14:paraId="5C50A519" w14:textId="77777777" w:rsidTr="00CE1A33">
        <w:tc>
          <w:tcPr>
            <w:tcW w:w="2439" w:type="dxa"/>
          </w:tcPr>
          <w:p w14:paraId="433DE3A7" w14:textId="4E495B0B" w:rsidR="004B5AA6" w:rsidRPr="00E24E4E" w:rsidRDefault="004B5AA6" w:rsidP="00C20873">
            <w:pPr>
              <w:spacing w:before="60" w:after="60"/>
              <w:rPr>
                <w:rFonts w:ascii="Arial" w:hAnsi="Arial" w:cs="Arial"/>
                <w:iCs/>
              </w:rPr>
            </w:pPr>
            <w:r w:rsidRPr="00E24E4E">
              <w:rPr>
                <w:rFonts w:ascii="Arial" w:hAnsi="Arial" w:cs="Arial"/>
                <w:iCs/>
              </w:rPr>
              <w:t>Lecture</w:t>
            </w:r>
          </w:p>
        </w:tc>
        <w:tc>
          <w:tcPr>
            <w:tcW w:w="592" w:type="dxa"/>
            <w:vAlign w:val="center"/>
          </w:tcPr>
          <w:p w14:paraId="3853654B" w14:textId="2B8A141B"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593" w:type="dxa"/>
            <w:vAlign w:val="center"/>
          </w:tcPr>
          <w:p w14:paraId="7261D01A" w14:textId="6B322467"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593" w:type="dxa"/>
            <w:vAlign w:val="center"/>
          </w:tcPr>
          <w:p w14:paraId="2D7957D4" w14:textId="7DAB6E6A"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593" w:type="dxa"/>
            <w:vAlign w:val="center"/>
          </w:tcPr>
          <w:p w14:paraId="232B2686" w14:textId="34B7C109"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593" w:type="dxa"/>
            <w:vAlign w:val="center"/>
          </w:tcPr>
          <w:p w14:paraId="2AE9F109" w14:textId="77777777" w:rsidR="004B5AA6" w:rsidRPr="00E24E4E" w:rsidRDefault="004B5AA6" w:rsidP="00C20873">
            <w:pPr>
              <w:spacing w:before="60" w:after="60"/>
              <w:jc w:val="center"/>
              <w:rPr>
                <w:rFonts w:ascii="Arial" w:hAnsi="Arial" w:cs="Arial"/>
                <w:b/>
              </w:rPr>
            </w:pPr>
          </w:p>
        </w:tc>
        <w:tc>
          <w:tcPr>
            <w:tcW w:w="593" w:type="dxa"/>
            <w:vAlign w:val="center"/>
          </w:tcPr>
          <w:p w14:paraId="6BD0A090" w14:textId="77777777" w:rsidR="004B5AA6" w:rsidRPr="00E24E4E" w:rsidRDefault="004B5AA6" w:rsidP="00C20873">
            <w:pPr>
              <w:spacing w:before="60" w:after="60"/>
              <w:jc w:val="center"/>
              <w:rPr>
                <w:rFonts w:ascii="Arial" w:hAnsi="Arial" w:cs="Arial"/>
                <w:b/>
              </w:rPr>
            </w:pPr>
          </w:p>
        </w:tc>
        <w:tc>
          <w:tcPr>
            <w:tcW w:w="593" w:type="dxa"/>
            <w:vAlign w:val="center"/>
          </w:tcPr>
          <w:p w14:paraId="3DAC9A4A" w14:textId="77777777" w:rsidR="004B5AA6" w:rsidRPr="00E24E4E" w:rsidRDefault="004B5AA6" w:rsidP="00C20873">
            <w:pPr>
              <w:spacing w:before="60" w:after="60"/>
              <w:jc w:val="center"/>
              <w:rPr>
                <w:rFonts w:ascii="Arial" w:hAnsi="Arial" w:cs="Arial"/>
                <w:b/>
              </w:rPr>
            </w:pPr>
          </w:p>
        </w:tc>
        <w:tc>
          <w:tcPr>
            <w:tcW w:w="593" w:type="dxa"/>
            <w:vAlign w:val="center"/>
          </w:tcPr>
          <w:p w14:paraId="21A7EAF7" w14:textId="77777777" w:rsidR="004B5AA6" w:rsidRPr="00E24E4E" w:rsidRDefault="004B5AA6" w:rsidP="00C20873">
            <w:pPr>
              <w:spacing w:before="60" w:after="60"/>
              <w:jc w:val="center"/>
              <w:rPr>
                <w:rFonts w:ascii="Arial" w:hAnsi="Arial" w:cs="Arial"/>
                <w:b/>
              </w:rPr>
            </w:pPr>
          </w:p>
        </w:tc>
      </w:tr>
      <w:tr w:rsidR="004B5AA6" w:rsidRPr="009D52D0" w14:paraId="460BDA99" w14:textId="77777777" w:rsidTr="00CE1A33">
        <w:tc>
          <w:tcPr>
            <w:tcW w:w="2439" w:type="dxa"/>
          </w:tcPr>
          <w:p w14:paraId="1CDAA785" w14:textId="004D2B7D" w:rsidR="004B5AA6" w:rsidRPr="00E24E4E" w:rsidRDefault="004B5AA6" w:rsidP="00C20873">
            <w:pPr>
              <w:spacing w:before="60" w:after="60"/>
              <w:rPr>
                <w:rFonts w:ascii="Arial" w:hAnsi="Arial" w:cs="Arial"/>
                <w:iCs/>
              </w:rPr>
            </w:pPr>
            <w:r w:rsidRPr="00E24E4E">
              <w:rPr>
                <w:rFonts w:ascii="Arial" w:hAnsi="Arial" w:cs="Arial"/>
                <w:iCs/>
              </w:rPr>
              <w:t>Labs</w:t>
            </w:r>
          </w:p>
        </w:tc>
        <w:tc>
          <w:tcPr>
            <w:tcW w:w="592" w:type="dxa"/>
            <w:vAlign w:val="center"/>
          </w:tcPr>
          <w:p w14:paraId="0B596153" w14:textId="087538BC"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593" w:type="dxa"/>
            <w:vAlign w:val="center"/>
          </w:tcPr>
          <w:p w14:paraId="7EF775FB" w14:textId="140E3C32"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593" w:type="dxa"/>
            <w:vAlign w:val="center"/>
          </w:tcPr>
          <w:p w14:paraId="76760D4D" w14:textId="012810FA"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593" w:type="dxa"/>
            <w:vAlign w:val="center"/>
          </w:tcPr>
          <w:p w14:paraId="29E92B33" w14:textId="791FECE1"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593" w:type="dxa"/>
            <w:vAlign w:val="center"/>
          </w:tcPr>
          <w:p w14:paraId="1C240711" w14:textId="58CF7E6E"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593" w:type="dxa"/>
            <w:vAlign w:val="center"/>
          </w:tcPr>
          <w:p w14:paraId="2D2FDCA3" w14:textId="77777777" w:rsidR="004B5AA6" w:rsidRPr="00E24E4E" w:rsidRDefault="004B5AA6" w:rsidP="00C20873">
            <w:pPr>
              <w:spacing w:before="60" w:after="60"/>
              <w:jc w:val="center"/>
              <w:rPr>
                <w:rFonts w:ascii="Arial" w:hAnsi="Arial" w:cs="Arial"/>
                <w:b/>
              </w:rPr>
            </w:pPr>
          </w:p>
        </w:tc>
        <w:tc>
          <w:tcPr>
            <w:tcW w:w="593" w:type="dxa"/>
            <w:vAlign w:val="center"/>
          </w:tcPr>
          <w:p w14:paraId="20301B4E" w14:textId="2B322FBC"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593" w:type="dxa"/>
            <w:vAlign w:val="center"/>
          </w:tcPr>
          <w:p w14:paraId="70943AC0" w14:textId="77777777" w:rsidR="004B5AA6" w:rsidRPr="00E24E4E" w:rsidRDefault="004B5AA6" w:rsidP="00C20873">
            <w:pPr>
              <w:spacing w:before="60" w:after="60"/>
              <w:jc w:val="center"/>
              <w:rPr>
                <w:rFonts w:ascii="Arial" w:hAnsi="Arial" w:cs="Arial"/>
                <w:b/>
              </w:rPr>
            </w:pPr>
          </w:p>
        </w:tc>
      </w:tr>
    </w:tbl>
    <w:p w14:paraId="0C992BDB" w14:textId="77777777" w:rsidR="00636058" w:rsidRDefault="00636058" w:rsidP="00151418">
      <w:pPr>
        <w:ind w:right="543"/>
        <w:rPr>
          <w:rFonts w:ascii="Arial" w:hAnsi="Arial" w:cs="Arial"/>
          <w:b/>
          <w:iCs/>
          <w:sz w:val="24"/>
          <w:szCs w:val="24"/>
        </w:rPr>
      </w:pPr>
    </w:p>
    <w:p w14:paraId="1DF2B576" w14:textId="6861D79A" w:rsidR="007A6245" w:rsidRPr="00C20873" w:rsidRDefault="00636058" w:rsidP="00C20873">
      <w:pPr>
        <w:pStyle w:val="BodyText"/>
        <w:spacing w:before="360" w:after="240"/>
        <w:rPr>
          <w:b/>
          <w:bCs/>
        </w:rPr>
      </w:pPr>
      <w:r w:rsidRPr="00C20873">
        <w:rPr>
          <w:b/>
          <w:bCs/>
        </w:rPr>
        <w:t>Module learning outcomes against assessment methods:</w:t>
      </w:r>
    </w:p>
    <w:tbl>
      <w:tblPr>
        <w:tblStyle w:val="TableGrid"/>
        <w:tblpPr w:leftFromText="180" w:rightFromText="180" w:vertAnchor="text" w:horzAnchor="page" w:tblpX="1294" w:tblpY="108"/>
        <w:tblW w:w="7225" w:type="dxa"/>
        <w:tblLayout w:type="fixed"/>
        <w:tblLook w:val="04A0" w:firstRow="1" w:lastRow="0" w:firstColumn="1" w:lastColumn="0" w:noHBand="0" w:noVBand="1"/>
      </w:tblPr>
      <w:tblGrid>
        <w:gridCol w:w="2405"/>
        <w:gridCol w:w="602"/>
        <w:gridCol w:w="603"/>
        <w:gridCol w:w="602"/>
        <w:gridCol w:w="603"/>
        <w:gridCol w:w="602"/>
        <w:gridCol w:w="603"/>
        <w:gridCol w:w="602"/>
        <w:gridCol w:w="603"/>
      </w:tblGrid>
      <w:tr w:rsidR="004B5AA6" w:rsidRPr="009D52D0" w14:paraId="7367825C" w14:textId="77777777" w:rsidTr="00CE1A33">
        <w:trPr>
          <w:tblHeader/>
        </w:trPr>
        <w:tc>
          <w:tcPr>
            <w:tcW w:w="2405" w:type="dxa"/>
            <w:shd w:val="clear" w:color="auto" w:fill="D9D9D9" w:themeFill="background1" w:themeFillShade="D9"/>
          </w:tcPr>
          <w:p w14:paraId="4E99BFB5" w14:textId="77777777" w:rsidR="004B5AA6" w:rsidRPr="00E24E4E" w:rsidRDefault="004B5AA6" w:rsidP="00C20873">
            <w:pPr>
              <w:spacing w:before="60" w:after="60"/>
              <w:rPr>
                <w:rFonts w:ascii="Arial" w:hAnsi="Arial" w:cs="Arial"/>
                <w:b/>
              </w:rPr>
            </w:pPr>
            <w:r w:rsidRPr="00E24E4E">
              <w:rPr>
                <w:rFonts w:ascii="Arial" w:hAnsi="Arial" w:cs="Arial"/>
                <w:b/>
              </w:rPr>
              <w:t>Module learning outcome</w:t>
            </w:r>
          </w:p>
        </w:tc>
        <w:tc>
          <w:tcPr>
            <w:tcW w:w="602" w:type="dxa"/>
          </w:tcPr>
          <w:p w14:paraId="7B5C6163" w14:textId="77777777" w:rsidR="004B5AA6" w:rsidRPr="00E24E4E" w:rsidRDefault="004B5AA6" w:rsidP="00C20873">
            <w:pPr>
              <w:spacing w:before="60" w:after="60"/>
              <w:jc w:val="center"/>
              <w:rPr>
                <w:rFonts w:ascii="Arial" w:hAnsi="Arial" w:cs="Arial"/>
              </w:rPr>
            </w:pPr>
            <w:r w:rsidRPr="00E24E4E">
              <w:rPr>
                <w:rFonts w:ascii="Arial" w:hAnsi="Arial" w:cs="Arial"/>
              </w:rPr>
              <w:t>8.1</w:t>
            </w:r>
          </w:p>
        </w:tc>
        <w:tc>
          <w:tcPr>
            <w:tcW w:w="603" w:type="dxa"/>
          </w:tcPr>
          <w:p w14:paraId="2210FC9E" w14:textId="77777777" w:rsidR="004B5AA6" w:rsidRPr="00E24E4E" w:rsidRDefault="004B5AA6" w:rsidP="00C20873">
            <w:pPr>
              <w:spacing w:before="60" w:after="60"/>
              <w:jc w:val="center"/>
              <w:rPr>
                <w:rFonts w:ascii="Arial" w:hAnsi="Arial" w:cs="Arial"/>
              </w:rPr>
            </w:pPr>
            <w:r w:rsidRPr="00E24E4E">
              <w:rPr>
                <w:rFonts w:ascii="Arial" w:hAnsi="Arial" w:cs="Arial"/>
              </w:rPr>
              <w:t>8.2</w:t>
            </w:r>
          </w:p>
        </w:tc>
        <w:tc>
          <w:tcPr>
            <w:tcW w:w="602" w:type="dxa"/>
          </w:tcPr>
          <w:p w14:paraId="00B7F160" w14:textId="77777777" w:rsidR="004B5AA6" w:rsidRPr="00E24E4E" w:rsidRDefault="004B5AA6" w:rsidP="00C20873">
            <w:pPr>
              <w:spacing w:before="60" w:after="60"/>
              <w:jc w:val="center"/>
              <w:rPr>
                <w:rFonts w:ascii="Arial" w:hAnsi="Arial" w:cs="Arial"/>
              </w:rPr>
            </w:pPr>
            <w:r w:rsidRPr="00E24E4E">
              <w:rPr>
                <w:rFonts w:ascii="Arial" w:hAnsi="Arial" w:cs="Arial"/>
              </w:rPr>
              <w:t>8.3</w:t>
            </w:r>
          </w:p>
        </w:tc>
        <w:tc>
          <w:tcPr>
            <w:tcW w:w="603" w:type="dxa"/>
          </w:tcPr>
          <w:p w14:paraId="2BB3974A" w14:textId="77777777" w:rsidR="004B5AA6" w:rsidRPr="00E24E4E" w:rsidRDefault="004B5AA6" w:rsidP="00C20873">
            <w:pPr>
              <w:spacing w:before="60" w:after="60"/>
              <w:jc w:val="center"/>
              <w:rPr>
                <w:rFonts w:ascii="Arial" w:hAnsi="Arial" w:cs="Arial"/>
              </w:rPr>
            </w:pPr>
            <w:r w:rsidRPr="00E24E4E">
              <w:rPr>
                <w:rFonts w:ascii="Arial" w:hAnsi="Arial" w:cs="Arial"/>
              </w:rPr>
              <w:t>8.4</w:t>
            </w:r>
          </w:p>
        </w:tc>
        <w:tc>
          <w:tcPr>
            <w:tcW w:w="602" w:type="dxa"/>
          </w:tcPr>
          <w:p w14:paraId="0D56B3A5" w14:textId="77777777" w:rsidR="004B5AA6" w:rsidRPr="00E24E4E" w:rsidRDefault="004B5AA6" w:rsidP="00C20873">
            <w:pPr>
              <w:spacing w:before="60" w:after="60"/>
              <w:jc w:val="center"/>
              <w:rPr>
                <w:rFonts w:ascii="Arial" w:hAnsi="Arial" w:cs="Arial"/>
              </w:rPr>
            </w:pPr>
            <w:r w:rsidRPr="00E24E4E">
              <w:rPr>
                <w:rFonts w:ascii="Arial" w:hAnsi="Arial" w:cs="Arial"/>
              </w:rPr>
              <w:t>9.1</w:t>
            </w:r>
          </w:p>
        </w:tc>
        <w:tc>
          <w:tcPr>
            <w:tcW w:w="603" w:type="dxa"/>
          </w:tcPr>
          <w:p w14:paraId="523687DC" w14:textId="77777777" w:rsidR="004B5AA6" w:rsidRPr="00E24E4E" w:rsidRDefault="004B5AA6" w:rsidP="00C20873">
            <w:pPr>
              <w:spacing w:before="60" w:after="60"/>
              <w:jc w:val="center"/>
              <w:rPr>
                <w:rFonts w:ascii="Arial" w:hAnsi="Arial" w:cs="Arial"/>
              </w:rPr>
            </w:pPr>
            <w:r w:rsidRPr="00E24E4E">
              <w:rPr>
                <w:rFonts w:ascii="Arial" w:hAnsi="Arial" w:cs="Arial"/>
              </w:rPr>
              <w:t>9.2</w:t>
            </w:r>
          </w:p>
        </w:tc>
        <w:tc>
          <w:tcPr>
            <w:tcW w:w="602" w:type="dxa"/>
          </w:tcPr>
          <w:p w14:paraId="1106ECFC" w14:textId="77777777" w:rsidR="004B5AA6" w:rsidRPr="00E24E4E" w:rsidRDefault="004B5AA6" w:rsidP="00C20873">
            <w:pPr>
              <w:spacing w:before="60" w:after="60"/>
              <w:jc w:val="center"/>
              <w:rPr>
                <w:rFonts w:ascii="Arial" w:hAnsi="Arial" w:cs="Arial"/>
              </w:rPr>
            </w:pPr>
            <w:r w:rsidRPr="00E24E4E">
              <w:rPr>
                <w:rFonts w:ascii="Arial" w:hAnsi="Arial" w:cs="Arial"/>
              </w:rPr>
              <w:t>9.3</w:t>
            </w:r>
          </w:p>
        </w:tc>
        <w:tc>
          <w:tcPr>
            <w:tcW w:w="603" w:type="dxa"/>
          </w:tcPr>
          <w:p w14:paraId="51BE4A79" w14:textId="77777777" w:rsidR="004B5AA6" w:rsidRPr="00E24E4E" w:rsidRDefault="004B5AA6" w:rsidP="00C20873">
            <w:pPr>
              <w:spacing w:before="60" w:after="60"/>
              <w:jc w:val="center"/>
              <w:rPr>
                <w:rFonts w:ascii="Arial" w:hAnsi="Arial" w:cs="Arial"/>
              </w:rPr>
            </w:pPr>
            <w:r w:rsidRPr="00E24E4E">
              <w:rPr>
                <w:rFonts w:ascii="Arial" w:hAnsi="Arial" w:cs="Arial"/>
              </w:rPr>
              <w:t>9.4</w:t>
            </w:r>
          </w:p>
        </w:tc>
      </w:tr>
      <w:tr w:rsidR="004B5AA6" w:rsidRPr="009D52D0" w14:paraId="6D8FD37D" w14:textId="77777777" w:rsidTr="00CE1A33">
        <w:trPr>
          <w:tblHeader/>
        </w:trPr>
        <w:tc>
          <w:tcPr>
            <w:tcW w:w="2405" w:type="dxa"/>
          </w:tcPr>
          <w:p w14:paraId="6500FA2E" w14:textId="3E483DA7" w:rsidR="004B5AA6" w:rsidRPr="00E24E4E" w:rsidRDefault="00015FC6" w:rsidP="00C20873">
            <w:pPr>
              <w:spacing w:before="60" w:after="60"/>
              <w:rPr>
                <w:rFonts w:ascii="Arial" w:hAnsi="Arial" w:cs="Arial"/>
                <w:iCs/>
              </w:rPr>
            </w:pPr>
            <w:r>
              <w:rPr>
                <w:rFonts w:ascii="Arial" w:hAnsi="Arial" w:cs="Arial"/>
                <w:iCs/>
              </w:rPr>
              <w:t>Field</w:t>
            </w:r>
            <w:r w:rsidR="004B5AA6" w:rsidRPr="00E24E4E">
              <w:rPr>
                <w:rFonts w:ascii="Arial" w:hAnsi="Arial" w:cs="Arial"/>
                <w:iCs/>
              </w:rPr>
              <w:t xml:space="preserve"> </w:t>
            </w:r>
            <w:r w:rsidR="00C20873">
              <w:rPr>
                <w:rFonts w:ascii="Arial" w:hAnsi="Arial" w:cs="Arial"/>
                <w:iCs/>
              </w:rPr>
              <w:t>R</w:t>
            </w:r>
            <w:r w:rsidR="004B5AA6" w:rsidRPr="00E24E4E">
              <w:rPr>
                <w:rFonts w:ascii="Arial" w:hAnsi="Arial" w:cs="Arial"/>
                <w:iCs/>
              </w:rPr>
              <w:t>eport</w:t>
            </w:r>
          </w:p>
        </w:tc>
        <w:tc>
          <w:tcPr>
            <w:tcW w:w="602" w:type="dxa"/>
          </w:tcPr>
          <w:p w14:paraId="718AB32A" w14:textId="15616D22"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603" w:type="dxa"/>
          </w:tcPr>
          <w:p w14:paraId="71084725" w14:textId="55A46C8B"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602" w:type="dxa"/>
          </w:tcPr>
          <w:p w14:paraId="659E3E11" w14:textId="1FE4FD5F"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603" w:type="dxa"/>
          </w:tcPr>
          <w:p w14:paraId="02BFF41C" w14:textId="2ED8D611"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602" w:type="dxa"/>
          </w:tcPr>
          <w:p w14:paraId="60747C35" w14:textId="3F5292C8" w:rsidR="004B5AA6" w:rsidRPr="00E24E4E" w:rsidRDefault="004B5AA6" w:rsidP="00C20873">
            <w:pPr>
              <w:spacing w:before="60" w:after="60"/>
              <w:jc w:val="center"/>
              <w:rPr>
                <w:rFonts w:ascii="Arial" w:hAnsi="Arial" w:cs="Arial"/>
                <w:b/>
              </w:rPr>
            </w:pPr>
          </w:p>
        </w:tc>
        <w:tc>
          <w:tcPr>
            <w:tcW w:w="603" w:type="dxa"/>
          </w:tcPr>
          <w:p w14:paraId="6FCDE494" w14:textId="5DD5E8A2"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602" w:type="dxa"/>
          </w:tcPr>
          <w:p w14:paraId="48C6EE1D" w14:textId="724A70DB"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603" w:type="dxa"/>
          </w:tcPr>
          <w:p w14:paraId="12A99B31" w14:textId="2CD871E1" w:rsidR="004B5AA6" w:rsidRPr="00E24E4E" w:rsidRDefault="004B5AA6" w:rsidP="00C20873">
            <w:pPr>
              <w:spacing w:before="60" w:after="60"/>
              <w:jc w:val="center"/>
              <w:rPr>
                <w:rFonts w:ascii="Arial" w:hAnsi="Arial" w:cs="Arial"/>
                <w:b/>
              </w:rPr>
            </w:pPr>
            <w:r w:rsidRPr="00E24E4E">
              <w:rPr>
                <w:rFonts w:ascii="Arial" w:hAnsi="Arial" w:cs="Arial"/>
                <w:b/>
              </w:rPr>
              <w:t>x</w:t>
            </w:r>
          </w:p>
        </w:tc>
      </w:tr>
      <w:tr w:rsidR="004B5AA6" w:rsidRPr="009D52D0" w14:paraId="33EAAC8E" w14:textId="77777777" w:rsidTr="00CE1A33">
        <w:trPr>
          <w:tblHeader/>
        </w:trPr>
        <w:tc>
          <w:tcPr>
            <w:tcW w:w="2405" w:type="dxa"/>
          </w:tcPr>
          <w:p w14:paraId="41B161CA" w14:textId="06DBCB51" w:rsidR="004B5AA6" w:rsidRPr="00E24E4E" w:rsidRDefault="004B5AA6" w:rsidP="00C20873">
            <w:pPr>
              <w:spacing w:before="60" w:after="60"/>
              <w:rPr>
                <w:rFonts w:ascii="Arial" w:hAnsi="Arial" w:cs="Arial"/>
                <w:iCs/>
              </w:rPr>
            </w:pPr>
            <w:r w:rsidRPr="00E24E4E">
              <w:rPr>
                <w:rFonts w:ascii="Arial" w:hAnsi="Arial" w:cs="Arial"/>
                <w:iCs/>
              </w:rPr>
              <w:t>On</w:t>
            </w:r>
            <w:r w:rsidR="00C20873">
              <w:rPr>
                <w:rFonts w:ascii="Arial" w:hAnsi="Arial" w:cs="Arial"/>
                <w:iCs/>
              </w:rPr>
              <w:t>s</w:t>
            </w:r>
            <w:r w:rsidRPr="00E24E4E">
              <w:rPr>
                <w:rFonts w:ascii="Arial" w:hAnsi="Arial" w:cs="Arial"/>
                <w:iCs/>
              </w:rPr>
              <w:t>ite Evaluation</w:t>
            </w:r>
          </w:p>
        </w:tc>
        <w:tc>
          <w:tcPr>
            <w:tcW w:w="602" w:type="dxa"/>
          </w:tcPr>
          <w:p w14:paraId="4D015421" w14:textId="1FEC4674"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603" w:type="dxa"/>
          </w:tcPr>
          <w:p w14:paraId="47055659" w14:textId="46578BDC"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602" w:type="dxa"/>
          </w:tcPr>
          <w:p w14:paraId="32CE5E70" w14:textId="279D47D9"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603" w:type="dxa"/>
          </w:tcPr>
          <w:p w14:paraId="3209BAD1" w14:textId="57DA09E6"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602" w:type="dxa"/>
          </w:tcPr>
          <w:p w14:paraId="43F1F7E1" w14:textId="06958302"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603" w:type="dxa"/>
          </w:tcPr>
          <w:p w14:paraId="34BF4922" w14:textId="26951B51" w:rsidR="004B5AA6" w:rsidRPr="00E24E4E" w:rsidRDefault="004B5AA6" w:rsidP="00C20873">
            <w:pPr>
              <w:spacing w:before="60" w:after="60"/>
              <w:jc w:val="center"/>
              <w:rPr>
                <w:rFonts w:ascii="Arial" w:hAnsi="Arial" w:cs="Arial"/>
                <w:b/>
              </w:rPr>
            </w:pPr>
          </w:p>
        </w:tc>
        <w:tc>
          <w:tcPr>
            <w:tcW w:w="602" w:type="dxa"/>
          </w:tcPr>
          <w:p w14:paraId="29656163" w14:textId="4145A9DF"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603" w:type="dxa"/>
          </w:tcPr>
          <w:p w14:paraId="3155EA1C" w14:textId="2892B9BD" w:rsidR="004B5AA6" w:rsidRPr="00E24E4E" w:rsidRDefault="004B5AA6" w:rsidP="00C20873">
            <w:pPr>
              <w:spacing w:before="60" w:after="60"/>
              <w:jc w:val="center"/>
              <w:rPr>
                <w:rFonts w:ascii="Arial" w:hAnsi="Arial" w:cs="Arial"/>
                <w:b/>
              </w:rPr>
            </w:pPr>
            <w:r w:rsidRPr="00E24E4E">
              <w:rPr>
                <w:rFonts w:ascii="Arial" w:hAnsi="Arial" w:cs="Arial"/>
                <w:b/>
              </w:rPr>
              <w:t>x</w:t>
            </w:r>
          </w:p>
        </w:tc>
      </w:tr>
      <w:tr w:rsidR="004B5AA6" w:rsidRPr="009D52D0" w14:paraId="3E872A1E" w14:textId="77777777" w:rsidTr="00CE1A33">
        <w:trPr>
          <w:tblHeader/>
        </w:trPr>
        <w:tc>
          <w:tcPr>
            <w:tcW w:w="2405" w:type="dxa"/>
          </w:tcPr>
          <w:p w14:paraId="4CEA8453" w14:textId="4A407BE2" w:rsidR="004B5AA6" w:rsidRPr="00E24E4E" w:rsidRDefault="004B5AA6" w:rsidP="00C20873">
            <w:pPr>
              <w:spacing w:before="60" w:after="60"/>
              <w:rPr>
                <w:rFonts w:ascii="Arial" w:hAnsi="Arial" w:cs="Arial"/>
                <w:iCs/>
              </w:rPr>
            </w:pPr>
            <w:r w:rsidRPr="00E24E4E">
              <w:rPr>
                <w:rFonts w:ascii="Arial" w:hAnsi="Arial" w:cs="Arial"/>
                <w:iCs/>
              </w:rPr>
              <w:t xml:space="preserve">Lab Notebook </w:t>
            </w:r>
          </w:p>
        </w:tc>
        <w:tc>
          <w:tcPr>
            <w:tcW w:w="602" w:type="dxa"/>
          </w:tcPr>
          <w:p w14:paraId="5BE33B98" w14:textId="705D95FC"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603" w:type="dxa"/>
          </w:tcPr>
          <w:p w14:paraId="37720F16" w14:textId="514FD3AA"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602" w:type="dxa"/>
          </w:tcPr>
          <w:p w14:paraId="2DB982CE" w14:textId="77777777" w:rsidR="004B5AA6" w:rsidRPr="00E24E4E" w:rsidRDefault="004B5AA6" w:rsidP="00C20873">
            <w:pPr>
              <w:spacing w:before="60" w:after="60"/>
              <w:jc w:val="center"/>
              <w:rPr>
                <w:rFonts w:ascii="Arial" w:hAnsi="Arial" w:cs="Arial"/>
                <w:b/>
              </w:rPr>
            </w:pPr>
          </w:p>
        </w:tc>
        <w:tc>
          <w:tcPr>
            <w:tcW w:w="603" w:type="dxa"/>
          </w:tcPr>
          <w:p w14:paraId="40DBDB13" w14:textId="7E7808FB"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602" w:type="dxa"/>
          </w:tcPr>
          <w:p w14:paraId="641E8425" w14:textId="62BAB3FD" w:rsidR="004B5AA6" w:rsidRPr="00E24E4E" w:rsidRDefault="004B5AA6" w:rsidP="00C20873">
            <w:pPr>
              <w:spacing w:before="60" w:after="60"/>
              <w:jc w:val="center"/>
              <w:rPr>
                <w:rFonts w:ascii="Arial" w:hAnsi="Arial" w:cs="Arial"/>
                <w:b/>
              </w:rPr>
            </w:pPr>
            <w:r w:rsidRPr="00E24E4E">
              <w:rPr>
                <w:rFonts w:ascii="Arial" w:hAnsi="Arial" w:cs="Arial"/>
                <w:b/>
              </w:rPr>
              <w:t>x</w:t>
            </w:r>
          </w:p>
        </w:tc>
        <w:tc>
          <w:tcPr>
            <w:tcW w:w="603" w:type="dxa"/>
          </w:tcPr>
          <w:p w14:paraId="01C0711D" w14:textId="77777777" w:rsidR="004B5AA6" w:rsidRPr="00E24E4E" w:rsidRDefault="004B5AA6" w:rsidP="00C20873">
            <w:pPr>
              <w:spacing w:before="60" w:after="60"/>
              <w:jc w:val="center"/>
              <w:rPr>
                <w:rFonts w:ascii="Arial" w:hAnsi="Arial" w:cs="Arial"/>
                <w:b/>
              </w:rPr>
            </w:pPr>
          </w:p>
        </w:tc>
        <w:tc>
          <w:tcPr>
            <w:tcW w:w="602" w:type="dxa"/>
          </w:tcPr>
          <w:p w14:paraId="4EC007B4" w14:textId="77777777" w:rsidR="004B5AA6" w:rsidRPr="00E24E4E" w:rsidRDefault="004B5AA6" w:rsidP="00C20873">
            <w:pPr>
              <w:spacing w:before="60" w:after="60"/>
              <w:jc w:val="center"/>
              <w:rPr>
                <w:rFonts w:ascii="Arial" w:hAnsi="Arial" w:cs="Arial"/>
                <w:b/>
              </w:rPr>
            </w:pPr>
          </w:p>
        </w:tc>
        <w:tc>
          <w:tcPr>
            <w:tcW w:w="603" w:type="dxa"/>
          </w:tcPr>
          <w:p w14:paraId="37F457A4" w14:textId="2F97DF48" w:rsidR="004B5AA6" w:rsidRPr="00E24E4E" w:rsidRDefault="004B5AA6" w:rsidP="00C20873">
            <w:pPr>
              <w:spacing w:before="60" w:after="60"/>
              <w:jc w:val="center"/>
              <w:rPr>
                <w:rFonts w:ascii="Arial" w:hAnsi="Arial" w:cs="Arial"/>
                <w:b/>
              </w:rPr>
            </w:pPr>
            <w:r w:rsidRPr="00E24E4E">
              <w:rPr>
                <w:rFonts w:ascii="Arial" w:hAnsi="Arial" w:cs="Arial"/>
                <w:b/>
              </w:rPr>
              <w:t>x</w:t>
            </w:r>
          </w:p>
        </w:tc>
      </w:tr>
    </w:tbl>
    <w:p w14:paraId="172848FA" w14:textId="39E7AE7D" w:rsidR="00636058" w:rsidRDefault="00636058" w:rsidP="00151418">
      <w:pPr>
        <w:ind w:left="426" w:right="543"/>
        <w:rPr>
          <w:rFonts w:ascii="Arial" w:hAnsi="Arial" w:cs="Arial"/>
          <w:b/>
          <w:iCs/>
          <w:sz w:val="24"/>
          <w:szCs w:val="24"/>
        </w:rPr>
      </w:pPr>
    </w:p>
    <w:p w14:paraId="081DBD04" w14:textId="77E9007E" w:rsidR="00636058" w:rsidRDefault="00636058" w:rsidP="00151418">
      <w:pPr>
        <w:ind w:left="426" w:right="543"/>
        <w:rPr>
          <w:rFonts w:ascii="Arial" w:hAnsi="Arial" w:cs="Arial"/>
          <w:b/>
          <w:iCs/>
          <w:sz w:val="24"/>
          <w:szCs w:val="24"/>
        </w:rPr>
      </w:pPr>
    </w:p>
    <w:p w14:paraId="40C4CAE6" w14:textId="58A8AD66" w:rsidR="00636058" w:rsidRDefault="00636058" w:rsidP="00151418">
      <w:pPr>
        <w:ind w:left="426" w:right="543"/>
        <w:rPr>
          <w:rFonts w:ascii="Arial" w:hAnsi="Arial" w:cs="Arial"/>
          <w:b/>
          <w:iCs/>
          <w:sz w:val="24"/>
          <w:szCs w:val="24"/>
        </w:rPr>
      </w:pPr>
    </w:p>
    <w:p w14:paraId="5A1105B5" w14:textId="5A14E0EC" w:rsidR="00636058" w:rsidRDefault="00636058" w:rsidP="00151418">
      <w:pPr>
        <w:ind w:left="426" w:right="543"/>
        <w:rPr>
          <w:rFonts w:ascii="Arial" w:hAnsi="Arial" w:cs="Arial"/>
          <w:b/>
          <w:iCs/>
          <w:sz w:val="24"/>
          <w:szCs w:val="24"/>
        </w:rPr>
      </w:pPr>
    </w:p>
    <w:p w14:paraId="6E059459" w14:textId="671919A2" w:rsidR="00636058" w:rsidRDefault="00636058" w:rsidP="00151418">
      <w:pPr>
        <w:ind w:left="426" w:right="543"/>
        <w:rPr>
          <w:rFonts w:ascii="Arial" w:hAnsi="Arial" w:cs="Arial"/>
          <w:b/>
          <w:iCs/>
          <w:sz w:val="24"/>
          <w:szCs w:val="24"/>
        </w:rPr>
      </w:pPr>
    </w:p>
    <w:p w14:paraId="03283DDF" w14:textId="77777777" w:rsidR="00883204" w:rsidRPr="005E7662" w:rsidRDefault="00883204" w:rsidP="009D2D0A">
      <w:pPr>
        <w:pStyle w:val="Heading2"/>
      </w:pPr>
      <w:r w:rsidRPr="009D52D0">
        <w:t xml:space="preserve">Inclusive module design </w:t>
      </w:r>
    </w:p>
    <w:p w14:paraId="39DA4ADC" w14:textId="037125D8" w:rsidR="00883204" w:rsidRPr="009D52D0" w:rsidRDefault="00883204" w:rsidP="009D2D0A">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2D0A">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9D2D0A">
      <w:pPr>
        <w:pStyle w:val="BodyText"/>
        <w:rPr>
          <w:bCs/>
        </w:rPr>
      </w:pPr>
      <w:r w:rsidRPr="009D52D0">
        <w:t xml:space="preserve">a) </w:t>
      </w:r>
      <w:r w:rsidRPr="009D52D0">
        <w:rPr>
          <w:bCs/>
        </w:rPr>
        <w:t>Accessible resources and curriculum</w:t>
      </w:r>
    </w:p>
    <w:p w14:paraId="3B63E0C4" w14:textId="2B654A4C" w:rsidR="00096DA4" w:rsidRPr="0095701E" w:rsidRDefault="00883204" w:rsidP="009D2D0A">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6E8C2A42" w14:textId="77777777" w:rsidR="00C20873" w:rsidRDefault="00C20873">
      <w:pPr>
        <w:spacing w:after="200" w:line="276" w:lineRule="auto"/>
        <w:rPr>
          <w:rFonts w:ascii="Arial" w:hAnsi="Arial" w:cs="Arial"/>
          <w:b/>
          <w:sz w:val="24"/>
          <w:szCs w:val="24"/>
        </w:rPr>
      </w:pPr>
      <w:r>
        <w:br w:type="page"/>
      </w:r>
    </w:p>
    <w:p w14:paraId="01B2A0D7" w14:textId="150150F9" w:rsidR="009A2D37" w:rsidRPr="009D52D0" w:rsidRDefault="00883204" w:rsidP="009D2D0A">
      <w:pPr>
        <w:pStyle w:val="Heading2"/>
      </w:pPr>
      <w:r w:rsidRPr="009D52D0">
        <w:lastRenderedPageBreak/>
        <w:t>Campus(es) or c</w:t>
      </w:r>
      <w:r w:rsidR="009A2D37" w:rsidRPr="009D52D0">
        <w:t>entre(s)</w:t>
      </w:r>
      <w:r w:rsidRPr="009D52D0">
        <w:t xml:space="preserve"> where module will be delivered</w:t>
      </w:r>
    </w:p>
    <w:p w14:paraId="3CD0FF38" w14:textId="53240245" w:rsidR="009A2D37" w:rsidRPr="006B1796" w:rsidRDefault="00DC490D" w:rsidP="009D2D0A">
      <w:pPr>
        <w:pStyle w:val="BodyText"/>
      </w:pPr>
      <w:r w:rsidRPr="006B1796">
        <w:t>Canterbury</w:t>
      </w:r>
    </w:p>
    <w:p w14:paraId="654C7CE7" w14:textId="77777777" w:rsidR="00883204" w:rsidRPr="009D52D0" w:rsidRDefault="00883204" w:rsidP="009D2D0A">
      <w:pPr>
        <w:pStyle w:val="Heading2"/>
      </w:pPr>
      <w:r w:rsidRPr="009D52D0">
        <w:t xml:space="preserve">Internationalisation </w:t>
      </w:r>
    </w:p>
    <w:p w14:paraId="5753611C" w14:textId="66308386" w:rsidR="00DC490D" w:rsidRPr="004B5AA6" w:rsidRDefault="004B5AA6" w:rsidP="009D2D0A">
      <w:pPr>
        <w:pStyle w:val="BodyText"/>
        <w:rPr>
          <w:b/>
          <w:lang w:eastAsia="en-US"/>
        </w:rPr>
      </w:pPr>
      <w:r w:rsidRPr="004B5AA6">
        <w:rPr>
          <w:lang w:eastAsia="en-US"/>
        </w:rPr>
        <w:t>All methods taught in this module were developed in USA or Europe. We have guest lectures</w:t>
      </w:r>
      <w:r>
        <w:rPr>
          <w:lang w:eastAsia="en-US"/>
        </w:rPr>
        <w:t xml:space="preserve"> </w:t>
      </w:r>
      <w:r w:rsidRPr="004B5AA6">
        <w:rPr>
          <w:lang w:eastAsia="en-US"/>
        </w:rPr>
        <w:t>from Interpol that will talk about different international aspects of forensic recovery methods, and</w:t>
      </w:r>
      <w:r>
        <w:rPr>
          <w:lang w:eastAsia="en-US"/>
        </w:rPr>
        <w:t xml:space="preserve"> </w:t>
      </w:r>
      <w:r w:rsidRPr="004B5AA6">
        <w:rPr>
          <w:lang w:eastAsia="en-US"/>
        </w:rPr>
        <w:t>how some this will vary between different legal systems.</w:t>
      </w:r>
      <w:r>
        <w:rPr>
          <w:lang w:eastAsia="en-US"/>
        </w:rPr>
        <w:t xml:space="preserve"> </w:t>
      </w:r>
    </w:p>
    <w:p w14:paraId="36C1544F" w14:textId="123E22F6" w:rsidR="00641D6D" w:rsidRDefault="00641D6D" w:rsidP="00151418">
      <w:pPr>
        <w:pBdr>
          <w:bottom w:val="single" w:sz="6" w:space="1" w:color="auto"/>
        </w:pBdr>
        <w:ind w:right="543"/>
        <w:rPr>
          <w:rFonts w:ascii="Arial" w:hAnsi="Arial" w:cs="Arial"/>
          <w:sz w:val="24"/>
          <w:szCs w:val="24"/>
        </w:rPr>
      </w:pPr>
    </w:p>
    <w:p w14:paraId="74CFE9F1" w14:textId="674EB3B1" w:rsidR="00C20873" w:rsidRDefault="00C20873" w:rsidP="00151418">
      <w:pPr>
        <w:pBdr>
          <w:bottom w:val="single" w:sz="6" w:space="1" w:color="auto"/>
        </w:pBdr>
        <w:ind w:right="543"/>
        <w:rPr>
          <w:rFonts w:ascii="Arial" w:hAnsi="Arial" w:cs="Arial"/>
          <w:sz w:val="24"/>
          <w:szCs w:val="24"/>
        </w:rPr>
      </w:pPr>
    </w:p>
    <w:p w14:paraId="515071EE" w14:textId="77777777" w:rsidR="00C20873" w:rsidRPr="009D52D0" w:rsidRDefault="00C20873" w:rsidP="00151418">
      <w:pPr>
        <w:pBdr>
          <w:bottom w:val="single" w:sz="6" w:space="1" w:color="auto"/>
        </w:pBdr>
        <w:ind w:right="543"/>
        <w:rPr>
          <w:rFonts w:ascii="Arial" w:hAnsi="Arial" w:cs="Arial"/>
          <w:sz w:val="24"/>
          <w:szCs w:val="24"/>
        </w:rPr>
      </w:pPr>
    </w:p>
    <w:p w14:paraId="31CC2DF2" w14:textId="77777777" w:rsidR="00441E76" w:rsidRPr="00881BE6" w:rsidRDefault="009F5EA4" w:rsidP="00151418">
      <w:pPr>
        <w:ind w:right="543"/>
        <w:rPr>
          <w:rFonts w:ascii="Arial" w:hAnsi="Arial" w:cs="Arial"/>
          <w:b/>
        </w:rPr>
      </w:pPr>
      <w:r w:rsidRPr="00881BE6">
        <w:rPr>
          <w:rFonts w:ascii="Arial" w:hAnsi="Arial" w:cs="Arial"/>
          <w:b/>
        </w:rPr>
        <w:t xml:space="preserve">DIVISIONAL </w:t>
      </w:r>
      <w:r w:rsidR="00441E76" w:rsidRPr="00881BE6">
        <w:rPr>
          <w:rFonts w:ascii="Arial" w:hAnsi="Arial" w:cs="Arial"/>
          <w:b/>
        </w:rPr>
        <w:t>USE ONLY</w:t>
      </w:r>
      <w:r w:rsidR="00C612A8" w:rsidRPr="00881BE6">
        <w:rPr>
          <w:rFonts w:ascii="Arial" w:hAnsi="Arial" w:cs="Arial"/>
          <w:b/>
        </w:rPr>
        <w:t xml:space="preserve"> </w:t>
      </w:r>
    </w:p>
    <w:p w14:paraId="2EB548D9" w14:textId="748D51D8" w:rsidR="00422B69" w:rsidRDefault="00E1736E" w:rsidP="00151418">
      <w:pPr>
        <w:ind w:right="543"/>
        <w:rPr>
          <w:rFonts w:ascii="Arial" w:hAnsi="Arial" w:cs="Arial"/>
          <w:b/>
        </w:rPr>
      </w:pPr>
      <w:r w:rsidRPr="00881BE6">
        <w:rPr>
          <w:rFonts w:ascii="Arial" w:hAnsi="Arial" w:cs="Arial"/>
          <w:b/>
        </w:rPr>
        <w:t xml:space="preserve">Module </w:t>
      </w:r>
      <w:r w:rsidR="00D83563" w:rsidRPr="00881BE6">
        <w:rPr>
          <w:rFonts w:ascii="Arial" w:hAnsi="Arial" w:cs="Arial"/>
          <w:b/>
        </w:rPr>
        <w:t>record – all revisions must be recorded in the grid and full details of the change retained in the appropriate committee records.</w:t>
      </w:r>
    </w:p>
    <w:p w14:paraId="6C89B7F6" w14:textId="77777777" w:rsidR="00881BE6" w:rsidRPr="00881BE6" w:rsidRDefault="00881BE6" w:rsidP="00151418">
      <w:pPr>
        <w:ind w:right="543"/>
        <w:rPr>
          <w:rFonts w:ascii="Arial" w:hAnsi="Arial" w:cs="Arial"/>
          <w:b/>
        </w:rPr>
      </w:pPr>
    </w:p>
    <w:tbl>
      <w:tblPr>
        <w:tblStyle w:val="TableGrid"/>
        <w:tblW w:w="10343" w:type="dxa"/>
        <w:tblLook w:val="04A0" w:firstRow="1" w:lastRow="0" w:firstColumn="1" w:lastColumn="0" w:noHBand="0" w:noVBand="1"/>
      </w:tblPr>
      <w:tblGrid>
        <w:gridCol w:w="1660"/>
        <w:gridCol w:w="2360"/>
        <w:gridCol w:w="2212"/>
        <w:gridCol w:w="1903"/>
        <w:gridCol w:w="2208"/>
      </w:tblGrid>
      <w:tr w:rsidR="00302082" w:rsidRPr="009D52D0" w14:paraId="52814657" w14:textId="77777777" w:rsidTr="00C20873">
        <w:trPr>
          <w:trHeight w:val="317"/>
          <w:tblHeader/>
        </w:trPr>
        <w:tc>
          <w:tcPr>
            <w:tcW w:w="1660" w:type="dxa"/>
          </w:tcPr>
          <w:p w14:paraId="7BB88073" w14:textId="77777777" w:rsidR="00422B69" w:rsidRPr="00C20873" w:rsidRDefault="00422B69" w:rsidP="00C20873">
            <w:pPr>
              <w:rPr>
                <w:rFonts w:ascii="Arial" w:hAnsi="Arial" w:cs="Arial"/>
                <w:b/>
                <w:bCs/>
                <w:sz w:val="20"/>
                <w:szCs w:val="20"/>
              </w:rPr>
            </w:pPr>
            <w:r w:rsidRPr="00C20873">
              <w:rPr>
                <w:rFonts w:ascii="Arial" w:hAnsi="Arial" w:cs="Arial"/>
                <w:b/>
                <w:bCs/>
                <w:sz w:val="20"/>
                <w:szCs w:val="20"/>
              </w:rPr>
              <w:t>Date approved</w:t>
            </w:r>
          </w:p>
        </w:tc>
        <w:tc>
          <w:tcPr>
            <w:tcW w:w="2360" w:type="dxa"/>
          </w:tcPr>
          <w:p w14:paraId="7024BC64" w14:textId="5060A9C0" w:rsidR="00422B69" w:rsidRPr="00C20873" w:rsidRDefault="00E1736E" w:rsidP="00C20873">
            <w:pPr>
              <w:rPr>
                <w:rFonts w:ascii="Arial" w:hAnsi="Arial" w:cs="Arial"/>
                <w:b/>
                <w:bCs/>
                <w:sz w:val="20"/>
                <w:szCs w:val="20"/>
              </w:rPr>
            </w:pPr>
            <w:r w:rsidRPr="00C20873">
              <w:rPr>
                <w:rFonts w:ascii="Arial" w:hAnsi="Arial" w:cs="Arial"/>
                <w:b/>
                <w:bCs/>
                <w:sz w:val="20"/>
                <w:szCs w:val="20"/>
              </w:rPr>
              <w:t>New/</w:t>
            </w:r>
            <w:r w:rsidR="00422B69" w:rsidRPr="00C20873">
              <w:rPr>
                <w:rFonts w:ascii="Arial" w:hAnsi="Arial" w:cs="Arial"/>
                <w:b/>
                <w:bCs/>
                <w:sz w:val="20"/>
                <w:szCs w:val="20"/>
              </w:rPr>
              <w:t>Major/</w:t>
            </w:r>
            <w:r w:rsidR="00881BE6" w:rsidRPr="00C20873">
              <w:rPr>
                <w:rFonts w:ascii="Arial" w:hAnsi="Arial" w:cs="Arial"/>
                <w:b/>
                <w:bCs/>
                <w:sz w:val="20"/>
                <w:szCs w:val="20"/>
              </w:rPr>
              <w:t>M</w:t>
            </w:r>
            <w:r w:rsidR="00422B69" w:rsidRPr="00C20873">
              <w:rPr>
                <w:rFonts w:ascii="Arial" w:hAnsi="Arial" w:cs="Arial"/>
                <w:b/>
                <w:bCs/>
                <w:sz w:val="20"/>
                <w:szCs w:val="20"/>
              </w:rPr>
              <w:t>inor revision</w:t>
            </w:r>
          </w:p>
        </w:tc>
        <w:tc>
          <w:tcPr>
            <w:tcW w:w="2212" w:type="dxa"/>
          </w:tcPr>
          <w:p w14:paraId="4C5C2D42" w14:textId="40DC1BDF" w:rsidR="00422B69" w:rsidRPr="00C20873" w:rsidRDefault="00422B69" w:rsidP="00C20873">
            <w:pPr>
              <w:rPr>
                <w:rFonts w:ascii="Arial" w:hAnsi="Arial" w:cs="Arial"/>
                <w:b/>
                <w:bCs/>
                <w:sz w:val="20"/>
                <w:szCs w:val="20"/>
              </w:rPr>
            </w:pPr>
            <w:r w:rsidRPr="00C20873">
              <w:rPr>
                <w:rFonts w:ascii="Arial" w:hAnsi="Arial" w:cs="Arial"/>
                <w:b/>
                <w:bCs/>
                <w:sz w:val="20"/>
                <w:szCs w:val="20"/>
              </w:rPr>
              <w:t>Start date of</w:t>
            </w:r>
            <w:r w:rsidR="00710647" w:rsidRPr="00C20873">
              <w:rPr>
                <w:rFonts w:ascii="Arial" w:hAnsi="Arial" w:cs="Arial"/>
                <w:b/>
                <w:bCs/>
                <w:sz w:val="20"/>
                <w:szCs w:val="20"/>
              </w:rPr>
              <w:t xml:space="preserve"> delivery of </w:t>
            </w:r>
            <w:r w:rsidR="00E1736E" w:rsidRPr="00C20873">
              <w:rPr>
                <w:rFonts w:ascii="Arial" w:hAnsi="Arial" w:cs="Arial"/>
                <w:b/>
                <w:bCs/>
                <w:sz w:val="20"/>
                <w:szCs w:val="20"/>
              </w:rPr>
              <w:t>(</w:t>
            </w:r>
            <w:r w:rsidRPr="00C20873">
              <w:rPr>
                <w:rFonts w:ascii="Arial" w:hAnsi="Arial" w:cs="Arial"/>
                <w:b/>
                <w:bCs/>
                <w:sz w:val="20"/>
                <w:szCs w:val="20"/>
              </w:rPr>
              <w:t>revised</w:t>
            </w:r>
            <w:r w:rsidR="00E1736E" w:rsidRPr="00C20873">
              <w:rPr>
                <w:rFonts w:ascii="Arial" w:hAnsi="Arial" w:cs="Arial"/>
                <w:b/>
                <w:bCs/>
                <w:sz w:val="20"/>
                <w:szCs w:val="20"/>
              </w:rPr>
              <w:t>)</w:t>
            </w:r>
            <w:r w:rsidRPr="00C20873">
              <w:rPr>
                <w:rFonts w:ascii="Arial" w:hAnsi="Arial" w:cs="Arial"/>
                <w:b/>
                <w:bCs/>
                <w:sz w:val="20"/>
                <w:szCs w:val="20"/>
              </w:rPr>
              <w:t xml:space="preserve"> version</w:t>
            </w:r>
          </w:p>
        </w:tc>
        <w:tc>
          <w:tcPr>
            <w:tcW w:w="1903" w:type="dxa"/>
          </w:tcPr>
          <w:p w14:paraId="07410A3B" w14:textId="3851D1D6" w:rsidR="00E1736E" w:rsidRPr="00C20873" w:rsidRDefault="00422B69" w:rsidP="00C20873">
            <w:pPr>
              <w:rPr>
                <w:rFonts w:ascii="Arial" w:hAnsi="Arial" w:cs="Arial"/>
                <w:b/>
                <w:bCs/>
                <w:sz w:val="20"/>
                <w:szCs w:val="20"/>
              </w:rPr>
            </w:pPr>
            <w:r w:rsidRPr="00C20873">
              <w:rPr>
                <w:rFonts w:ascii="Arial" w:hAnsi="Arial" w:cs="Arial"/>
                <w:b/>
                <w:bCs/>
                <w:sz w:val="20"/>
                <w:szCs w:val="20"/>
              </w:rPr>
              <w:t>Section revised</w:t>
            </w:r>
            <w:r w:rsidR="00881BE6" w:rsidRPr="00C20873">
              <w:rPr>
                <w:rFonts w:ascii="Arial" w:hAnsi="Arial" w:cs="Arial"/>
                <w:b/>
                <w:bCs/>
                <w:sz w:val="20"/>
                <w:szCs w:val="20"/>
              </w:rPr>
              <w:t xml:space="preserve"> </w:t>
            </w:r>
            <w:r w:rsidR="00E1736E" w:rsidRPr="00C20873">
              <w:rPr>
                <w:rFonts w:ascii="Arial" w:hAnsi="Arial" w:cs="Arial"/>
                <w:b/>
                <w:bCs/>
                <w:sz w:val="20"/>
                <w:szCs w:val="20"/>
              </w:rPr>
              <w:t>(if applicable)</w:t>
            </w:r>
          </w:p>
        </w:tc>
        <w:tc>
          <w:tcPr>
            <w:tcW w:w="2208" w:type="dxa"/>
          </w:tcPr>
          <w:p w14:paraId="65323753" w14:textId="7C150274" w:rsidR="00422B69" w:rsidRPr="00C20873" w:rsidRDefault="00422B69" w:rsidP="00C20873">
            <w:pPr>
              <w:rPr>
                <w:rFonts w:ascii="Arial" w:hAnsi="Arial" w:cs="Arial"/>
                <w:b/>
                <w:bCs/>
                <w:sz w:val="20"/>
                <w:szCs w:val="20"/>
              </w:rPr>
            </w:pPr>
            <w:r w:rsidRPr="00C20873">
              <w:rPr>
                <w:rFonts w:ascii="Arial" w:hAnsi="Arial" w:cs="Arial"/>
                <w:b/>
                <w:bCs/>
                <w:sz w:val="20"/>
                <w:szCs w:val="20"/>
              </w:rPr>
              <w:t>Impacts PLOs</w:t>
            </w:r>
            <w:r w:rsidR="00694309" w:rsidRPr="00C20873">
              <w:rPr>
                <w:rFonts w:ascii="Arial" w:hAnsi="Arial" w:cs="Arial"/>
                <w:b/>
                <w:bCs/>
                <w:sz w:val="20"/>
                <w:szCs w:val="20"/>
              </w:rPr>
              <w:t xml:space="preserve"> (</w:t>
            </w:r>
            <w:r w:rsidR="001A425B" w:rsidRPr="00C20873">
              <w:rPr>
                <w:rFonts w:ascii="Arial" w:hAnsi="Arial" w:cs="Arial"/>
                <w:b/>
                <w:bCs/>
                <w:sz w:val="20"/>
                <w:szCs w:val="20"/>
              </w:rPr>
              <w:t>Q6</w:t>
            </w:r>
            <w:r w:rsidR="00151418" w:rsidRPr="00C20873">
              <w:rPr>
                <w:rFonts w:ascii="Arial" w:hAnsi="Arial" w:cs="Arial"/>
                <w:b/>
                <w:bCs/>
                <w:sz w:val="20"/>
                <w:szCs w:val="20"/>
              </w:rPr>
              <w:t xml:space="preserve"> </w:t>
            </w:r>
            <w:r w:rsidR="001A425B" w:rsidRPr="00C20873">
              <w:rPr>
                <w:rFonts w:ascii="Arial" w:hAnsi="Arial" w:cs="Arial"/>
                <w:b/>
                <w:bCs/>
                <w:sz w:val="20"/>
                <w:szCs w:val="20"/>
              </w:rPr>
              <w:t>&amp;</w:t>
            </w:r>
            <w:r w:rsidR="00151418" w:rsidRPr="00C20873">
              <w:rPr>
                <w:rFonts w:ascii="Arial" w:hAnsi="Arial" w:cs="Arial"/>
                <w:b/>
                <w:bCs/>
                <w:sz w:val="20"/>
                <w:szCs w:val="20"/>
              </w:rPr>
              <w:t xml:space="preserve"> </w:t>
            </w:r>
            <w:r w:rsidR="001A425B" w:rsidRPr="00C20873">
              <w:rPr>
                <w:rFonts w:ascii="Arial" w:hAnsi="Arial" w:cs="Arial"/>
                <w:b/>
                <w:bCs/>
                <w:sz w:val="20"/>
                <w:szCs w:val="20"/>
              </w:rPr>
              <w:t>7 cover sheet)</w:t>
            </w:r>
          </w:p>
        </w:tc>
      </w:tr>
      <w:tr w:rsidR="00302082" w:rsidRPr="009D52D0" w14:paraId="29EF87B4" w14:textId="77777777" w:rsidTr="00C20873">
        <w:trPr>
          <w:trHeight w:val="305"/>
        </w:trPr>
        <w:tc>
          <w:tcPr>
            <w:tcW w:w="1660" w:type="dxa"/>
          </w:tcPr>
          <w:p w14:paraId="4474539E" w14:textId="036CF987" w:rsidR="00422B69" w:rsidRPr="009D52D0" w:rsidRDefault="00035363" w:rsidP="00C20873">
            <w:pPr>
              <w:spacing w:before="60" w:after="60"/>
              <w:rPr>
                <w:rFonts w:ascii="Arial" w:hAnsi="Arial" w:cs="Arial"/>
                <w:sz w:val="20"/>
                <w:szCs w:val="20"/>
              </w:rPr>
            </w:pPr>
            <w:r>
              <w:rPr>
                <w:rFonts w:ascii="Arial" w:hAnsi="Arial" w:cs="Arial"/>
                <w:sz w:val="20"/>
                <w:szCs w:val="20"/>
              </w:rPr>
              <w:t>26.01.22</w:t>
            </w:r>
          </w:p>
        </w:tc>
        <w:tc>
          <w:tcPr>
            <w:tcW w:w="2360" w:type="dxa"/>
          </w:tcPr>
          <w:p w14:paraId="3DB8B056" w14:textId="600D2F4A" w:rsidR="00422B69" w:rsidRPr="009D52D0" w:rsidRDefault="008C498F" w:rsidP="00C20873">
            <w:pPr>
              <w:spacing w:before="60" w:after="60"/>
              <w:rPr>
                <w:rFonts w:ascii="Arial" w:hAnsi="Arial" w:cs="Arial"/>
                <w:sz w:val="20"/>
                <w:szCs w:val="20"/>
              </w:rPr>
            </w:pPr>
            <w:r>
              <w:rPr>
                <w:rFonts w:ascii="Arial" w:hAnsi="Arial" w:cs="Arial"/>
                <w:sz w:val="20"/>
                <w:szCs w:val="20"/>
              </w:rPr>
              <w:t>Major</w:t>
            </w:r>
          </w:p>
        </w:tc>
        <w:tc>
          <w:tcPr>
            <w:tcW w:w="2212" w:type="dxa"/>
          </w:tcPr>
          <w:p w14:paraId="7151A835" w14:textId="103BFC40" w:rsidR="00422B69" w:rsidRPr="009D52D0" w:rsidRDefault="008C498F" w:rsidP="00C20873">
            <w:pPr>
              <w:spacing w:before="60" w:after="60"/>
              <w:rPr>
                <w:rFonts w:ascii="Arial" w:hAnsi="Arial" w:cs="Arial"/>
                <w:sz w:val="20"/>
                <w:szCs w:val="20"/>
              </w:rPr>
            </w:pPr>
            <w:r>
              <w:rPr>
                <w:rFonts w:ascii="Arial" w:hAnsi="Arial" w:cs="Arial"/>
                <w:sz w:val="20"/>
                <w:szCs w:val="20"/>
              </w:rPr>
              <w:t>Spring 2023</w:t>
            </w:r>
          </w:p>
        </w:tc>
        <w:tc>
          <w:tcPr>
            <w:tcW w:w="1903" w:type="dxa"/>
          </w:tcPr>
          <w:p w14:paraId="64AEF8B4" w14:textId="4FE65246" w:rsidR="00422B69" w:rsidRPr="009D52D0" w:rsidRDefault="008C498F" w:rsidP="00C20873">
            <w:pPr>
              <w:spacing w:before="60" w:after="60"/>
              <w:rPr>
                <w:rFonts w:ascii="Arial" w:hAnsi="Arial" w:cs="Arial"/>
                <w:sz w:val="20"/>
                <w:szCs w:val="20"/>
              </w:rPr>
            </w:pPr>
            <w:r>
              <w:rPr>
                <w:rFonts w:ascii="Arial" w:hAnsi="Arial" w:cs="Arial"/>
                <w:sz w:val="20"/>
                <w:szCs w:val="20"/>
              </w:rPr>
              <w:t>13</w:t>
            </w:r>
          </w:p>
        </w:tc>
        <w:tc>
          <w:tcPr>
            <w:tcW w:w="2208" w:type="dxa"/>
          </w:tcPr>
          <w:p w14:paraId="2788108C" w14:textId="74E75A33" w:rsidR="00422B69" w:rsidRPr="009D52D0" w:rsidRDefault="00AA127B" w:rsidP="00C20873">
            <w:pPr>
              <w:spacing w:before="60" w:after="60"/>
              <w:rPr>
                <w:rFonts w:ascii="Arial" w:hAnsi="Arial" w:cs="Arial"/>
                <w:sz w:val="20"/>
                <w:szCs w:val="20"/>
              </w:rPr>
            </w:pPr>
            <w:r>
              <w:rPr>
                <w:rFonts w:ascii="Arial" w:hAnsi="Arial" w:cs="Arial"/>
                <w:sz w:val="20"/>
                <w:szCs w:val="20"/>
              </w:rPr>
              <w:t>No</w:t>
            </w:r>
          </w:p>
        </w:tc>
      </w:tr>
      <w:tr w:rsidR="00302082" w:rsidRPr="009D52D0" w14:paraId="1EAC1207" w14:textId="77777777" w:rsidTr="00C20873">
        <w:trPr>
          <w:trHeight w:val="305"/>
        </w:trPr>
        <w:tc>
          <w:tcPr>
            <w:tcW w:w="1660" w:type="dxa"/>
          </w:tcPr>
          <w:p w14:paraId="6535CABF" w14:textId="3295741A" w:rsidR="00422B69" w:rsidRPr="009D52D0" w:rsidRDefault="00C456E5" w:rsidP="00C20873">
            <w:pPr>
              <w:spacing w:before="60" w:after="60"/>
              <w:rPr>
                <w:rFonts w:ascii="Arial" w:hAnsi="Arial" w:cs="Arial"/>
                <w:sz w:val="20"/>
                <w:szCs w:val="20"/>
              </w:rPr>
            </w:pPr>
            <w:r>
              <w:rPr>
                <w:rFonts w:ascii="Arial" w:hAnsi="Arial" w:cs="Arial"/>
                <w:sz w:val="20"/>
                <w:szCs w:val="20"/>
              </w:rPr>
              <w:t>16.11.22</w:t>
            </w:r>
          </w:p>
        </w:tc>
        <w:tc>
          <w:tcPr>
            <w:tcW w:w="2360" w:type="dxa"/>
          </w:tcPr>
          <w:p w14:paraId="5BAFF0BB" w14:textId="59ADC1D6" w:rsidR="00422B69" w:rsidRPr="009D52D0" w:rsidRDefault="0001567D" w:rsidP="00C20873">
            <w:pPr>
              <w:spacing w:before="60" w:after="60"/>
              <w:rPr>
                <w:rFonts w:ascii="Arial" w:hAnsi="Arial" w:cs="Arial"/>
                <w:sz w:val="20"/>
                <w:szCs w:val="20"/>
              </w:rPr>
            </w:pPr>
            <w:r>
              <w:rPr>
                <w:rFonts w:ascii="Arial" w:hAnsi="Arial" w:cs="Arial"/>
                <w:sz w:val="20"/>
                <w:szCs w:val="20"/>
              </w:rPr>
              <w:t>Minor</w:t>
            </w:r>
          </w:p>
        </w:tc>
        <w:tc>
          <w:tcPr>
            <w:tcW w:w="2212" w:type="dxa"/>
          </w:tcPr>
          <w:p w14:paraId="07B30CA1" w14:textId="1F6B75DD" w:rsidR="00422B69" w:rsidRPr="009D52D0" w:rsidRDefault="0001567D" w:rsidP="00C20873">
            <w:pPr>
              <w:spacing w:before="60" w:after="60"/>
              <w:rPr>
                <w:rFonts w:ascii="Arial" w:hAnsi="Arial" w:cs="Arial"/>
                <w:sz w:val="20"/>
                <w:szCs w:val="20"/>
              </w:rPr>
            </w:pPr>
            <w:r>
              <w:rPr>
                <w:rFonts w:ascii="Arial" w:hAnsi="Arial" w:cs="Arial"/>
                <w:sz w:val="20"/>
                <w:szCs w:val="20"/>
              </w:rPr>
              <w:t>Sept</w:t>
            </w:r>
            <w:r w:rsidR="00C20873">
              <w:rPr>
                <w:rFonts w:ascii="Arial" w:hAnsi="Arial" w:cs="Arial"/>
                <w:sz w:val="20"/>
                <w:szCs w:val="20"/>
              </w:rPr>
              <w:t>ember 20</w:t>
            </w:r>
            <w:r>
              <w:rPr>
                <w:rFonts w:ascii="Arial" w:hAnsi="Arial" w:cs="Arial"/>
                <w:sz w:val="20"/>
                <w:szCs w:val="20"/>
              </w:rPr>
              <w:t>23</w:t>
            </w:r>
          </w:p>
        </w:tc>
        <w:tc>
          <w:tcPr>
            <w:tcW w:w="1903" w:type="dxa"/>
          </w:tcPr>
          <w:p w14:paraId="7AF83608" w14:textId="2D2EEC08" w:rsidR="00422B69" w:rsidRPr="009D52D0" w:rsidRDefault="0001567D" w:rsidP="00C20873">
            <w:pPr>
              <w:spacing w:before="60" w:after="60"/>
              <w:rPr>
                <w:rFonts w:ascii="Arial" w:hAnsi="Arial" w:cs="Arial"/>
                <w:sz w:val="20"/>
                <w:szCs w:val="20"/>
              </w:rPr>
            </w:pPr>
            <w:r>
              <w:rPr>
                <w:rFonts w:ascii="Arial" w:hAnsi="Arial" w:cs="Arial"/>
                <w:sz w:val="20"/>
                <w:szCs w:val="20"/>
              </w:rPr>
              <w:t>13</w:t>
            </w:r>
            <w:r w:rsidR="00C20873">
              <w:rPr>
                <w:rFonts w:ascii="Arial" w:hAnsi="Arial" w:cs="Arial"/>
                <w:sz w:val="20"/>
                <w:szCs w:val="20"/>
              </w:rPr>
              <w:t xml:space="preserve">, </w:t>
            </w:r>
            <w:r>
              <w:rPr>
                <w:rFonts w:ascii="Arial" w:hAnsi="Arial" w:cs="Arial"/>
                <w:sz w:val="20"/>
                <w:szCs w:val="20"/>
              </w:rPr>
              <w:t>14</w:t>
            </w:r>
          </w:p>
        </w:tc>
        <w:tc>
          <w:tcPr>
            <w:tcW w:w="2208" w:type="dxa"/>
          </w:tcPr>
          <w:p w14:paraId="1F3DBDEE" w14:textId="7D5B198C" w:rsidR="00422B69" w:rsidRPr="009D52D0" w:rsidRDefault="0001567D" w:rsidP="00C20873">
            <w:pPr>
              <w:spacing w:before="60" w:after="60"/>
              <w:rPr>
                <w:rFonts w:ascii="Arial" w:hAnsi="Arial" w:cs="Arial"/>
                <w:sz w:val="20"/>
                <w:szCs w:val="20"/>
              </w:rPr>
            </w:pPr>
            <w:r>
              <w:rPr>
                <w:rFonts w:ascii="Arial" w:hAnsi="Arial" w:cs="Arial"/>
                <w:sz w:val="20"/>
                <w:szCs w:val="20"/>
              </w:rPr>
              <w:t>N</w:t>
            </w:r>
            <w:r w:rsidR="00C456E5">
              <w:rPr>
                <w:rFonts w:ascii="Arial" w:hAnsi="Arial" w:cs="Arial"/>
                <w:sz w:val="20"/>
                <w:szCs w:val="20"/>
              </w:rPr>
              <w:t>o</w:t>
            </w:r>
          </w:p>
        </w:tc>
      </w:tr>
    </w:tbl>
    <w:p w14:paraId="441610ED" w14:textId="77777777" w:rsidR="00FC217A" w:rsidRPr="00FC217A" w:rsidRDefault="00FC217A" w:rsidP="00151418">
      <w:pPr>
        <w:rPr>
          <w:rFonts w:ascii="Arial" w:hAnsi="Arial" w:cs="Arial"/>
          <w:sz w:val="24"/>
          <w:szCs w:val="24"/>
        </w:rPr>
      </w:pPr>
    </w:p>
    <w:sectPr w:rsidR="00FC217A" w:rsidRPr="00FC217A" w:rsidSect="009D2D0A">
      <w:headerReference w:type="default" r:id="rId13"/>
      <w:footerReference w:type="default" r:id="rId14"/>
      <w:headerReference w:type="first" r:id="rId15"/>
      <w:footerReference w:type="first" r:id="rId16"/>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06B0E" w14:textId="77777777" w:rsidR="008B7A14" w:rsidRDefault="008B7A14" w:rsidP="009A2D37">
      <w:pPr>
        <w:spacing w:after="0"/>
      </w:pPr>
      <w:r>
        <w:separator/>
      </w:r>
    </w:p>
  </w:endnote>
  <w:endnote w:type="continuationSeparator" w:id="0">
    <w:p w14:paraId="6F5FF721" w14:textId="77777777" w:rsidR="008B7A14" w:rsidRDefault="008B7A14" w:rsidP="009A2D37">
      <w:pPr>
        <w:spacing w:after="0"/>
      </w:pPr>
      <w:r>
        <w:continuationSeparator/>
      </w:r>
    </w:p>
  </w:endnote>
  <w:endnote w:type="continuationNotice" w:id="1">
    <w:p w14:paraId="2B50AF8E" w14:textId="77777777" w:rsidR="008B7A14" w:rsidRDefault="008B7A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rPr>
        <w:rFonts w:cs="Arial"/>
      </w:rPr>
    </w:sdtEndPr>
    <w:sdtContent>
      <w:p w14:paraId="5BC8183C" w14:textId="57D4E58D" w:rsidR="008B2543" w:rsidRPr="00911FFB" w:rsidRDefault="0019787E" w:rsidP="009A2D37">
        <w:pPr>
          <w:pStyle w:val="Footer"/>
          <w:jc w:val="center"/>
          <w:rPr>
            <w:rFonts w:cs="Arial"/>
          </w:rPr>
        </w:pPr>
        <w:r w:rsidRPr="00911FFB">
          <w:rPr>
            <w:rFonts w:cs="Arial"/>
          </w:rPr>
          <w:fldChar w:fldCharType="begin"/>
        </w:r>
        <w:r w:rsidRPr="00911FFB">
          <w:rPr>
            <w:rFonts w:cs="Arial"/>
          </w:rPr>
          <w:instrText xml:space="preserve"> PAGE   \* MERGEFORMAT </w:instrText>
        </w:r>
        <w:r w:rsidRPr="00911FFB">
          <w:rPr>
            <w:rFonts w:cs="Arial"/>
          </w:rPr>
          <w:fldChar w:fldCharType="separate"/>
        </w:r>
        <w:r w:rsidR="0022570F" w:rsidRPr="00911FFB">
          <w:rPr>
            <w:rFonts w:cs="Arial"/>
            <w:noProof/>
          </w:rPr>
          <w:t>8</w:t>
        </w:r>
        <w:r w:rsidRPr="00911FFB">
          <w:rPr>
            <w:rFonts w:cs="Arial"/>
            <w:noProof/>
          </w:rPr>
          <w:fldChar w:fldCharType="end"/>
        </w:r>
      </w:p>
    </w:sdtContent>
  </w:sdt>
  <w:p w14:paraId="26569854" w14:textId="510EF4AD" w:rsidR="008B2543" w:rsidRPr="00911FFB" w:rsidRDefault="00911FFB" w:rsidP="00911FFB">
    <w:pPr>
      <w:pStyle w:val="Footer"/>
      <w:ind w:right="-330"/>
      <w:rPr>
        <w:sz w:val="18"/>
        <w:szCs w:val="18"/>
      </w:rPr>
    </w:pPr>
    <w:r w:rsidRPr="00427161">
      <w:rPr>
        <w:sz w:val="18"/>
        <w:szCs w:val="18"/>
      </w:rPr>
      <w:t xml:space="preserve">Module Specification </w:t>
    </w:r>
    <w:bookmarkStart w:id="0" w:name="_Hlk126069076"/>
    <w:r w:rsidRPr="00427161">
      <w:rPr>
        <w:rFonts w:cs="Arial"/>
        <w:sz w:val="18"/>
        <w:szCs w:val="18"/>
      </w:rPr>
      <w:t>SACO8190</w:t>
    </w:r>
    <w:r w:rsidRPr="00427161">
      <w:rPr>
        <w:rFonts w:cs="Arial"/>
        <w:i/>
        <w:iCs/>
        <w:sz w:val="18"/>
        <w:szCs w:val="18"/>
      </w:rPr>
      <w:t xml:space="preserve"> </w:t>
    </w:r>
    <w:r w:rsidRPr="00427161">
      <w:rPr>
        <w:rFonts w:cs="Arial"/>
        <w:iCs/>
        <w:sz w:val="18"/>
        <w:szCs w:val="18"/>
      </w:rPr>
      <w:t>Field Excavation and Recovery Methods</w:t>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rPr>
        <w:rFonts w:cs="Arial"/>
      </w:rPr>
    </w:sdtEndPr>
    <w:sdtContent>
      <w:p w14:paraId="3F1AF40E" w14:textId="4C131B7E" w:rsidR="00EB41D1" w:rsidRPr="00427161" w:rsidRDefault="00EB41D1" w:rsidP="00EB41D1">
        <w:pPr>
          <w:pStyle w:val="Footer"/>
          <w:jc w:val="center"/>
          <w:rPr>
            <w:rFonts w:cs="Arial"/>
          </w:rPr>
        </w:pPr>
        <w:r w:rsidRPr="00427161">
          <w:rPr>
            <w:rFonts w:cs="Arial"/>
          </w:rPr>
          <w:fldChar w:fldCharType="begin"/>
        </w:r>
        <w:r w:rsidRPr="00427161">
          <w:rPr>
            <w:rFonts w:cs="Arial"/>
          </w:rPr>
          <w:instrText xml:space="preserve"> PAGE   \* MERGEFORMAT </w:instrText>
        </w:r>
        <w:r w:rsidRPr="00427161">
          <w:rPr>
            <w:rFonts w:cs="Arial"/>
          </w:rPr>
          <w:fldChar w:fldCharType="separate"/>
        </w:r>
        <w:r w:rsidR="0022570F" w:rsidRPr="00427161">
          <w:rPr>
            <w:rFonts w:cs="Arial"/>
            <w:noProof/>
          </w:rPr>
          <w:t>1</w:t>
        </w:r>
        <w:r w:rsidRPr="00427161">
          <w:rPr>
            <w:rFonts w:cs="Arial"/>
            <w:noProof/>
          </w:rPr>
          <w:fldChar w:fldCharType="end"/>
        </w:r>
      </w:p>
    </w:sdtContent>
  </w:sdt>
  <w:p w14:paraId="08119116" w14:textId="6A18D760" w:rsidR="00EB41D1" w:rsidRPr="00427161" w:rsidRDefault="00EB41D1" w:rsidP="00EB41D1">
    <w:pPr>
      <w:pStyle w:val="Footer"/>
      <w:ind w:right="-330"/>
      <w:rPr>
        <w:sz w:val="18"/>
        <w:szCs w:val="18"/>
      </w:rPr>
    </w:pPr>
    <w:r w:rsidRPr="00427161">
      <w:rPr>
        <w:sz w:val="18"/>
        <w:szCs w:val="18"/>
      </w:rPr>
      <w:t xml:space="preserve">Module Specification </w:t>
    </w:r>
    <w:r w:rsidR="00427161" w:rsidRPr="00427161">
      <w:rPr>
        <w:rFonts w:cs="Arial"/>
        <w:sz w:val="18"/>
        <w:szCs w:val="18"/>
      </w:rPr>
      <w:t>SACO8190</w:t>
    </w:r>
    <w:r w:rsidR="00427161" w:rsidRPr="00427161">
      <w:rPr>
        <w:rFonts w:cs="Arial"/>
        <w:i/>
        <w:iCs/>
        <w:sz w:val="18"/>
        <w:szCs w:val="18"/>
      </w:rPr>
      <w:t xml:space="preserve"> </w:t>
    </w:r>
    <w:r w:rsidR="00427161" w:rsidRPr="00427161">
      <w:rPr>
        <w:rFonts w:cs="Arial"/>
        <w:iCs/>
        <w:sz w:val="18"/>
        <w:szCs w:val="18"/>
      </w:rPr>
      <w:t>Field Excavation and Recovery Methods</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9253A" w14:textId="77777777" w:rsidR="008B7A14" w:rsidRDefault="008B7A14" w:rsidP="009A2D37">
      <w:pPr>
        <w:spacing w:after="0"/>
      </w:pPr>
      <w:r>
        <w:separator/>
      </w:r>
    </w:p>
  </w:footnote>
  <w:footnote w:type="continuationSeparator" w:id="0">
    <w:p w14:paraId="09868088" w14:textId="77777777" w:rsidR="008B7A14" w:rsidRDefault="008B7A14" w:rsidP="009A2D37">
      <w:pPr>
        <w:spacing w:after="0"/>
      </w:pPr>
      <w:r>
        <w:continuationSeparator/>
      </w:r>
    </w:p>
  </w:footnote>
  <w:footnote w:type="continuationNotice" w:id="1">
    <w:p w14:paraId="2400CDE6" w14:textId="77777777" w:rsidR="008B7A14" w:rsidRDefault="008B7A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279CF9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0AD3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26A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0E287D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A625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166D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8A2A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B84C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9E70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8853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6D456D"/>
    <w:multiLevelType w:val="hybridMultilevel"/>
    <w:tmpl w:val="3DF2C9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2C197B"/>
    <w:multiLevelType w:val="hybridMultilevel"/>
    <w:tmpl w:val="6D9C85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029112140">
    <w:abstractNumId w:val="12"/>
  </w:num>
  <w:num w:numId="2" w16cid:durableId="2083094273">
    <w:abstractNumId w:val="9"/>
  </w:num>
  <w:num w:numId="3" w16cid:durableId="610934407">
    <w:abstractNumId w:val="13"/>
  </w:num>
  <w:num w:numId="4" w16cid:durableId="1523477078">
    <w:abstractNumId w:val="10"/>
  </w:num>
  <w:num w:numId="5" w16cid:durableId="697239076">
    <w:abstractNumId w:val="19"/>
  </w:num>
  <w:num w:numId="6" w16cid:durableId="1817410464">
    <w:abstractNumId w:val="16"/>
  </w:num>
  <w:num w:numId="7" w16cid:durableId="1154564992">
    <w:abstractNumId w:val="20"/>
  </w:num>
  <w:num w:numId="8" w16cid:durableId="1295021497">
    <w:abstractNumId w:val="17"/>
  </w:num>
  <w:num w:numId="9" w16cid:durableId="592737215">
    <w:abstractNumId w:val="14"/>
  </w:num>
  <w:num w:numId="10" w16cid:durableId="1422676809">
    <w:abstractNumId w:val="15"/>
  </w:num>
  <w:num w:numId="11" w16cid:durableId="132331274">
    <w:abstractNumId w:val="11"/>
  </w:num>
  <w:num w:numId="12" w16cid:durableId="212929121">
    <w:abstractNumId w:val="18"/>
  </w:num>
  <w:num w:numId="13" w16cid:durableId="1866213236">
    <w:abstractNumId w:val="12"/>
  </w:num>
  <w:num w:numId="14" w16cid:durableId="1087388068">
    <w:abstractNumId w:val="12"/>
  </w:num>
  <w:num w:numId="15" w16cid:durableId="1106118454">
    <w:abstractNumId w:val="12"/>
  </w:num>
  <w:num w:numId="16" w16cid:durableId="2007321080">
    <w:abstractNumId w:val="12"/>
  </w:num>
  <w:num w:numId="17" w16cid:durableId="1194924910">
    <w:abstractNumId w:val="12"/>
  </w:num>
  <w:num w:numId="18" w16cid:durableId="1242369388">
    <w:abstractNumId w:val="12"/>
  </w:num>
  <w:num w:numId="19" w16cid:durableId="6370603">
    <w:abstractNumId w:val="12"/>
  </w:num>
  <w:num w:numId="20" w16cid:durableId="1465926059">
    <w:abstractNumId w:val="12"/>
  </w:num>
  <w:num w:numId="21" w16cid:durableId="1149201407">
    <w:abstractNumId w:val="12"/>
  </w:num>
  <w:num w:numId="22" w16cid:durableId="853106088">
    <w:abstractNumId w:val="12"/>
  </w:num>
  <w:num w:numId="23" w16cid:durableId="1804344113">
    <w:abstractNumId w:val="12"/>
  </w:num>
  <w:num w:numId="24" w16cid:durableId="1048384300">
    <w:abstractNumId w:val="12"/>
  </w:num>
  <w:num w:numId="25" w16cid:durableId="328101260">
    <w:abstractNumId w:val="12"/>
  </w:num>
  <w:num w:numId="26" w16cid:durableId="1131172032">
    <w:abstractNumId w:val="12"/>
  </w:num>
  <w:num w:numId="27" w16cid:durableId="1760180515">
    <w:abstractNumId w:val="12"/>
  </w:num>
  <w:num w:numId="28" w16cid:durableId="1534418226">
    <w:abstractNumId w:val="12"/>
  </w:num>
  <w:num w:numId="29" w16cid:durableId="1953635622">
    <w:abstractNumId w:val="12"/>
  </w:num>
  <w:num w:numId="30" w16cid:durableId="999963523">
    <w:abstractNumId w:val="12"/>
  </w:num>
  <w:num w:numId="31" w16cid:durableId="1704018841">
    <w:abstractNumId w:val="12"/>
  </w:num>
  <w:num w:numId="32" w16cid:durableId="2100517555">
    <w:abstractNumId w:val="12"/>
  </w:num>
  <w:num w:numId="33" w16cid:durableId="2017076853">
    <w:abstractNumId w:val="21"/>
  </w:num>
  <w:num w:numId="34" w16cid:durableId="1345937530">
    <w:abstractNumId w:val="7"/>
  </w:num>
  <w:num w:numId="35" w16cid:durableId="554782097">
    <w:abstractNumId w:val="6"/>
  </w:num>
  <w:num w:numId="36" w16cid:durableId="615874488">
    <w:abstractNumId w:val="5"/>
  </w:num>
  <w:num w:numId="37" w16cid:durableId="1236866265">
    <w:abstractNumId w:val="4"/>
  </w:num>
  <w:num w:numId="38" w16cid:durableId="1511488465">
    <w:abstractNumId w:val="8"/>
  </w:num>
  <w:num w:numId="39" w16cid:durableId="996154653">
    <w:abstractNumId w:val="3"/>
  </w:num>
  <w:num w:numId="40" w16cid:durableId="1537615747">
    <w:abstractNumId w:val="2"/>
  </w:num>
  <w:num w:numId="41" w16cid:durableId="1732848463">
    <w:abstractNumId w:val="1"/>
  </w:num>
  <w:num w:numId="42" w16cid:durableId="2086536887">
    <w:abstractNumId w:val="0"/>
  </w:num>
  <w:num w:numId="43" w16cid:durableId="154952475">
    <w:abstractNumId w:val="12"/>
  </w:num>
  <w:num w:numId="44" w16cid:durableId="1371302492">
    <w:abstractNumId w:val="12"/>
  </w:num>
  <w:num w:numId="45" w16cid:durableId="543711464">
    <w:abstractNumId w:val="9"/>
  </w:num>
  <w:num w:numId="46" w16cid:durableId="468867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567D"/>
    <w:rsid w:val="00015FC6"/>
    <w:rsid w:val="00021EA0"/>
    <w:rsid w:val="00025992"/>
    <w:rsid w:val="00027937"/>
    <w:rsid w:val="00030C9E"/>
    <w:rsid w:val="00031E67"/>
    <w:rsid w:val="00035363"/>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418"/>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4D98"/>
    <w:rsid w:val="00264576"/>
    <w:rsid w:val="0026585A"/>
    <w:rsid w:val="00266735"/>
    <w:rsid w:val="00273CF0"/>
    <w:rsid w:val="002748D4"/>
    <w:rsid w:val="00274ED7"/>
    <w:rsid w:val="0028277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58A4"/>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A37"/>
    <w:rsid w:val="00402ED7"/>
    <w:rsid w:val="004114F8"/>
    <w:rsid w:val="00413F1C"/>
    <w:rsid w:val="00422B69"/>
    <w:rsid w:val="00423D86"/>
    <w:rsid w:val="00424C90"/>
    <w:rsid w:val="00426833"/>
    <w:rsid w:val="00427161"/>
    <w:rsid w:val="004323FD"/>
    <w:rsid w:val="00436BE9"/>
    <w:rsid w:val="00441E76"/>
    <w:rsid w:val="00442F29"/>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AA6"/>
    <w:rsid w:val="004B5D03"/>
    <w:rsid w:val="004C1EC4"/>
    <w:rsid w:val="004C789B"/>
    <w:rsid w:val="004D035C"/>
    <w:rsid w:val="004D1CE1"/>
    <w:rsid w:val="004F3C18"/>
    <w:rsid w:val="004F4328"/>
    <w:rsid w:val="005005E4"/>
    <w:rsid w:val="00500B56"/>
    <w:rsid w:val="00513689"/>
    <w:rsid w:val="0051375A"/>
    <w:rsid w:val="00521097"/>
    <w:rsid w:val="00522351"/>
    <w:rsid w:val="0053059E"/>
    <w:rsid w:val="00532F6F"/>
    <w:rsid w:val="00533663"/>
    <w:rsid w:val="005460C2"/>
    <w:rsid w:val="005526FB"/>
    <w:rsid w:val="0055280A"/>
    <w:rsid w:val="00553D19"/>
    <w:rsid w:val="005548E1"/>
    <w:rsid w:val="0055585D"/>
    <w:rsid w:val="0056127B"/>
    <w:rsid w:val="00561D26"/>
    <w:rsid w:val="00564738"/>
    <w:rsid w:val="00566669"/>
    <w:rsid w:val="00567EC9"/>
    <w:rsid w:val="00571630"/>
    <w:rsid w:val="005718A2"/>
    <w:rsid w:val="0057546D"/>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0EE"/>
    <w:rsid w:val="005E7662"/>
    <w:rsid w:val="005E7B3F"/>
    <w:rsid w:val="005F040F"/>
    <w:rsid w:val="005F2C42"/>
    <w:rsid w:val="006043FC"/>
    <w:rsid w:val="006050CF"/>
    <w:rsid w:val="00616BEF"/>
    <w:rsid w:val="0062219E"/>
    <w:rsid w:val="006253AA"/>
    <w:rsid w:val="00626023"/>
    <w:rsid w:val="00633150"/>
    <w:rsid w:val="006336C2"/>
    <w:rsid w:val="00636058"/>
    <w:rsid w:val="00637A50"/>
    <w:rsid w:val="00641D6D"/>
    <w:rsid w:val="0064364E"/>
    <w:rsid w:val="006438F3"/>
    <w:rsid w:val="00647907"/>
    <w:rsid w:val="00651A82"/>
    <w:rsid w:val="006525E9"/>
    <w:rsid w:val="00660A62"/>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796"/>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7780"/>
    <w:rsid w:val="0073792C"/>
    <w:rsid w:val="007516F8"/>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07CA"/>
    <w:rsid w:val="007E3412"/>
    <w:rsid w:val="007E3B6E"/>
    <w:rsid w:val="007F393D"/>
    <w:rsid w:val="008029AF"/>
    <w:rsid w:val="00802FFA"/>
    <w:rsid w:val="008102E5"/>
    <w:rsid w:val="008111B4"/>
    <w:rsid w:val="008133F0"/>
    <w:rsid w:val="00815880"/>
    <w:rsid w:val="0082322C"/>
    <w:rsid w:val="00823942"/>
    <w:rsid w:val="00827FFD"/>
    <w:rsid w:val="008532F0"/>
    <w:rsid w:val="00854535"/>
    <w:rsid w:val="00856EB3"/>
    <w:rsid w:val="00863C96"/>
    <w:rsid w:val="00864A72"/>
    <w:rsid w:val="00873E9F"/>
    <w:rsid w:val="00874047"/>
    <w:rsid w:val="008778CB"/>
    <w:rsid w:val="00881545"/>
    <w:rsid w:val="00881BE6"/>
    <w:rsid w:val="00883204"/>
    <w:rsid w:val="00883A3E"/>
    <w:rsid w:val="0088428D"/>
    <w:rsid w:val="008843E9"/>
    <w:rsid w:val="0089148D"/>
    <w:rsid w:val="00891E0D"/>
    <w:rsid w:val="008A0F36"/>
    <w:rsid w:val="008B2543"/>
    <w:rsid w:val="008B4B6E"/>
    <w:rsid w:val="008B7A14"/>
    <w:rsid w:val="008C498F"/>
    <w:rsid w:val="008D4447"/>
    <w:rsid w:val="008D7401"/>
    <w:rsid w:val="00903DF6"/>
    <w:rsid w:val="0090759C"/>
    <w:rsid w:val="00911A12"/>
    <w:rsid w:val="00911FFB"/>
    <w:rsid w:val="00921686"/>
    <w:rsid w:val="00921CF6"/>
    <w:rsid w:val="00922E9E"/>
    <w:rsid w:val="00924193"/>
    <w:rsid w:val="00924EF0"/>
    <w:rsid w:val="00934D7B"/>
    <w:rsid w:val="00935800"/>
    <w:rsid w:val="00947180"/>
    <w:rsid w:val="009567BE"/>
    <w:rsid w:val="0095701E"/>
    <w:rsid w:val="009676FA"/>
    <w:rsid w:val="009679E0"/>
    <w:rsid w:val="00977632"/>
    <w:rsid w:val="00982A8E"/>
    <w:rsid w:val="00987DB4"/>
    <w:rsid w:val="0099029D"/>
    <w:rsid w:val="00996204"/>
    <w:rsid w:val="009A26CB"/>
    <w:rsid w:val="009A2BC2"/>
    <w:rsid w:val="009A2D37"/>
    <w:rsid w:val="009A7587"/>
    <w:rsid w:val="009B0A69"/>
    <w:rsid w:val="009B4F5B"/>
    <w:rsid w:val="009B7CE1"/>
    <w:rsid w:val="009C2474"/>
    <w:rsid w:val="009C7082"/>
    <w:rsid w:val="009D0006"/>
    <w:rsid w:val="009D068C"/>
    <w:rsid w:val="009D2D0A"/>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55857"/>
    <w:rsid w:val="00A618E1"/>
    <w:rsid w:val="00A629B9"/>
    <w:rsid w:val="00A70C20"/>
    <w:rsid w:val="00A74292"/>
    <w:rsid w:val="00A776DE"/>
    <w:rsid w:val="00A80640"/>
    <w:rsid w:val="00A87FFD"/>
    <w:rsid w:val="00A97038"/>
    <w:rsid w:val="00A97CB8"/>
    <w:rsid w:val="00AA127B"/>
    <w:rsid w:val="00AA3C15"/>
    <w:rsid w:val="00AA6330"/>
    <w:rsid w:val="00AB0880"/>
    <w:rsid w:val="00AC7501"/>
    <w:rsid w:val="00AD748B"/>
    <w:rsid w:val="00AE4865"/>
    <w:rsid w:val="00AE6FC7"/>
    <w:rsid w:val="00AF50EE"/>
    <w:rsid w:val="00AF5E45"/>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17144"/>
    <w:rsid w:val="00C20873"/>
    <w:rsid w:val="00C2492F"/>
    <w:rsid w:val="00C3744A"/>
    <w:rsid w:val="00C4002A"/>
    <w:rsid w:val="00C456E5"/>
    <w:rsid w:val="00C46912"/>
    <w:rsid w:val="00C612A8"/>
    <w:rsid w:val="00C618D2"/>
    <w:rsid w:val="00C62884"/>
    <w:rsid w:val="00C67631"/>
    <w:rsid w:val="00C709C6"/>
    <w:rsid w:val="00C729D7"/>
    <w:rsid w:val="00C83354"/>
    <w:rsid w:val="00C84004"/>
    <w:rsid w:val="00C843F6"/>
    <w:rsid w:val="00C84507"/>
    <w:rsid w:val="00C862C7"/>
    <w:rsid w:val="00C866AE"/>
    <w:rsid w:val="00CA3254"/>
    <w:rsid w:val="00CB11CE"/>
    <w:rsid w:val="00CC25A2"/>
    <w:rsid w:val="00CC4C57"/>
    <w:rsid w:val="00CD7F07"/>
    <w:rsid w:val="00CE04F3"/>
    <w:rsid w:val="00CE12D8"/>
    <w:rsid w:val="00CE1A33"/>
    <w:rsid w:val="00CE4574"/>
    <w:rsid w:val="00CE70E6"/>
    <w:rsid w:val="00CF0BCA"/>
    <w:rsid w:val="00CF2E1E"/>
    <w:rsid w:val="00CF7186"/>
    <w:rsid w:val="00D02E99"/>
    <w:rsid w:val="00D13357"/>
    <w:rsid w:val="00D13A13"/>
    <w:rsid w:val="00D2689A"/>
    <w:rsid w:val="00D65506"/>
    <w:rsid w:val="00D773CF"/>
    <w:rsid w:val="00D83563"/>
    <w:rsid w:val="00D8448F"/>
    <w:rsid w:val="00DA64B6"/>
    <w:rsid w:val="00DB2B91"/>
    <w:rsid w:val="00DB5C9D"/>
    <w:rsid w:val="00DC490D"/>
    <w:rsid w:val="00DD02E6"/>
    <w:rsid w:val="00DD2E74"/>
    <w:rsid w:val="00DD7AB0"/>
    <w:rsid w:val="00DE7D74"/>
    <w:rsid w:val="00DF665B"/>
    <w:rsid w:val="00E0152A"/>
    <w:rsid w:val="00E03394"/>
    <w:rsid w:val="00E066E5"/>
    <w:rsid w:val="00E1736E"/>
    <w:rsid w:val="00E21923"/>
    <w:rsid w:val="00E22F03"/>
    <w:rsid w:val="00E233C1"/>
    <w:rsid w:val="00E24E4E"/>
    <w:rsid w:val="00E51404"/>
    <w:rsid w:val="00E574C9"/>
    <w:rsid w:val="00E610DE"/>
    <w:rsid w:val="00E66167"/>
    <w:rsid w:val="00E71F2F"/>
    <w:rsid w:val="00E77786"/>
    <w:rsid w:val="00E806FB"/>
    <w:rsid w:val="00E97A9E"/>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4513"/>
    <w:rsid w:val="00F7710E"/>
    <w:rsid w:val="00F77676"/>
    <w:rsid w:val="00F8197C"/>
    <w:rsid w:val="00F82B4E"/>
    <w:rsid w:val="00F87559"/>
    <w:rsid w:val="00F96D71"/>
    <w:rsid w:val="00F97C9E"/>
    <w:rsid w:val="00FA20DE"/>
    <w:rsid w:val="00FA2764"/>
    <w:rsid w:val="00FA4EE8"/>
    <w:rsid w:val="00FB12CA"/>
    <w:rsid w:val="00FB2E32"/>
    <w:rsid w:val="00FB36EC"/>
    <w:rsid w:val="00FB4E1B"/>
    <w:rsid w:val="00FC0291"/>
    <w:rsid w:val="00FC1C92"/>
    <w:rsid w:val="00FC217A"/>
    <w:rsid w:val="00FD333B"/>
    <w:rsid w:val="00FD689C"/>
    <w:rsid w:val="00FD705C"/>
    <w:rsid w:val="00FD777A"/>
    <w:rsid w:val="00FD798E"/>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D0A"/>
    <w:pPr>
      <w:spacing w:after="120" w:line="240" w:lineRule="auto"/>
    </w:pPr>
    <w:rPr>
      <w:rFonts w:eastAsiaTheme="minorEastAsia"/>
      <w:lang w:eastAsia="en-GB"/>
    </w:rPr>
  </w:style>
  <w:style w:type="paragraph" w:styleId="Heading1">
    <w:name w:val="heading 1"/>
    <w:basedOn w:val="Normal"/>
    <w:next w:val="Normal"/>
    <w:link w:val="Heading1Char"/>
    <w:qFormat/>
    <w:rsid w:val="009D2D0A"/>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9D2D0A"/>
    <w:pPr>
      <w:ind w:left="567" w:hanging="567"/>
      <w:outlineLvl w:val="1"/>
    </w:pPr>
  </w:style>
  <w:style w:type="paragraph" w:styleId="Heading3">
    <w:name w:val="heading 3"/>
    <w:basedOn w:val="Normal"/>
    <w:next w:val="Normal"/>
    <w:link w:val="Heading3Char"/>
    <w:uiPriority w:val="9"/>
    <w:unhideWhenUsed/>
    <w:qFormat/>
    <w:rsid w:val="009D2D0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9D2D0A"/>
    <w:pPr>
      <w:keepNext/>
      <w:keepLines/>
      <w:spacing w:before="120"/>
      <w:ind w:left="567"/>
      <w:outlineLvl w:val="3"/>
    </w:pPr>
    <w:rPr>
      <w:rFonts w:ascii="Arial" w:eastAsiaTheme="majorEastAsia" w:hAnsi="Arial" w:cstheme="majorBidi"/>
      <w:b/>
      <w:i/>
      <w:iCs/>
    </w:rPr>
  </w:style>
  <w:style w:type="paragraph" w:styleId="Heading9">
    <w:name w:val="heading 9"/>
    <w:basedOn w:val="Normal"/>
    <w:next w:val="Normal"/>
    <w:link w:val="Heading9Char"/>
    <w:uiPriority w:val="9"/>
    <w:unhideWhenUsed/>
    <w:qFormat/>
    <w:rsid w:val="009D2D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9D2D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2D0A"/>
  </w:style>
  <w:style w:type="character" w:styleId="Hyperlink">
    <w:name w:val="Hyperlink"/>
    <w:rsid w:val="009D2D0A"/>
    <w:rPr>
      <w:color w:val="0000FF"/>
      <w:u w:val="single"/>
    </w:rPr>
  </w:style>
  <w:style w:type="paragraph" w:customStyle="1" w:styleId="Default">
    <w:name w:val="Default"/>
    <w:rsid w:val="009D2D0A"/>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D2D0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D2D0A"/>
    <w:pPr>
      <w:ind w:left="720"/>
      <w:contextualSpacing/>
    </w:pPr>
  </w:style>
  <w:style w:type="paragraph" w:styleId="Header">
    <w:name w:val="header"/>
    <w:basedOn w:val="Normal"/>
    <w:link w:val="HeaderChar"/>
    <w:uiPriority w:val="99"/>
    <w:unhideWhenUsed/>
    <w:rsid w:val="009D2D0A"/>
    <w:pPr>
      <w:tabs>
        <w:tab w:val="center" w:pos="4513"/>
        <w:tab w:val="right" w:pos="9026"/>
      </w:tabs>
      <w:spacing w:after="0"/>
    </w:pPr>
  </w:style>
  <w:style w:type="character" w:customStyle="1" w:styleId="HeaderChar">
    <w:name w:val="Header Char"/>
    <w:basedOn w:val="DefaultParagraphFont"/>
    <w:link w:val="Header"/>
    <w:uiPriority w:val="99"/>
    <w:rsid w:val="009D2D0A"/>
    <w:rPr>
      <w:rFonts w:eastAsiaTheme="minorEastAsia"/>
      <w:lang w:eastAsia="en-GB"/>
    </w:rPr>
  </w:style>
  <w:style w:type="paragraph" w:styleId="Footer">
    <w:name w:val="footer"/>
    <w:basedOn w:val="Normal"/>
    <w:link w:val="FooterChar"/>
    <w:uiPriority w:val="99"/>
    <w:unhideWhenUsed/>
    <w:rsid w:val="009D2D0A"/>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9D2D0A"/>
    <w:rPr>
      <w:rFonts w:ascii="Arial" w:eastAsiaTheme="minorEastAsia" w:hAnsi="Arial"/>
      <w:sz w:val="20"/>
      <w:lang w:eastAsia="en-GB"/>
    </w:rPr>
  </w:style>
  <w:style w:type="character" w:customStyle="1" w:styleId="Heading1Char">
    <w:name w:val="Heading 1 Char"/>
    <w:basedOn w:val="DefaultParagraphFont"/>
    <w:link w:val="Heading1"/>
    <w:rsid w:val="009D2D0A"/>
    <w:rPr>
      <w:rFonts w:ascii="Plantin" w:eastAsia="Times New Roman" w:hAnsi="Plantin" w:cs="Times New Roman"/>
      <w:b/>
      <w:sz w:val="24"/>
      <w:szCs w:val="20"/>
    </w:rPr>
  </w:style>
  <w:style w:type="paragraph" w:styleId="ListBullet">
    <w:name w:val="List Bullet"/>
    <w:basedOn w:val="Normal"/>
    <w:uiPriority w:val="99"/>
    <w:unhideWhenUsed/>
    <w:rsid w:val="009D2D0A"/>
    <w:pPr>
      <w:numPr>
        <w:numId w:val="45"/>
      </w:numPr>
      <w:spacing w:before="120"/>
      <w:ind w:left="1066" w:hanging="357"/>
    </w:pPr>
    <w:rPr>
      <w:rFonts w:ascii="Arial" w:hAnsi="Arial"/>
      <w:sz w:val="24"/>
    </w:rPr>
  </w:style>
  <w:style w:type="table" w:styleId="TableGrid">
    <w:name w:val="Table Grid"/>
    <w:basedOn w:val="TableNormal"/>
    <w:uiPriority w:val="59"/>
    <w:rsid w:val="009D2D0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D2D0A"/>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9D2D0A"/>
    <w:rPr>
      <w:rFonts w:ascii="Plantin" w:eastAsia="Times New Roman" w:hAnsi="Plantin" w:cs="Times New Roman"/>
      <w:b/>
      <w:sz w:val="24"/>
      <w:szCs w:val="20"/>
    </w:rPr>
  </w:style>
  <w:style w:type="paragraph" w:styleId="FootnoteText">
    <w:name w:val="footnote text"/>
    <w:basedOn w:val="Normal"/>
    <w:link w:val="FootnoteTextChar"/>
    <w:semiHidden/>
    <w:rsid w:val="009D2D0A"/>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9D2D0A"/>
    <w:rPr>
      <w:rFonts w:ascii="Times New Roman" w:eastAsia="Times New Roman" w:hAnsi="Times New Roman" w:cs="Times New Roman"/>
      <w:sz w:val="20"/>
      <w:szCs w:val="20"/>
    </w:rPr>
  </w:style>
  <w:style w:type="character" w:styleId="FootnoteReference">
    <w:name w:val="footnote reference"/>
    <w:semiHidden/>
    <w:rsid w:val="009D2D0A"/>
    <w:rPr>
      <w:vertAlign w:val="superscript"/>
    </w:rPr>
  </w:style>
  <w:style w:type="paragraph" w:styleId="BalloonText">
    <w:name w:val="Balloon Text"/>
    <w:basedOn w:val="Normal"/>
    <w:link w:val="BalloonTextChar"/>
    <w:uiPriority w:val="99"/>
    <w:semiHidden/>
    <w:unhideWhenUsed/>
    <w:rsid w:val="009D2D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D0A"/>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9D2D0A"/>
    <w:rPr>
      <w:color w:val="800080" w:themeColor="followedHyperlink"/>
      <w:u w:val="single"/>
    </w:rPr>
  </w:style>
  <w:style w:type="character" w:styleId="CommentReference">
    <w:name w:val="annotation reference"/>
    <w:basedOn w:val="DefaultParagraphFont"/>
    <w:uiPriority w:val="99"/>
    <w:semiHidden/>
    <w:unhideWhenUsed/>
    <w:rsid w:val="009D2D0A"/>
    <w:rPr>
      <w:sz w:val="16"/>
      <w:szCs w:val="16"/>
    </w:rPr>
  </w:style>
  <w:style w:type="paragraph" w:styleId="CommentText">
    <w:name w:val="annotation text"/>
    <w:basedOn w:val="Normal"/>
    <w:link w:val="CommentTextChar"/>
    <w:uiPriority w:val="99"/>
    <w:semiHidden/>
    <w:unhideWhenUsed/>
    <w:rsid w:val="009D2D0A"/>
    <w:rPr>
      <w:sz w:val="20"/>
      <w:szCs w:val="20"/>
    </w:rPr>
  </w:style>
  <w:style w:type="character" w:customStyle="1" w:styleId="CommentTextChar">
    <w:name w:val="Comment Text Char"/>
    <w:basedOn w:val="DefaultParagraphFont"/>
    <w:link w:val="CommentText"/>
    <w:uiPriority w:val="99"/>
    <w:semiHidden/>
    <w:rsid w:val="009D2D0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9D2D0A"/>
    <w:rPr>
      <w:b/>
      <w:bCs/>
    </w:rPr>
  </w:style>
  <w:style w:type="character" w:customStyle="1" w:styleId="CommentSubjectChar">
    <w:name w:val="Comment Subject Char"/>
    <w:basedOn w:val="CommentTextChar"/>
    <w:link w:val="CommentSubject"/>
    <w:uiPriority w:val="99"/>
    <w:semiHidden/>
    <w:rsid w:val="009D2D0A"/>
    <w:rPr>
      <w:rFonts w:eastAsiaTheme="minorEastAsia"/>
      <w:b/>
      <w:bCs/>
      <w:sz w:val="20"/>
      <w:szCs w:val="20"/>
      <w:lang w:eastAsia="en-GB"/>
    </w:rPr>
  </w:style>
  <w:style w:type="table" w:customStyle="1" w:styleId="TableGrid1">
    <w:name w:val="Table Grid1"/>
    <w:basedOn w:val="TableNormal"/>
    <w:next w:val="TableGrid"/>
    <w:uiPriority w:val="59"/>
    <w:rsid w:val="009D2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9D2D0A"/>
  </w:style>
  <w:style w:type="paragraph" w:styleId="PlainText">
    <w:name w:val="Plain Text"/>
    <w:basedOn w:val="Normal"/>
    <w:link w:val="PlainTextChar"/>
    <w:uiPriority w:val="99"/>
    <w:unhideWhenUsed/>
    <w:rsid w:val="009D2D0A"/>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9D2D0A"/>
    <w:rPr>
      <w:rFonts w:ascii="Calibri" w:hAnsi="Calibri"/>
      <w:szCs w:val="21"/>
    </w:rPr>
  </w:style>
  <w:style w:type="table" w:styleId="LightList">
    <w:name w:val="Light List"/>
    <w:basedOn w:val="TableNormal"/>
    <w:uiPriority w:val="61"/>
    <w:rsid w:val="009D2D0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9D2D0A"/>
    <w:rPr>
      <w:b/>
      <w:bCs/>
    </w:rPr>
  </w:style>
  <w:style w:type="character" w:customStyle="1" w:styleId="UnresolvedMention1">
    <w:name w:val="Unresolved Mention1"/>
    <w:basedOn w:val="DefaultParagraphFont"/>
    <w:uiPriority w:val="99"/>
    <w:semiHidden/>
    <w:unhideWhenUsed/>
    <w:rsid w:val="009D2D0A"/>
    <w:rPr>
      <w:color w:val="605E5C"/>
      <w:shd w:val="clear" w:color="auto" w:fill="E1DFDD"/>
    </w:rPr>
  </w:style>
  <w:style w:type="table" w:customStyle="1" w:styleId="TableGrid11">
    <w:name w:val="Table Grid11"/>
    <w:basedOn w:val="TableNormal"/>
    <w:next w:val="TableGrid"/>
    <w:uiPriority w:val="59"/>
    <w:rsid w:val="009D2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9D2D0A"/>
    <w:pPr>
      <w:numPr>
        <w:numId w:val="44"/>
      </w:numPr>
      <w:spacing w:before="600"/>
    </w:pPr>
    <w:rPr>
      <w:rFonts w:ascii="Arial" w:hAnsi="Arial" w:cs="Arial"/>
      <w:b/>
      <w:sz w:val="24"/>
      <w:szCs w:val="24"/>
    </w:rPr>
  </w:style>
  <w:style w:type="character" w:customStyle="1" w:styleId="header2Char">
    <w:name w:val="header 2 Char"/>
    <w:basedOn w:val="DefaultParagraphFont"/>
    <w:link w:val="header2"/>
    <w:rsid w:val="009D2D0A"/>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9D2D0A"/>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9D2D0A"/>
    <w:rPr>
      <w:color w:val="605E5C"/>
      <w:shd w:val="clear" w:color="auto" w:fill="E1DFDD"/>
    </w:rPr>
  </w:style>
  <w:style w:type="paragraph" w:styleId="Revision">
    <w:name w:val="Revision"/>
    <w:hidden/>
    <w:uiPriority w:val="99"/>
    <w:semiHidden/>
    <w:rsid w:val="008843E9"/>
    <w:pPr>
      <w:spacing w:after="0" w:line="240" w:lineRule="auto"/>
    </w:pPr>
    <w:rPr>
      <w:rFonts w:eastAsiaTheme="minorEastAsia"/>
      <w:lang w:eastAsia="en-GB"/>
    </w:rPr>
  </w:style>
  <w:style w:type="paragraph" w:styleId="BodyText">
    <w:name w:val="Body Text"/>
    <w:basedOn w:val="Normal"/>
    <w:link w:val="BodyTextChar"/>
    <w:uiPriority w:val="99"/>
    <w:unhideWhenUsed/>
    <w:rsid w:val="009D2D0A"/>
    <w:pPr>
      <w:ind w:left="567"/>
    </w:pPr>
    <w:rPr>
      <w:rFonts w:ascii="Arial" w:hAnsi="Arial"/>
      <w:sz w:val="24"/>
    </w:rPr>
  </w:style>
  <w:style w:type="character" w:customStyle="1" w:styleId="BodyTextChar">
    <w:name w:val="Body Text Char"/>
    <w:basedOn w:val="DefaultParagraphFont"/>
    <w:link w:val="BodyText"/>
    <w:uiPriority w:val="99"/>
    <w:rsid w:val="009D2D0A"/>
    <w:rPr>
      <w:rFonts w:ascii="Arial" w:eastAsiaTheme="minorEastAsia" w:hAnsi="Arial"/>
      <w:sz w:val="24"/>
      <w:lang w:eastAsia="en-GB"/>
    </w:rPr>
  </w:style>
  <w:style w:type="character" w:customStyle="1" w:styleId="Heading3Char">
    <w:name w:val="Heading 3 Char"/>
    <w:basedOn w:val="DefaultParagraphFont"/>
    <w:link w:val="Heading3"/>
    <w:uiPriority w:val="9"/>
    <w:rsid w:val="009D2D0A"/>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9D2D0A"/>
    <w:rPr>
      <w:rFonts w:ascii="Arial" w:eastAsiaTheme="majorEastAsia" w:hAnsi="Arial" w:cstheme="majorBidi"/>
      <w:b/>
      <w:i/>
      <w:iCs/>
      <w:lang w:eastAsia="en-GB"/>
    </w:rPr>
  </w:style>
  <w:style w:type="paragraph" w:styleId="ListNumber2">
    <w:name w:val="List Number 2"/>
    <w:basedOn w:val="BodyText"/>
    <w:uiPriority w:val="99"/>
    <w:unhideWhenUsed/>
    <w:rsid w:val="009D2D0A"/>
    <w:pPr>
      <w:ind w:left="1021" w:hanging="454"/>
    </w:pPr>
  </w:style>
  <w:style w:type="paragraph" w:styleId="ListNumber3">
    <w:name w:val="List Number 3"/>
    <w:basedOn w:val="Normal"/>
    <w:uiPriority w:val="99"/>
    <w:unhideWhenUsed/>
    <w:rsid w:val="009D2D0A"/>
    <w:pPr>
      <w:numPr>
        <w:numId w:val="46"/>
      </w:numPr>
      <w:spacing w:before="120" w:after="240"/>
    </w:pPr>
    <w:rPr>
      <w:rFonts w:ascii="Arial" w:hAnsi="Arial"/>
      <w:sz w:val="24"/>
    </w:rPr>
  </w:style>
  <w:style w:type="paragraph" w:customStyle="1" w:styleId="Tableanswer">
    <w:name w:val="Table answer"/>
    <w:basedOn w:val="Normal"/>
    <w:qFormat/>
    <w:rsid w:val="009D2D0A"/>
    <w:pPr>
      <w:spacing w:before="40" w:after="40"/>
    </w:pPr>
    <w:rPr>
      <w:rFonts w:ascii="Arial" w:eastAsiaTheme="minorHAnsi" w:hAnsi="Arial" w:cs="Arial"/>
      <w:bCs/>
      <w:lang w:eastAsia="en-US"/>
    </w:rPr>
  </w:style>
  <w:style w:type="paragraph" w:customStyle="1" w:styleId="Tabledivuseonly">
    <w:name w:val="Table div use only"/>
    <w:basedOn w:val="Normal"/>
    <w:qFormat/>
    <w:rsid w:val="009D2D0A"/>
    <w:rPr>
      <w:rFonts w:ascii="Arial" w:hAnsi="Arial" w:cs="Arial"/>
      <w:sz w:val="20"/>
      <w:szCs w:val="20"/>
    </w:rPr>
  </w:style>
  <w:style w:type="paragraph" w:customStyle="1" w:styleId="Tableoutcomecrosses">
    <w:name w:val="Table outcome crosses"/>
    <w:basedOn w:val="Normal"/>
    <w:qFormat/>
    <w:rsid w:val="009D2D0A"/>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9D2D0A"/>
    <w:pPr>
      <w:spacing w:before="60" w:after="60"/>
      <w:ind w:left="34"/>
    </w:pPr>
    <w:rPr>
      <w:rFonts w:ascii="Arial" w:hAnsi="Arial" w:cs="Arial"/>
      <w:b/>
      <w:sz w:val="20"/>
      <w:szCs w:val="20"/>
    </w:rPr>
  </w:style>
  <w:style w:type="paragraph" w:customStyle="1" w:styleId="Tableoutcomeshead">
    <w:name w:val="Table outcomes head"/>
    <w:basedOn w:val="Normal"/>
    <w:qFormat/>
    <w:rsid w:val="009D2D0A"/>
    <w:rPr>
      <w:rFonts w:ascii="Arial" w:hAnsi="Arial" w:cs="Arial"/>
      <w:b/>
      <w:sz w:val="20"/>
      <w:szCs w:val="20"/>
    </w:rPr>
  </w:style>
  <w:style w:type="character" w:customStyle="1" w:styleId="Heading9Char">
    <w:name w:val="Heading 9 Char"/>
    <w:basedOn w:val="DefaultParagraphFont"/>
    <w:link w:val="Heading9"/>
    <w:uiPriority w:val="9"/>
    <w:rsid w:val="009D2D0A"/>
    <w:rPr>
      <w:rFonts w:asciiTheme="majorHAnsi" w:eastAsiaTheme="majorEastAsia" w:hAnsiTheme="majorHAnsi" w:cstheme="majorBidi"/>
      <w:i/>
      <w:iCs/>
      <w:color w:val="272727" w:themeColor="text1" w:themeTint="D8"/>
      <w:sz w:val="21"/>
      <w:szCs w:val="21"/>
      <w:lang w:eastAsia="en-GB"/>
    </w:rPr>
  </w:style>
  <w:style w:type="paragraph" w:styleId="BodyTextFirstIndent">
    <w:name w:val="Body Text First Indent"/>
    <w:basedOn w:val="BodyText"/>
    <w:link w:val="BodyTextFirstIndentChar"/>
    <w:uiPriority w:val="99"/>
    <w:unhideWhenUsed/>
    <w:rsid w:val="007516F8"/>
    <w:pPr>
      <w:ind w:left="0" w:firstLine="360"/>
    </w:pPr>
    <w:rPr>
      <w:rFonts w:asciiTheme="minorHAnsi" w:hAnsiTheme="minorHAnsi"/>
      <w:sz w:val="22"/>
    </w:rPr>
  </w:style>
  <w:style w:type="character" w:customStyle="1" w:styleId="BodyTextFirstIndentChar">
    <w:name w:val="Body Text First Indent Char"/>
    <w:basedOn w:val="BodyTextChar"/>
    <w:link w:val="BodyTextFirstIndent"/>
    <w:uiPriority w:val="99"/>
    <w:rsid w:val="007516F8"/>
    <w:rPr>
      <w:rFonts w:ascii="Arial" w:eastAsiaTheme="minorEastAsia" w:hAnsi="Arial"/>
      <w:sz w:val="24"/>
      <w:lang w:eastAsia="en-GB"/>
    </w:rPr>
  </w:style>
  <w:style w:type="paragraph" w:styleId="BodyTextIndent">
    <w:name w:val="Body Text Indent"/>
    <w:basedOn w:val="Normal"/>
    <w:link w:val="BodyTextIndentChar"/>
    <w:uiPriority w:val="99"/>
    <w:unhideWhenUsed/>
    <w:rsid w:val="007516F8"/>
    <w:pPr>
      <w:ind w:left="1134" w:right="1134"/>
    </w:pPr>
    <w:rPr>
      <w:rFonts w:ascii="Arial" w:hAnsi="Arial"/>
      <w:sz w:val="24"/>
    </w:rPr>
  </w:style>
  <w:style w:type="character" w:customStyle="1" w:styleId="BodyTextIndentChar">
    <w:name w:val="Body Text Indent Char"/>
    <w:basedOn w:val="DefaultParagraphFont"/>
    <w:link w:val="BodyTextIndent"/>
    <w:uiPriority w:val="99"/>
    <w:rsid w:val="007516F8"/>
    <w:rPr>
      <w:rFonts w:ascii="Arial" w:eastAsiaTheme="minorEastAsia" w:hAnsi="Arial"/>
      <w:sz w:val="24"/>
      <w:lang w:eastAsia="en-GB"/>
    </w:rPr>
  </w:style>
  <w:style w:type="paragraph" w:styleId="BodyText2">
    <w:name w:val="Body Text 2"/>
    <w:basedOn w:val="Normal"/>
    <w:link w:val="BodyText2Char"/>
    <w:uiPriority w:val="99"/>
    <w:unhideWhenUsed/>
    <w:rsid w:val="007516F8"/>
    <w:pPr>
      <w:spacing w:line="480" w:lineRule="auto"/>
    </w:pPr>
  </w:style>
  <w:style w:type="character" w:customStyle="1" w:styleId="BodyText2Char">
    <w:name w:val="Body Text 2 Char"/>
    <w:basedOn w:val="DefaultParagraphFont"/>
    <w:link w:val="BodyText2"/>
    <w:uiPriority w:val="99"/>
    <w:rsid w:val="007516F8"/>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ew.officeapps.live.com/op/view.aspx?src=https%3A%2F%2Fwww.kent.ac.uk%2Feducation%2Fdocuments%2Fcode-of-practice-taught%2Fcode-of-practice-taught-annex-q.docx&amp;wdOrigin=BROWSELI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993D8-F6EC-4AD3-8DD3-6E34979B3F63}"/>
</file>

<file path=customXml/itemProps2.xml><?xml version="1.0" encoding="utf-8"?>
<ds:datastoreItem xmlns:ds="http://schemas.openxmlformats.org/officeDocument/2006/customXml" ds:itemID="{700A817E-F7AA-4896-A181-48A2A5B15F96}">
  <ds:schemaRefs>
    <ds:schemaRef ds:uri="http://schemas.microsoft.com/office/2006/metadata/properties"/>
    <ds:schemaRef ds:uri="http://schemas.microsoft.com/office/infopath/2007/PartnerControls"/>
    <ds:schemaRef ds:uri="38c837cb-b56f-40c5-bbb0-effb01650ca7"/>
  </ds:schemaRefs>
</ds:datastoreItem>
</file>

<file path=customXml/itemProps3.xml><?xml version="1.0" encoding="utf-8"?>
<ds:datastoreItem xmlns:ds="http://schemas.openxmlformats.org/officeDocument/2006/customXml" ds:itemID="{15549172-21C4-47FC-98A9-83C8E5D6D92A}">
  <ds:schemaRefs>
    <ds:schemaRef ds:uri="http://schemas.microsoft.com/sharepoint/v3/contenttype/forms"/>
  </ds:schemaRefs>
</ds:datastoreItem>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2022-11-24T10:14:00Z</dcterms:created>
  <dcterms:modified xsi:type="dcterms:W3CDTF">2023-01-31T15:03:00Z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