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B53A07">
      <w:pPr>
        <w:pStyle w:val="Heading2"/>
        <w:spacing w:before="0"/>
      </w:pPr>
      <w:bookmarkStart w:id="0" w:name="_Hlk110345875"/>
      <w:r>
        <w:t>KentVision Code and t</w:t>
      </w:r>
      <w:r w:rsidR="009A2D37" w:rsidRPr="00072357">
        <w:t>itle of the module</w:t>
      </w:r>
    </w:p>
    <w:p w14:paraId="53DD716D" w14:textId="23269063" w:rsidR="00694B52" w:rsidRPr="009D52D0" w:rsidRDefault="001006FC" w:rsidP="00FF34D0">
      <w:pPr>
        <w:pStyle w:val="BodyText"/>
      </w:pPr>
      <w:bookmarkStart w:id="1" w:name="_Hlk120021983"/>
      <w:bookmarkEnd w:id="0"/>
      <w:r>
        <w:t xml:space="preserve">PSYC8640 </w:t>
      </w:r>
      <w:r w:rsidRPr="001006FC">
        <w:t>Current Issues in Cognitive Psychology and Neuropsychology</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116DD2D9" w:rsidR="000B128D" w:rsidRPr="000B128D" w:rsidRDefault="001006FC" w:rsidP="000B128D">
      <w:pPr>
        <w:pStyle w:val="BodyText"/>
      </w:pPr>
      <w:r>
        <w:t>Division of Human and Social Sciences, School of Psychology</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514014E6" w:rsidR="000B128D" w:rsidRPr="000B128D" w:rsidRDefault="001006FC"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3EBA4FFA" w:rsidR="000B128D" w:rsidRPr="000B128D" w:rsidRDefault="001006FC" w:rsidP="000B128D">
      <w:pPr>
        <w:pStyle w:val="BodyText"/>
      </w:pPr>
      <w:r w:rsidRPr="001006FC">
        <w:t>20 (10 ECTS)</w:t>
      </w:r>
    </w:p>
    <w:p w14:paraId="0A7DD2EB" w14:textId="614CFBF9" w:rsidR="009A2D37" w:rsidRDefault="009A2D37" w:rsidP="00072357">
      <w:pPr>
        <w:pStyle w:val="Heading2"/>
      </w:pPr>
      <w:r w:rsidRPr="009D52D0">
        <w:t>Which term(s) the module is to be taught in (or other teaching pattern)</w:t>
      </w:r>
    </w:p>
    <w:p w14:paraId="616B75EB" w14:textId="32EF6009" w:rsidR="000B128D" w:rsidRPr="000B128D" w:rsidRDefault="001006FC" w:rsidP="000B128D">
      <w:pPr>
        <w:pStyle w:val="BodyText"/>
      </w:pPr>
      <w:r w:rsidRPr="001006FC">
        <w:t>Autumn or 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6FC1969C" w:rsidR="000B128D" w:rsidRPr="000B128D" w:rsidRDefault="001006FC"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B53A07">
      <w:pPr>
        <w:pStyle w:val="Heading4"/>
        <w:spacing w:before="120"/>
      </w:pPr>
      <w:r>
        <w:t>Compulsory to the following courses:</w:t>
      </w:r>
    </w:p>
    <w:p w14:paraId="2D6A0893" w14:textId="433832B5" w:rsidR="000B128D" w:rsidRDefault="001006FC" w:rsidP="00726225">
      <w:pPr>
        <w:pStyle w:val="ListBullet"/>
      </w:pPr>
      <w:r>
        <w:t xml:space="preserve">MSc </w:t>
      </w:r>
      <w:r w:rsidRPr="001006FC">
        <w:t>Cognitive Psychology/Neuropsychology</w:t>
      </w:r>
    </w:p>
    <w:p w14:paraId="49396994" w14:textId="308D079E" w:rsidR="00E1736E" w:rsidRDefault="00E1736E" w:rsidP="00726225">
      <w:pPr>
        <w:pStyle w:val="Heading4"/>
      </w:pPr>
      <w:r>
        <w:t>Optional to the following courses:</w:t>
      </w:r>
    </w:p>
    <w:p w14:paraId="6DF201BB" w14:textId="5132BFC9" w:rsidR="00726225" w:rsidRDefault="001006FC" w:rsidP="001006FC">
      <w:pPr>
        <w:pStyle w:val="ListBullet"/>
      </w:pPr>
      <w:r>
        <w:t>None</w:t>
      </w:r>
    </w:p>
    <w:p w14:paraId="256A8AC3" w14:textId="15B69E9A"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49B20461" w14:textId="32BA2215" w:rsidR="001006FC" w:rsidRDefault="001006FC" w:rsidP="001006FC">
      <w:pPr>
        <w:pStyle w:val="BodyText"/>
        <w:ind w:left="1017" w:hanging="450"/>
      </w:pPr>
      <w:r>
        <w:t>8.1</w:t>
      </w:r>
      <w:r>
        <w:tab/>
        <w:t>Understand the core areas of concern in cognitive psychology and neuropsychology   (such as vision, memory and language)</w:t>
      </w:r>
    </w:p>
    <w:p w14:paraId="19EF3CA2" w14:textId="6FEC87CD" w:rsidR="001006FC" w:rsidRPr="001006FC" w:rsidRDefault="001006FC" w:rsidP="001006FC">
      <w:pPr>
        <w:pStyle w:val="BodyText"/>
        <w:ind w:left="1017" w:hanging="450"/>
      </w:pPr>
      <w:r>
        <w:t>8.2</w:t>
      </w:r>
      <w:r>
        <w:tab/>
        <w:t>Understand the practice and significance of interdisciplinary cooperation, and the role of cross-domain constraint satisfaction in furthering scientific discovery in the different areas of cognitive psychology and neuropsychology.</w:t>
      </w:r>
    </w:p>
    <w:p w14:paraId="09DF9488" w14:textId="22F46AEC" w:rsidR="003D2999" w:rsidRDefault="003D2999" w:rsidP="008A1A4E">
      <w:pPr>
        <w:pStyle w:val="ListNumber2"/>
      </w:pPr>
    </w:p>
    <w:p w14:paraId="035A14B0" w14:textId="6022A7CD" w:rsidR="00C729D7" w:rsidRDefault="009A2D37" w:rsidP="00B53A07">
      <w:pPr>
        <w:pStyle w:val="Heading2"/>
        <w:spacing w:before="0"/>
      </w:pPr>
      <w:r w:rsidRPr="009D52D0">
        <w:t>The intended generic learning outcomes</w:t>
      </w:r>
      <w:r w:rsidR="00C729D7" w:rsidRPr="009D52D0">
        <w:t>.</w:t>
      </w:r>
      <w:r w:rsidR="00C729D7" w:rsidRPr="009D52D0">
        <w:br/>
        <w:t>On successfully completing the module students will be able to:</w:t>
      </w:r>
    </w:p>
    <w:p w14:paraId="68B42BFC" w14:textId="57B516D6" w:rsidR="001006FC" w:rsidRDefault="001006FC" w:rsidP="001006FC">
      <w:pPr>
        <w:pStyle w:val="BodyText"/>
        <w:ind w:left="1017" w:hanging="450"/>
      </w:pPr>
      <w:r>
        <w:t xml:space="preserve">9.1 </w:t>
      </w:r>
      <w:r>
        <w:tab/>
        <w:t>Acquiring the critical and analytical skills in dealing with one’s own and others’ theoretical ideas and empirical research (from a range of disciplines).</w:t>
      </w:r>
    </w:p>
    <w:p w14:paraId="505478DE" w14:textId="5939EF6D" w:rsidR="001006FC" w:rsidRDefault="001006FC" w:rsidP="001006FC">
      <w:pPr>
        <w:pStyle w:val="BodyText"/>
        <w:ind w:left="1017" w:hanging="450"/>
      </w:pPr>
      <w:r>
        <w:t xml:space="preserve">9.2 </w:t>
      </w:r>
      <w:r>
        <w:tab/>
        <w:t>The ability to develop coherent arguments and to evaluate critically and reconstruct flexibly in the light of one’s own and others’ feedback.</w:t>
      </w:r>
    </w:p>
    <w:p w14:paraId="48D19B82" w14:textId="1EA300B7" w:rsidR="001006FC" w:rsidRDefault="001006FC" w:rsidP="001006FC">
      <w:pPr>
        <w:pStyle w:val="BodyText"/>
        <w:ind w:left="1017" w:hanging="450"/>
      </w:pPr>
      <w:r>
        <w:t xml:space="preserve">9.3 </w:t>
      </w:r>
      <w:r>
        <w:tab/>
        <w:t>Developing the ability to communicate criticism, analyses, and arguments effectively and efficiently.</w:t>
      </w:r>
    </w:p>
    <w:p w14:paraId="2C8C45B5" w14:textId="347A243B" w:rsidR="001006FC" w:rsidRPr="001006FC" w:rsidRDefault="001006FC" w:rsidP="001006FC">
      <w:pPr>
        <w:pStyle w:val="BodyText"/>
        <w:ind w:left="1017" w:hanging="450"/>
      </w:pPr>
      <w:r>
        <w:t xml:space="preserve">9.4 </w:t>
      </w:r>
      <w:r>
        <w:tab/>
        <w:t>Extending their ability to communicate effectively and efficiently through different means</w:t>
      </w:r>
      <w:r w:rsidR="00B53A07">
        <w:t>.</w:t>
      </w:r>
    </w:p>
    <w:p w14:paraId="73386C6A" w14:textId="56366AB2" w:rsidR="009A2D37" w:rsidRDefault="009A2D37" w:rsidP="00072357">
      <w:pPr>
        <w:pStyle w:val="Heading2"/>
      </w:pPr>
      <w:r w:rsidRPr="009D52D0">
        <w:t>A synopsis of the curriculum</w:t>
      </w:r>
    </w:p>
    <w:p w14:paraId="00A8018A" w14:textId="5CB504B3" w:rsidR="003D2999" w:rsidRPr="003D2999" w:rsidRDefault="001006FC" w:rsidP="00DD1829">
      <w:pPr>
        <w:pStyle w:val="BodyText"/>
        <w:jc w:val="both"/>
      </w:pPr>
      <w:r w:rsidRPr="001006FC">
        <w:t>The course provides a coherent base for understanding the methodological and theoretical issues that are currently considered important in the study of cognitive psychology and neuropsychology. Students will be shown how to critically appraise the philosophical and theoretical underpinnings of the various disciplines that comprise cognitive psychology and neuropsychology, and to evaluate how these disciplines may successfully be combined to further scientific understanding of the core problems in cognitive psychology and neuropsychology today. A selection of material from areas such as vision, learning, memory, language, reasoning, emotion will be referred to in order to examine the relationship between brain and mind, the modularity of brain and mind, and the notion of different levels/frameworks of description and explanation.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75037DAA"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1006FC">
        <w:t>178</w:t>
      </w:r>
    </w:p>
    <w:p w14:paraId="3BE5E6D9" w14:textId="3A2317D9" w:rsidR="00636058" w:rsidRPr="00636058" w:rsidRDefault="00636058" w:rsidP="003D2999">
      <w:pPr>
        <w:pStyle w:val="BodyText"/>
      </w:pPr>
      <w:r w:rsidRPr="00636058">
        <w:t>Contact Hours</w:t>
      </w:r>
      <w:r w:rsidR="003D2999">
        <w:t>:</w:t>
      </w:r>
      <w:r w:rsidR="003D2999">
        <w:tab/>
      </w:r>
      <w:r w:rsidR="003D2999">
        <w:tab/>
      </w:r>
      <w:r w:rsidR="003D2999">
        <w:tab/>
      </w:r>
      <w:r w:rsidR="00B53A07">
        <w:t xml:space="preserve">  </w:t>
      </w:r>
      <w:r w:rsidR="001006FC">
        <w:t>22</w:t>
      </w:r>
    </w:p>
    <w:p w14:paraId="260000FF" w14:textId="4CEF8F4E"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1006FC">
        <w:t>200</w:t>
      </w:r>
    </w:p>
    <w:p w14:paraId="1C49B47B" w14:textId="77777777" w:rsidR="00B2615D" w:rsidRPr="00B2615D" w:rsidRDefault="00EF4933" w:rsidP="00072357">
      <w:pPr>
        <w:pStyle w:val="Heading2"/>
        <w:rPr>
          <w:i/>
          <w:iCs/>
        </w:rPr>
      </w:pPr>
      <w:r w:rsidRPr="009D52D0">
        <w:lastRenderedPageBreak/>
        <w:t>Assessment methods</w:t>
      </w:r>
    </w:p>
    <w:p w14:paraId="7F14E902" w14:textId="1D598844" w:rsidR="00696FF5" w:rsidRPr="001006FC" w:rsidRDefault="00696FF5" w:rsidP="00256400">
      <w:pPr>
        <w:pStyle w:val="ListNumber3"/>
        <w:numPr>
          <w:ilvl w:val="1"/>
          <w:numId w:val="23"/>
        </w:numPr>
        <w:rPr>
          <w:b/>
          <w:i/>
        </w:rPr>
      </w:pPr>
      <w:r w:rsidRPr="00B2615D">
        <w:t>Main assessment methods</w:t>
      </w:r>
    </w:p>
    <w:p w14:paraId="0ECD65E2" w14:textId="370CB5FF" w:rsidR="001006FC" w:rsidRDefault="001006FC" w:rsidP="00B53A07">
      <w:pPr>
        <w:pStyle w:val="BodyText"/>
        <w:spacing w:before="80" w:after="80"/>
      </w:pPr>
      <w:r>
        <w:t>Essay 1 – 70%</w:t>
      </w:r>
    </w:p>
    <w:p w14:paraId="5DC78350" w14:textId="7DAEB8F9" w:rsidR="001006FC" w:rsidRDefault="001006FC" w:rsidP="00B53A07">
      <w:pPr>
        <w:pStyle w:val="BodyText"/>
        <w:spacing w:before="80" w:after="80"/>
      </w:pPr>
      <w:r>
        <w:t>Essay 2 – 30%</w:t>
      </w:r>
    </w:p>
    <w:p w14:paraId="30CD4135" w14:textId="3DB29408" w:rsidR="00A93EEF" w:rsidRPr="00B2615D" w:rsidRDefault="001006FC" w:rsidP="00B53A07">
      <w:pPr>
        <w:pStyle w:val="BodyText"/>
        <w:spacing w:before="80" w:after="80"/>
        <w:rPr>
          <w:b/>
          <w:i/>
        </w:rPr>
      </w:pPr>
      <w:r>
        <w:t xml:space="preserve">Both essays have a combined volume of up to 4,000 words </w:t>
      </w:r>
    </w:p>
    <w:p w14:paraId="3DA1BBE3" w14:textId="1CB7B16A" w:rsidR="00696FF5" w:rsidRDefault="00696FF5" w:rsidP="00256400">
      <w:pPr>
        <w:pStyle w:val="ListNumber3"/>
        <w:numPr>
          <w:ilvl w:val="1"/>
          <w:numId w:val="23"/>
        </w:numPr>
      </w:pPr>
      <w:r w:rsidRPr="009D52D0">
        <w:t>Reassessment methods</w:t>
      </w:r>
    </w:p>
    <w:p w14:paraId="4DD91998" w14:textId="2673393A" w:rsidR="00256400" w:rsidRPr="009D52D0" w:rsidRDefault="00A93EEF" w:rsidP="00256400">
      <w:pPr>
        <w:pStyle w:val="BodyText"/>
      </w:pPr>
      <w:r>
        <w:t>Like-for-Like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B53A07">
      <w:pPr>
        <w:spacing w:before="360" w:after="360" w:line="240" w:lineRule="auto"/>
        <w:ind w:left="567" w:right="544"/>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A93EEF" w:rsidRPr="009D52D0" w14:paraId="5413EC92" w14:textId="77777777" w:rsidTr="00A93EEF">
        <w:trPr>
          <w:cantSplit/>
          <w:tblHeader/>
        </w:trPr>
        <w:tc>
          <w:tcPr>
            <w:tcW w:w="2439" w:type="dxa"/>
            <w:shd w:val="clear" w:color="auto" w:fill="D9D9D9" w:themeFill="background1" w:themeFillShade="D9"/>
          </w:tcPr>
          <w:p w14:paraId="140365DD" w14:textId="77777777" w:rsidR="00A93EEF" w:rsidRPr="009D52D0" w:rsidRDefault="00A93EEF" w:rsidP="00AD1300">
            <w:pPr>
              <w:pStyle w:val="Tableoutcomesideheadings"/>
            </w:pPr>
            <w:r w:rsidRPr="009D52D0">
              <w:t>Module learning outcome</w:t>
            </w:r>
          </w:p>
        </w:tc>
        <w:tc>
          <w:tcPr>
            <w:tcW w:w="567" w:type="dxa"/>
          </w:tcPr>
          <w:p w14:paraId="6167848F" w14:textId="77777777" w:rsidR="00A93EEF" w:rsidRPr="009D52D0" w:rsidRDefault="00A93EEF" w:rsidP="00AD1300">
            <w:pPr>
              <w:pStyle w:val="Tableoutcomeshead"/>
            </w:pPr>
            <w:r w:rsidRPr="009D52D0">
              <w:t>8.1</w:t>
            </w:r>
          </w:p>
        </w:tc>
        <w:tc>
          <w:tcPr>
            <w:tcW w:w="567" w:type="dxa"/>
          </w:tcPr>
          <w:p w14:paraId="5B554168" w14:textId="77777777" w:rsidR="00A93EEF" w:rsidRPr="009D52D0" w:rsidRDefault="00A93EEF" w:rsidP="00AD1300">
            <w:pPr>
              <w:pStyle w:val="Tableoutcomeshead"/>
            </w:pPr>
            <w:r w:rsidRPr="009D52D0">
              <w:t>8.2</w:t>
            </w:r>
          </w:p>
        </w:tc>
        <w:tc>
          <w:tcPr>
            <w:tcW w:w="567" w:type="dxa"/>
          </w:tcPr>
          <w:p w14:paraId="3B577D4A" w14:textId="77777777" w:rsidR="00A93EEF" w:rsidRPr="009D52D0" w:rsidRDefault="00A93EEF" w:rsidP="00AD1300">
            <w:pPr>
              <w:pStyle w:val="Tableoutcomeshead"/>
            </w:pPr>
            <w:r w:rsidRPr="009D52D0">
              <w:t>9.1</w:t>
            </w:r>
          </w:p>
        </w:tc>
        <w:tc>
          <w:tcPr>
            <w:tcW w:w="567" w:type="dxa"/>
          </w:tcPr>
          <w:p w14:paraId="266E4126" w14:textId="77777777" w:rsidR="00A93EEF" w:rsidRPr="009D52D0" w:rsidRDefault="00A93EEF" w:rsidP="00AD1300">
            <w:pPr>
              <w:pStyle w:val="Tableoutcomeshead"/>
            </w:pPr>
            <w:r w:rsidRPr="009D52D0">
              <w:t>9.2</w:t>
            </w:r>
          </w:p>
        </w:tc>
        <w:tc>
          <w:tcPr>
            <w:tcW w:w="567" w:type="dxa"/>
          </w:tcPr>
          <w:p w14:paraId="6EC60A4C" w14:textId="77777777" w:rsidR="00A93EEF" w:rsidRPr="009D52D0" w:rsidRDefault="00A93EEF" w:rsidP="00AD1300">
            <w:pPr>
              <w:pStyle w:val="Tableoutcomeshead"/>
            </w:pPr>
            <w:r w:rsidRPr="009D52D0">
              <w:t>9.3</w:t>
            </w:r>
          </w:p>
        </w:tc>
        <w:tc>
          <w:tcPr>
            <w:tcW w:w="567" w:type="dxa"/>
          </w:tcPr>
          <w:p w14:paraId="3E85E7FE" w14:textId="77777777" w:rsidR="00A93EEF" w:rsidRPr="009D52D0" w:rsidRDefault="00A93EEF" w:rsidP="00AD1300">
            <w:pPr>
              <w:pStyle w:val="Tableoutcomeshead"/>
            </w:pPr>
            <w:r w:rsidRPr="009D52D0">
              <w:t>9.4</w:t>
            </w:r>
          </w:p>
        </w:tc>
      </w:tr>
      <w:tr w:rsidR="00A93EEF" w:rsidRPr="009D52D0" w14:paraId="780DC4A5" w14:textId="77777777" w:rsidTr="00A93EEF">
        <w:tc>
          <w:tcPr>
            <w:tcW w:w="2439" w:type="dxa"/>
          </w:tcPr>
          <w:p w14:paraId="16F79E00" w14:textId="77777777" w:rsidR="00A93EEF" w:rsidRPr="009D52D0" w:rsidRDefault="00A93EEF" w:rsidP="00AD1300">
            <w:pPr>
              <w:pStyle w:val="Tableoutcomesideheadings"/>
            </w:pPr>
            <w:r w:rsidRPr="009D52D0">
              <w:t>Private Study</w:t>
            </w:r>
          </w:p>
        </w:tc>
        <w:tc>
          <w:tcPr>
            <w:tcW w:w="567" w:type="dxa"/>
          </w:tcPr>
          <w:p w14:paraId="34752F0E" w14:textId="499855F7" w:rsidR="00A93EEF" w:rsidRPr="009D52D0" w:rsidRDefault="00A93EEF" w:rsidP="00AD1300">
            <w:pPr>
              <w:pStyle w:val="Tableoutcomecrosses"/>
              <w:rPr>
                <w:b/>
              </w:rPr>
            </w:pPr>
            <w:r>
              <w:rPr>
                <w:b/>
              </w:rPr>
              <w:t>x</w:t>
            </w:r>
          </w:p>
        </w:tc>
        <w:tc>
          <w:tcPr>
            <w:tcW w:w="567" w:type="dxa"/>
          </w:tcPr>
          <w:p w14:paraId="0E9B09C0" w14:textId="7426BFFE" w:rsidR="00A93EEF" w:rsidRPr="009D52D0" w:rsidRDefault="00A93EEF" w:rsidP="00AD1300">
            <w:pPr>
              <w:pStyle w:val="Tableoutcomecrosses"/>
              <w:rPr>
                <w:b/>
              </w:rPr>
            </w:pPr>
            <w:r>
              <w:rPr>
                <w:b/>
              </w:rPr>
              <w:t>x</w:t>
            </w:r>
          </w:p>
        </w:tc>
        <w:tc>
          <w:tcPr>
            <w:tcW w:w="567" w:type="dxa"/>
          </w:tcPr>
          <w:p w14:paraId="2A716802" w14:textId="77777777" w:rsidR="00A93EEF" w:rsidRPr="009D52D0" w:rsidRDefault="00A93EEF" w:rsidP="00AD1300">
            <w:pPr>
              <w:pStyle w:val="Tableoutcomecrosses"/>
              <w:rPr>
                <w:b/>
              </w:rPr>
            </w:pPr>
          </w:p>
        </w:tc>
        <w:tc>
          <w:tcPr>
            <w:tcW w:w="567" w:type="dxa"/>
          </w:tcPr>
          <w:p w14:paraId="5BAFD1A4" w14:textId="0DA06D43" w:rsidR="00A93EEF" w:rsidRPr="009D52D0" w:rsidRDefault="00A93EEF" w:rsidP="00AD1300">
            <w:pPr>
              <w:pStyle w:val="Tableoutcomecrosses"/>
              <w:rPr>
                <w:b/>
              </w:rPr>
            </w:pPr>
            <w:r>
              <w:rPr>
                <w:b/>
              </w:rPr>
              <w:t>x</w:t>
            </w:r>
          </w:p>
        </w:tc>
        <w:tc>
          <w:tcPr>
            <w:tcW w:w="567" w:type="dxa"/>
          </w:tcPr>
          <w:p w14:paraId="030A7445" w14:textId="5E8C4BBA" w:rsidR="00A93EEF" w:rsidRPr="009D52D0" w:rsidRDefault="00A93EEF" w:rsidP="00AD1300">
            <w:pPr>
              <w:pStyle w:val="Tableoutcomecrosses"/>
              <w:rPr>
                <w:b/>
              </w:rPr>
            </w:pPr>
            <w:r>
              <w:rPr>
                <w:b/>
              </w:rPr>
              <w:t>x</w:t>
            </w:r>
          </w:p>
        </w:tc>
        <w:tc>
          <w:tcPr>
            <w:tcW w:w="567" w:type="dxa"/>
          </w:tcPr>
          <w:p w14:paraId="431B3FED" w14:textId="77777777" w:rsidR="00A93EEF" w:rsidRPr="009D52D0" w:rsidRDefault="00A93EEF" w:rsidP="00AD1300">
            <w:pPr>
              <w:pStyle w:val="Tableoutcomecrosses"/>
              <w:rPr>
                <w:b/>
              </w:rPr>
            </w:pPr>
          </w:p>
        </w:tc>
      </w:tr>
      <w:tr w:rsidR="00A93EEF" w:rsidRPr="009D52D0" w14:paraId="5C50A519" w14:textId="77777777" w:rsidTr="00A93EEF">
        <w:tc>
          <w:tcPr>
            <w:tcW w:w="2439" w:type="dxa"/>
          </w:tcPr>
          <w:p w14:paraId="433DE3A7" w14:textId="3ED801EF" w:rsidR="00A93EEF" w:rsidRPr="00AD1300" w:rsidRDefault="00A93EEF" w:rsidP="00AD1300">
            <w:pPr>
              <w:pStyle w:val="Tableoutcomesideheadings"/>
              <w:rPr>
                <w:iCs/>
              </w:rPr>
            </w:pPr>
            <w:r>
              <w:rPr>
                <w:iCs/>
              </w:rPr>
              <w:t>Lectures/Seminars</w:t>
            </w:r>
          </w:p>
        </w:tc>
        <w:tc>
          <w:tcPr>
            <w:tcW w:w="567" w:type="dxa"/>
          </w:tcPr>
          <w:p w14:paraId="3853654B" w14:textId="4741F4BD" w:rsidR="00A93EEF" w:rsidRPr="009D52D0" w:rsidRDefault="00A93EEF" w:rsidP="00AD1300">
            <w:pPr>
              <w:pStyle w:val="Tableoutcomecrosses"/>
              <w:rPr>
                <w:b/>
              </w:rPr>
            </w:pPr>
            <w:r>
              <w:rPr>
                <w:b/>
              </w:rPr>
              <w:t>x</w:t>
            </w:r>
          </w:p>
        </w:tc>
        <w:tc>
          <w:tcPr>
            <w:tcW w:w="567" w:type="dxa"/>
          </w:tcPr>
          <w:p w14:paraId="7261D01A" w14:textId="4856CC27" w:rsidR="00A93EEF" w:rsidRPr="009D52D0" w:rsidRDefault="00A93EEF" w:rsidP="00AD1300">
            <w:pPr>
              <w:pStyle w:val="Tableoutcomecrosses"/>
              <w:rPr>
                <w:b/>
              </w:rPr>
            </w:pPr>
            <w:r>
              <w:rPr>
                <w:b/>
              </w:rPr>
              <w:t>x</w:t>
            </w:r>
          </w:p>
        </w:tc>
        <w:tc>
          <w:tcPr>
            <w:tcW w:w="567" w:type="dxa"/>
          </w:tcPr>
          <w:p w14:paraId="2AE9F109" w14:textId="44E2D7AC" w:rsidR="00A93EEF" w:rsidRPr="009D52D0" w:rsidRDefault="00A93EEF" w:rsidP="00AD1300">
            <w:pPr>
              <w:pStyle w:val="Tableoutcomecrosses"/>
              <w:rPr>
                <w:b/>
              </w:rPr>
            </w:pPr>
            <w:r>
              <w:rPr>
                <w:b/>
              </w:rPr>
              <w:t>x</w:t>
            </w:r>
          </w:p>
        </w:tc>
        <w:tc>
          <w:tcPr>
            <w:tcW w:w="567" w:type="dxa"/>
          </w:tcPr>
          <w:p w14:paraId="6BD0A090" w14:textId="4D78C3B7" w:rsidR="00A93EEF" w:rsidRPr="009D52D0" w:rsidRDefault="00A93EEF" w:rsidP="00AD1300">
            <w:pPr>
              <w:pStyle w:val="Tableoutcomecrosses"/>
              <w:rPr>
                <w:b/>
              </w:rPr>
            </w:pPr>
            <w:r>
              <w:rPr>
                <w:b/>
              </w:rPr>
              <w:t>x</w:t>
            </w:r>
          </w:p>
        </w:tc>
        <w:tc>
          <w:tcPr>
            <w:tcW w:w="567" w:type="dxa"/>
          </w:tcPr>
          <w:p w14:paraId="3DAC9A4A" w14:textId="2CF92257" w:rsidR="00A93EEF" w:rsidRPr="009D52D0" w:rsidRDefault="00A93EEF" w:rsidP="00AD1300">
            <w:pPr>
              <w:pStyle w:val="Tableoutcomecrosses"/>
              <w:rPr>
                <w:b/>
              </w:rPr>
            </w:pPr>
            <w:r>
              <w:rPr>
                <w:b/>
              </w:rPr>
              <w:t>x</w:t>
            </w:r>
          </w:p>
        </w:tc>
        <w:tc>
          <w:tcPr>
            <w:tcW w:w="567" w:type="dxa"/>
          </w:tcPr>
          <w:p w14:paraId="21A7EAF7" w14:textId="6CA73BCB" w:rsidR="00A93EEF" w:rsidRPr="009D52D0" w:rsidRDefault="00A93EEF" w:rsidP="00AD1300">
            <w:pPr>
              <w:pStyle w:val="Tableoutcomecrosses"/>
              <w:rPr>
                <w:b/>
              </w:rPr>
            </w:pPr>
            <w:r>
              <w:rPr>
                <w:b/>
              </w:rPr>
              <w:t>x</w:t>
            </w:r>
          </w:p>
        </w:tc>
      </w:tr>
    </w:tbl>
    <w:p w14:paraId="1DF2B576" w14:textId="6861D79A" w:rsidR="007A6245" w:rsidRDefault="00636058" w:rsidP="00B53A07">
      <w:pPr>
        <w:spacing w:before="360" w:after="360" w:line="240" w:lineRule="auto"/>
        <w:ind w:left="567" w:right="544"/>
        <w:rPr>
          <w:rFonts w:ascii="Arial" w:hAnsi="Arial" w:cs="Arial"/>
          <w:b/>
          <w:iCs/>
          <w:sz w:val="24"/>
          <w:szCs w:val="24"/>
        </w:rPr>
      </w:pPr>
      <w:bookmarkStart w:id="12" w:name="_Hlk94692647"/>
      <w:bookmarkEnd w:id="9"/>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A93EEF" w:rsidRPr="009D52D0" w14:paraId="7367825C" w14:textId="77777777" w:rsidTr="00A93EEF">
        <w:trPr>
          <w:tblHeader/>
        </w:trPr>
        <w:tc>
          <w:tcPr>
            <w:tcW w:w="2405" w:type="dxa"/>
            <w:shd w:val="clear" w:color="auto" w:fill="D9D9D9" w:themeFill="background1" w:themeFillShade="D9"/>
          </w:tcPr>
          <w:bookmarkEnd w:id="12"/>
          <w:p w14:paraId="4E99BFB5" w14:textId="77777777" w:rsidR="00A93EEF" w:rsidRPr="009D52D0" w:rsidRDefault="00A93EEF" w:rsidP="00AD1300">
            <w:pPr>
              <w:pStyle w:val="Tableoutcomesideheadings"/>
            </w:pPr>
            <w:r w:rsidRPr="009D52D0">
              <w:t>Module learning outcome</w:t>
            </w:r>
          </w:p>
        </w:tc>
        <w:tc>
          <w:tcPr>
            <w:tcW w:w="567" w:type="dxa"/>
          </w:tcPr>
          <w:p w14:paraId="7B5C6163" w14:textId="77777777" w:rsidR="00A93EEF" w:rsidRPr="009D52D0" w:rsidRDefault="00A93EEF" w:rsidP="00AD1300">
            <w:pPr>
              <w:pStyle w:val="Tableoutcomeshead"/>
            </w:pPr>
            <w:r w:rsidRPr="009D52D0">
              <w:t>8.1</w:t>
            </w:r>
          </w:p>
        </w:tc>
        <w:tc>
          <w:tcPr>
            <w:tcW w:w="567" w:type="dxa"/>
          </w:tcPr>
          <w:p w14:paraId="2210FC9E" w14:textId="77777777" w:rsidR="00A93EEF" w:rsidRPr="009D52D0" w:rsidRDefault="00A93EEF" w:rsidP="00AD1300">
            <w:pPr>
              <w:pStyle w:val="Tableoutcomeshead"/>
            </w:pPr>
            <w:r w:rsidRPr="009D52D0">
              <w:t>8.2</w:t>
            </w:r>
          </w:p>
        </w:tc>
        <w:tc>
          <w:tcPr>
            <w:tcW w:w="567" w:type="dxa"/>
          </w:tcPr>
          <w:p w14:paraId="0D56B3A5" w14:textId="77777777" w:rsidR="00A93EEF" w:rsidRPr="009D52D0" w:rsidRDefault="00A93EEF" w:rsidP="00AD1300">
            <w:pPr>
              <w:pStyle w:val="Tableoutcomeshead"/>
            </w:pPr>
            <w:r w:rsidRPr="009D52D0">
              <w:t>9.1</w:t>
            </w:r>
          </w:p>
        </w:tc>
        <w:tc>
          <w:tcPr>
            <w:tcW w:w="567" w:type="dxa"/>
          </w:tcPr>
          <w:p w14:paraId="523687DC" w14:textId="77777777" w:rsidR="00A93EEF" w:rsidRPr="009D52D0" w:rsidRDefault="00A93EEF" w:rsidP="00AD1300">
            <w:pPr>
              <w:pStyle w:val="Tableoutcomeshead"/>
            </w:pPr>
            <w:r w:rsidRPr="009D52D0">
              <w:t>9.2</w:t>
            </w:r>
          </w:p>
        </w:tc>
        <w:tc>
          <w:tcPr>
            <w:tcW w:w="567" w:type="dxa"/>
          </w:tcPr>
          <w:p w14:paraId="1106ECFC" w14:textId="77777777" w:rsidR="00A93EEF" w:rsidRPr="009D52D0" w:rsidRDefault="00A93EEF" w:rsidP="00AD1300">
            <w:pPr>
              <w:pStyle w:val="Tableoutcomeshead"/>
            </w:pPr>
            <w:r w:rsidRPr="009D52D0">
              <w:t>9.3</w:t>
            </w:r>
          </w:p>
        </w:tc>
        <w:tc>
          <w:tcPr>
            <w:tcW w:w="567" w:type="dxa"/>
          </w:tcPr>
          <w:p w14:paraId="51BE4A79" w14:textId="77777777" w:rsidR="00A93EEF" w:rsidRPr="009D52D0" w:rsidRDefault="00A93EEF" w:rsidP="00AD1300">
            <w:pPr>
              <w:pStyle w:val="Tableoutcomeshead"/>
            </w:pPr>
            <w:r w:rsidRPr="009D52D0">
              <w:t>9.4</w:t>
            </w:r>
          </w:p>
        </w:tc>
      </w:tr>
      <w:tr w:rsidR="00DD1829" w:rsidRPr="009D52D0" w14:paraId="6D8FD37D" w14:textId="77777777" w:rsidTr="00A93EEF">
        <w:trPr>
          <w:tblHeader/>
        </w:trPr>
        <w:tc>
          <w:tcPr>
            <w:tcW w:w="2405" w:type="dxa"/>
          </w:tcPr>
          <w:p w14:paraId="6500FA2E" w14:textId="446ABFF2" w:rsidR="00DD1829" w:rsidRPr="00AD1300" w:rsidRDefault="00DD1829" w:rsidP="00DD1829">
            <w:pPr>
              <w:pStyle w:val="Tableoutcomesideheadings"/>
              <w:rPr>
                <w:iCs/>
              </w:rPr>
            </w:pPr>
            <w:r>
              <w:rPr>
                <w:iCs/>
              </w:rPr>
              <w:t xml:space="preserve">Essay 1 </w:t>
            </w:r>
          </w:p>
        </w:tc>
        <w:tc>
          <w:tcPr>
            <w:tcW w:w="567" w:type="dxa"/>
          </w:tcPr>
          <w:p w14:paraId="718AB32A" w14:textId="4E528912" w:rsidR="00DD1829" w:rsidRPr="009D52D0" w:rsidRDefault="00DD1829" w:rsidP="00DD1829">
            <w:pPr>
              <w:pStyle w:val="Tableoutcomecrosses"/>
              <w:rPr>
                <w:b/>
              </w:rPr>
            </w:pPr>
            <w:r>
              <w:rPr>
                <w:b/>
              </w:rPr>
              <w:t>x</w:t>
            </w:r>
          </w:p>
        </w:tc>
        <w:tc>
          <w:tcPr>
            <w:tcW w:w="567" w:type="dxa"/>
          </w:tcPr>
          <w:p w14:paraId="71084725" w14:textId="4F614F6E" w:rsidR="00DD1829" w:rsidRPr="009D52D0" w:rsidRDefault="00DD1829" w:rsidP="00DD1829">
            <w:pPr>
              <w:pStyle w:val="Tableoutcomecrosses"/>
              <w:rPr>
                <w:b/>
              </w:rPr>
            </w:pPr>
            <w:r>
              <w:rPr>
                <w:b/>
              </w:rPr>
              <w:t>x</w:t>
            </w:r>
          </w:p>
        </w:tc>
        <w:tc>
          <w:tcPr>
            <w:tcW w:w="567" w:type="dxa"/>
          </w:tcPr>
          <w:p w14:paraId="60747C35" w14:textId="63310B45" w:rsidR="00DD1829" w:rsidRPr="009D52D0" w:rsidRDefault="00DD1829" w:rsidP="00DD1829">
            <w:pPr>
              <w:pStyle w:val="Tableoutcomecrosses"/>
              <w:rPr>
                <w:b/>
              </w:rPr>
            </w:pPr>
            <w:r>
              <w:rPr>
                <w:b/>
              </w:rPr>
              <w:t>x</w:t>
            </w:r>
          </w:p>
        </w:tc>
        <w:tc>
          <w:tcPr>
            <w:tcW w:w="567" w:type="dxa"/>
          </w:tcPr>
          <w:p w14:paraId="6FCDE494" w14:textId="6B8A4DE0" w:rsidR="00DD1829" w:rsidRPr="009D52D0" w:rsidRDefault="00DD1829" w:rsidP="00DD1829">
            <w:pPr>
              <w:pStyle w:val="Tableoutcomecrosses"/>
              <w:rPr>
                <w:b/>
              </w:rPr>
            </w:pPr>
            <w:r>
              <w:rPr>
                <w:b/>
              </w:rPr>
              <w:t>x</w:t>
            </w:r>
          </w:p>
        </w:tc>
        <w:tc>
          <w:tcPr>
            <w:tcW w:w="567" w:type="dxa"/>
          </w:tcPr>
          <w:p w14:paraId="48C6EE1D" w14:textId="33DA7539" w:rsidR="00DD1829" w:rsidRPr="009D52D0" w:rsidRDefault="00DD1829" w:rsidP="00DD1829">
            <w:pPr>
              <w:pStyle w:val="Tableoutcomecrosses"/>
              <w:rPr>
                <w:b/>
              </w:rPr>
            </w:pPr>
            <w:r>
              <w:rPr>
                <w:b/>
              </w:rPr>
              <w:t>x</w:t>
            </w:r>
          </w:p>
        </w:tc>
        <w:tc>
          <w:tcPr>
            <w:tcW w:w="567" w:type="dxa"/>
          </w:tcPr>
          <w:p w14:paraId="12A99B31" w14:textId="5ECFE672" w:rsidR="00DD1829" w:rsidRPr="009D52D0" w:rsidRDefault="00DD1829" w:rsidP="00DD1829">
            <w:pPr>
              <w:pStyle w:val="Tableoutcomecrosses"/>
              <w:rPr>
                <w:b/>
              </w:rPr>
            </w:pPr>
            <w:r>
              <w:rPr>
                <w:b/>
              </w:rPr>
              <w:t>x</w:t>
            </w:r>
          </w:p>
        </w:tc>
      </w:tr>
      <w:tr w:rsidR="00DD1829" w:rsidRPr="009D52D0" w14:paraId="33EAAC8E" w14:textId="77777777" w:rsidTr="00A93EEF">
        <w:trPr>
          <w:tblHeader/>
        </w:trPr>
        <w:tc>
          <w:tcPr>
            <w:tcW w:w="2405" w:type="dxa"/>
          </w:tcPr>
          <w:p w14:paraId="41B161CA" w14:textId="68C87BFA" w:rsidR="00DD1829" w:rsidRPr="00AD1300" w:rsidRDefault="00DD1829" w:rsidP="00DD1829">
            <w:pPr>
              <w:pStyle w:val="Tableoutcomesideheadings"/>
              <w:rPr>
                <w:iCs/>
              </w:rPr>
            </w:pPr>
            <w:r>
              <w:rPr>
                <w:iCs/>
              </w:rPr>
              <w:t xml:space="preserve">Essay 2 </w:t>
            </w:r>
          </w:p>
        </w:tc>
        <w:tc>
          <w:tcPr>
            <w:tcW w:w="567" w:type="dxa"/>
          </w:tcPr>
          <w:p w14:paraId="4D015421" w14:textId="6E491A7B" w:rsidR="00DD1829" w:rsidRPr="009D52D0" w:rsidRDefault="00DD1829" w:rsidP="00DD1829">
            <w:pPr>
              <w:pStyle w:val="Tableoutcomecrosses"/>
              <w:rPr>
                <w:b/>
              </w:rPr>
            </w:pPr>
            <w:r>
              <w:rPr>
                <w:b/>
              </w:rPr>
              <w:t>x</w:t>
            </w:r>
          </w:p>
        </w:tc>
        <w:tc>
          <w:tcPr>
            <w:tcW w:w="567" w:type="dxa"/>
          </w:tcPr>
          <w:p w14:paraId="47055659" w14:textId="0589D9C6" w:rsidR="00DD1829" w:rsidRPr="009D52D0" w:rsidRDefault="00DD1829" w:rsidP="00DD1829">
            <w:pPr>
              <w:pStyle w:val="Tableoutcomecrosses"/>
              <w:rPr>
                <w:b/>
              </w:rPr>
            </w:pPr>
            <w:r>
              <w:rPr>
                <w:b/>
              </w:rPr>
              <w:t>x</w:t>
            </w:r>
          </w:p>
        </w:tc>
        <w:tc>
          <w:tcPr>
            <w:tcW w:w="567" w:type="dxa"/>
          </w:tcPr>
          <w:p w14:paraId="43F1F7E1" w14:textId="1474226D" w:rsidR="00DD1829" w:rsidRPr="009D52D0" w:rsidRDefault="00DD1829" w:rsidP="00DD1829">
            <w:pPr>
              <w:pStyle w:val="Tableoutcomecrosses"/>
              <w:rPr>
                <w:b/>
              </w:rPr>
            </w:pPr>
            <w:r>
              <w:rPr>
                <w:b/>
              </w:rPr>
              <w:t>x</w:t>
            </w:r>
          </w:p>
        </w:tc>
        <w:tc>
          <w:tcPr>
            <w:tcW w:w="567" w:type="dxa"/>
          </w:tcPr>
          <w:p w14:paraId="34BF4922" w14:textId="46596A7E" w:rsidR="00DD1829" w:rsidRPr="009D52D0" w:rsidRDefault="00DD1829" w:rsidP="00DD1829">
            <w:pPr>
              <w:pStyle w:val="Tableoutcomecrosses"/>
              <w:rPr>
                <w:b/>
              </w:rPr>
            </w:pPr>
            <w:r>
              <w:rPr>
                <w:b/>
              </w:rPr>
              <w:t>x</w:t>
            </w:r>
          </w:p>
        </w:tc>
        <w:tc>
          <w:tcPr>
            <w:tcW w:w="567" w:type="dxa"/>
          </w:tcPr>
          <w:p w14:paraId="29656163" w14:textId="6F5734C5" w:rsidR="00DD1829" w:rsidRPr="009D52D0" w:rsidRDefault="00DD1829" w:rsidP="00DD1829">
            <w:pPr>
              <w:pStyle w:val="Tableoutcomecrosses"/>
              <w:rPr>
                <w:b/>
              </w:rPr>
            </w:pPr>
            <w:r>
              <w:rPr>
                <w:b/>
              </w:rPr>
              <w:t>x</w:t>
            </w:r>
          </w:p>
        </w:tc>
        <w:tc>
          <w:tcPr>
            <w:tcW w:w="567" w:type="dxa"/>
          </w:tcPr>
          <w:p w14:paraId="3155EA1C" w14:textId="7F9050F7" w:rsidR="00DD1829" w:rsidRPr="009D52D0" w:rsidRDefault="00DD1829" w:rsidP="00DD1829">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bookmarkEnd w:id="10"/>
    <w:bookmarkEnd w:id="11"/>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lastRenderedPageBreak/>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71B6D991" w:rsidR="00AD1300" w:rsidRPr="00AD1300" w:rsidRDefault="00A93EEF" w:rsidP="00AD1300">
      <w:pPr>
        <w:pStyle w:val="BodyText"/>
      </w:pPr>
      <w:r w:rsidRPr="00A93EEF">
        <w:t>Canterbury</w:t>
      </w:r>
    </w:p>
    <w:p w14:paraId="654C7CE7" w14:textId="7F0B425B" w:rsidR="00883204" w:rsidRDefault="00883204" w:rsidP="00072357">
      <w:pPr>
        <w:pStyle w:val="Heading2"/>
      </w:pPr>
      <w:r w:rsidRPr="009D52D0">
        <w:t>Internationalisation</w:t>
      </w:r>
    </w:p>
    <w:p w14:paraId="3F5B9073" w14:textId="5979B52B" w:rsidR="009D52D0" w:rsidRDefault="00A93EEF" w:rsidP="00A93EEF">
      <w:pPr>
        <w:spacing w:after="120" w:line="240" w:lineRule="auto"/>
        <w:ind w:left="567" w:right="543"/>
        <w:rPr>
          <w:rFonts w:ascii="Arial" w:hAnsi="Arial" w:cs="Arial"/>
          <w:sz w:val="24"/>
          <w:szCs w:val="24"/>
        </w:rPr>
      </w:pPr>
      <w:r w:rsidRPr="00A93EEF">
        <w:rPr>
          <w:rFonts w:ascii="Arial" w:hAnsi="Arial" w:cs="Arial"/>
          <w:sz w:val="24"/>
          <w:szCs w:val="24"/>
        </w:rPr>
        <w:t>This module covers worldwide expertise on the subject matter, and encourages students to review content from a breadth of sources, both domestic and international.</w:t>
      </w:r>
      <w:bookmarkStart w:id="13" w:name="_Hlk110347234"/>
    </w:p>
    <w:p w14:paraId="36C1544F" w14:textId="77777777" w:rsidR="00641D6D" w:rsidRPr="00B53A07" w:rsidRDefault="00641D6D" w:rsidP="009D52D0">
      <w:pPr>
        <w:pBdr>
          <w:bottom w:val="single" w:sz="6" w:space="1" w:color="auto"/>
        </w:pBdr>
        <w:spacing w:after="120" w:line="240" w:lineRule="auto"/>
        <w:ind w:right="543"/>
        <w:rPr>
          <w:rFonts w:ascii="Arial" w:hAnsi="Arial" w:cs="Arial"/>
        </w:rPr>
      </w:pPr>
    </w:p>
    <w:p w14:paraId="31CC2DF2" w14:textId="77777777" w:rsidR="00441E76" w:rsidRPr="00B53A07" w:rsidRDefault="009F5EA4" w:rsidP="009D52D0">
      <w:pPr>
        <w:spacing w:after="120" w:line="240" w:lineRule="auto"/>
        <w:ind w:right="543"/>
        <w:rPr>
          <w:rFonts w:ascii="Arial" w:hAnsi="Arial" w:cs="Arial"/>
          <w:b/>
        </w:rPr>
      </w:pPr>
      <w:r w:rsidRPr="00B53A07">
        <w:rPr>
          <w:rFonts w:ascii="Arial" w:hAnsi="Arial" w:cs="Arial"/>
          <w:b/>
        </w:rPr>
        <w:t xml:space="preserve">DIVISIONAL </w:t>
      </w:r>
      <w:r w:rsidR="00441E76" w:rsidRPr="00B53A07">
        <w:rPr>
          <w:rFonts w:ascii="Arial" w:hAnsi="Arial" w:cs="Arial"/>
          <w:b/>
        </w:rPr>
        <w:t>USE ONLY</w:t>
      </w:r>
      <w:r w:rsidR="00C612A8" w:rsidRPr="00B53A07">
        <w:rPr>
          <w:rFonts w:ascii="Arial" w:hAnsi="Arial" w:cs="Arial"/>
          <w:b/>
        </w:rPr>
        <w:t xml:space="preserve"> </w:t>
      </w:r>
    </w:p>
    <w:p w14:paraId="010B6F31" w14:textId="359B19D8" w:rsidR="00D83563" w:rsidRPr="00B53A07" w:rsidRDefault="00E1736E" w:rsidP="009D52D0">
      <w:pPr>
        <w:spacing w:after="120" w:line="240" w:lineRule="auto"/>
        <w:ind w:right="543"/>
        <w:rPr>
          <w:rFonts w:ascii="Arial" w:hAnsi="Arial" w:cs="Arial"/>
          <w:b/>
        </w:rPr>
      </w:pPr>
      <w:r w:rsidRPr="00B53A07">
        <w:rPr>
          <w:rFonts w:ascii="Arial" w:hAnsi="Arial" w:cs="Arial"/>
          <w:b/>
        </w:rPr>
        <w:t xml:space="preserve">Module </w:t>
      </w:r>
      <w:r w:rsidR="00D83563" w:rsidRPr="00B53A07">
        <w:rPr>
          <w:rFonts w:ascii="Arial" w:hAnsi="Arial" w:cs="Arial"/>
          <w:b/>
        </w:rPr>
        <w:t>record – all revisions must be recorded in the grid and full details of the change retained in the appropriate committee records.</w:t>
      </w:r>
    </w:p>
    <w:p w14:paraId="2EB548D9" w14:textId="77777777" w:rsidR="00422B69" w:rsidRPr="00B53A07" w:rsidRDefault="00422B69" w:rsidP="009D52D0">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302082" w:rsidRPr="009D52D0" w14:paraId="52814657" w14:textId="77777777" w:rsidTr="00B53A07">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459"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B53A07">
        <w:trPr>
          <w:trHeight w:val="305"/>
        </w:trPr>
        <w:tc>
          <w:tcPr>
            <w:tcW w:w="1592" w:type="dxa"/>
          </w:tcPr>
          <w:p w14:paraId="4474539E" w14:textId="1B135159" w:rsidR="00422B69" w:rsidRPr="009D52D0" w:rsidRDefault="00A93EEF" w:rsidP="00D2324C">
            <w:pPr>
              <w:pStyle w:val="Tabledivuseonly"/>
            </w:pPr>
            <w:r w:rsidRPr="00A93EEF">
              <w:t>22/01/2016</w:t>
            </w:r>
          </w:p>
        </w:tc>
        <w:tc>
          <w:tcPr>
            <w:tcW w:w="1817" w:type="dxa"/>
          </w:tcPr>
          <w:p w14:paraId="3DB8B056" w14:textId="42B2DAA8" w:rsidR="00422B69" w:rsidRPr="009D52D0" w:rsidRDefault="00C11FE8" w:rsidP="00D2324C">
            <w:pPr>
              <w:pStyle w:val="Tabledivuseonly"/>
            </w:pPr>
            <w:r w:rsidRPr="00C11FE8">
              <w:t>Minor</w:t>
            </w:r>
          </w:p>
        </w:tc>
        <w:tc>
          <w:tcPr>
            <w:tcW w:w="2256" w:type="dxa"/>
          </w:tcPr>
          <w:p w14:paraId="7151A835" w14:textId="4CFAB387" w:rsidR="00422B69" w:rsidRPr="009D52D0" w:rsidRDefault="00C11FE8" w:rsidP="00D2324C">
            <w:pPr>
              <w:pStyle w:val="Tabledivuseonly"/>
            </w:pPr>
            <w:r w:rsidRPr="00C11FE8">
              <w:t>September 2016</w:t>
            </w:r>
          </w:p>
        </w:tc>
        <w:tc>
          <w:tcPr>
            <w:tcW w:w="2077" w:type="dxa"/>
          </w:tcPr>
          <w:p w14:paraId="64AEF8B4" w14:textId="58A58D02" w:rsidR="00422B69" w:rsidRPr="009D52D0" w:rsidRDefault="00C11FE8" w:rsidP="00D2324C">
            <w:pPr>
              <w:pStyle w:val="Tabledivuseonly"/>
            </w:pPr>
            <w:r w:rsidRPr="00C11FE8">
              <w:t>12</w:t>
            </w:r>
          </w:p>
        </w:tc>
        <w:tc>
          <w:tcPr>
            <w:tcW w:w="2459" w:type="dxa"/>
          </w:tcPr>
          <w:p w14:paraId="2788108C" w14:textId="77777777" w:rsidR="00422B69" w:rsidRPr="009D52D0" w:rsidRDefault="00422B69" w:rsidP="00D2324C">
            <w:pPr>
              <w:pStyle w:val="Tabledivuseonly"/>
            </w:pPr>
          </w:p>
        </w:tc>
      </w:tr>
      <w:tr w:rsidR="00302082" w:rsidRPr="009D52D0" w14:paraId="1EAC1207" w14:textId="77777777" w:rsidTr="00B53A07">
        <w:trPr>
          <w:trHeight w:val="305"/>
        </w:trPr>
        <w:tc>
          <w:tcPr>
            <w:tcW w:w="1592" w:type="dxa"/>
          </w:tcPr>
          <w:p w14:paraId="6535CABF" w14:textId="125C7C2B" w:rsidR="00422B69" w:rsidRPr="009D52D0" w:rsidRDefault="00A93EEF" w:rsidP="00D2324C">
            <w:pPr>
              <w:pStyle w:val="Tabledivuseonly"/>
            </w:pPr>
            <w:r w:rsidRPr="00A93EEF">
              <w:t>27/01/2019</w:t>
            </w:r>
          </w:p>
        </w:tc>
        <w:tc>
          <w:tcPr>
            <w:tcW w:w="1817" w:type="dxa"/>
          </w:tcPr>
          <w:p w14:paraId="5BAFF0BB" w14:textId="03578EDC" w:rsidR="00422B69" w:rsidRPr="009D52D0" w:rsidRDefault="00C11FE8" w:rsidP="00D2324C">
            <w:pPr>
              <w:pStyle w:val="Tabledivuseonly"/>
            </w:pPr>
            <w:r w:rsidRPr="00C11FE8">
              <w:t>Major</w:t>
            </w:r>
          </w:p>
        </w:tc>
        <w:tc>
          <w:tcPr>
            <w:tcW w:w="2256" w:type="dxa"/>
          </w:tcPr>
          <w:p w14:paraId="07B30CA1" w14:textId="0F2E2805" w:rsidR="00422B69" w:rsidRPr="009D52D0" w:rsidRDefault="00C11FE8" w:rsidP="00D2324C">
            <w:pPr>
              <w:pStyle w:val="Tabledivuseonly"/>
            </w:pPr>
            <w:r w:rsidRPr="00C11FE8">
              <w:t>September 2019</w:t>
            </w:r>
          </w:p>
        </w:tc>
        <w:tc>
          <w:tcPr>
            <w:tcW w:w="2077" w:type="dxa"/>
          </w:tcPr>
          <w:p w14:paraId="7AF83608" w14:textId="1C037526" w:rsidR="00422B69" w:rsidRPr="009D52D0" w:rsidRDefault="00C11FE8" w:rsidP="00D2324C">
            <w:pPr>
              <w:pStyle w:val="Tabledivuseonly"/>
            </w:pPr>
            <w:r w:rsidRPr="00C11FE8">
              <w:t>4, 5, 12, 13, 14, 15</w:t>
            </w:r>
          </w:p>
        </w:tc>
        <w:tc>
          <w:tcPr>
            <w:tcW w:w="2459" w:type="dxa"/>
          </w:tcPr>
          <w:p w14:paraId="1F3DBDEE" w14:textId="77777777" w:rsidR="00422B69" w:rsidRPr="009D52D0" w:rsidRDefault="00422B69" w:rsidP="00D2324C">
            <w:pPr>
              <w:pStyle w:val="Tabledivuseonly"/>
            </w:pPr>
          </w:p>
        </w:tc>
      </w:tr>
      <w:tr w:rsidR="00B53A07" w:rsidRPr="009D52D0" w14:paraId="3F750CBD" w14:textId="77777777" w:rsidTr="00B53A07">
        <w:trPr>
          <w:trHeight w:val="305"/>
        </w:trPr>
        <w:tc>
          <w:tcPr>
            <w:tcW w:w="1592" w:type="dxa"/>
          </w:tcPr>
          <w:p w14:paraId="6FF2A10B" w14:textId="733C3308" w:rsidR="00B53A07" w:rsidRPr="00A93EEF" w:rsidRDefault="00B53A07" w:rsidP="00D2324C">
            <w:pPr>
              <w:pStyle w:val="Tabledivuseonly"/>
            </w:pPr>
            <w:r>
              <w:t>16/11/2022</w:t>
            </w:r>
          </w:p>
        </w:tc>
        <w:tc>
          <w:tcPr>
            <w:tcW w:w="1817" w:type="dxa"/>
          </w:tcPr>
          <w:p w14:paraId="4A191842" w14:textId="51DEBDA6" w:rsidR="00B53A07" w:rsidRPr="00C11FE8" w:rsidRDefault="00B53A07" w:rsidP="00D2324C">
            <w:pPr>
              <w:pStyle w:val="Tabledivuseonly"/>
            </w:pPr>
            <w:r>
              <w:t>Minor</w:t>
            </w:r>
          </w:p>
        </w:tc>
        <w:tc>
          <w:tcPr>
            <w:tcW w:w="2256" w:type="dxa"/>
          </w:tcPr>
          <w:p w14:paraId="3FC48028" w14:textId="3234E686" w:rsidR="00B53A07" w:rsidRPr="00C11FE8" w:rsidRDefault="00B53A07" w:rsidP="00D2324C">
            <w:pPr>
              <w:pStyle w:val="Tabledivuseonly"/>
            </w:pPr>
            <w:r>
              <w:t>September 2023</w:t>
            </w:r>
          </w:p>
        </w:tc>
        <w:tc>
          <w:tcPr>
            <w:tcW w:w="2077" w:type="dxa"/>
          </w:tcPr>
          <w:p w14:paraId="707552BF" w14:textId="401D2808" w:rsidR="00B53A07" w:rsidRPr="00C11FE8" w:rsidRDefault="00B53A07" w:rsidP="00D2324C">
            <w:pPr>
              <w:pStyle w:val="Tabledivuseonly"/>
            </w:pPr>
            <w:r>
              <w:t>9, 14</w:t>
            </w:r>
          </w:p>
        </w:tc>
        <w:tc>
          <w:tcPr>
            <w:tcW w:w="2459" w:type="dxa"/>
          </w:tcPr>
          <w:p w14:paraId="5FF46FE2" w14:textId="77777777" w:rsidR="00B53A07" w:rsidRPr="009D52D0" w:rsidRDefault="00B53A07" w:rsidP="00D2324C">
            <w:pPr>
              <w:pStyle w:val="Tabledivuseonly"/>
            </w:pPr>
          </w:p>
        </w:tc>
      </w:tr>
    </w:tbl>
    <w:p w14:paraId="4A3C63B8" w14:textId="5551D769" w:rsidR="00D83563" w:rsidRDefault="00D83563" w:rsidP="009D52D0">
      <w:pPr>
        <w:spacing w:after="120" w:line="240" w:lineRule="auto"/>
        <w:ind w:right="543"/>
        <w:rPr>
          <w:rFonts w:ascii="Arial" w:hAnsi="Arial" w:cs="Arial"/>
          <w:sz w:val="24"/>
          <w:szCs w:val="24"/>
        </w:rPr>
      </w:pPr>
    </w:p>
    <w:bookmarkEnd w:id="13"/>
    <w:p w14:paraId="441610ED" w14:textId="77777777" w:rsidR="00FC217A" w:rsidRPr="00FC217A" w:rsidRDefault="00FC217A" w:rsidP="00FC217A">
      <w:pPr>
        <w:jc w:val="center"/>
        <w:rPr>
          <w:rFonts w:ascii="Arial" w:hAnsi="Arial" w:cs="Arial"/>
          <w:sz w:val="24"/>
          <w:szCs w:val="24"/>
        </w:rPr>
      </w:pPr>
    </w:p>
    <w:sectPr w:rsidR="00FC217A" w:rsidRPr="00FC217A" w:rsidSect="00B53A07">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1EFAE16" w:rsidR="004455F2" w:rsidRDefault="004455F2" w:rsidP="00B53A07">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50D9BF96"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00B53A07">
      <w:rPr>
        <w:rFonts w:ascii="Arial" w:hAnsi="Arial"/>
        <w:sz w:val="18"/>
      </w:rPr>
      <w:t xml:space="preserve"> </w:t>
    </w:r>
    <w:r w:rsidR="00B53A07" w:rsidRPr="00B53A07">
      <w:rPr>
        <w:rFonts w:ascii="Arial" w:hAnsi="Arial"/>
        <w:sz w:val="18"/>
      </w:rPr>
      <w:t>PSYC8640 Current Issues in Cognitive Psychology and Neuropsychology</w:t>
    </w:r>
    <w:r w:rsidRPr="007B7724">
      <w:rPr>
        <w:rFonts w:ascii="Arial" w:hAnsi="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B53A07"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C4FD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A41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5DC297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23A3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EB69A6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630DFA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C6999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06F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5707"/>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0777"/>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3EEF"/>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3A07"/>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1FE8"/>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C5E8A"/>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1829"/>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B53A07"/>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B53A0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A93EE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54F086C-807C-4E8E-9CA9-A9AC068B5313}"/>
</file>

<file path=customXml/itemProps3.xml><?xml version="1.0" encoding="utf-8"?>
<ds:datastoreItem xmlns:ds="http://schemas.openxmlformats.org/officeDocument/2006/customXml" ds:itemID="{7249DE31-89B1-4B76-AA9F-669105C17E90}"/>
</file>

<file path=customXml/itemProps4.xml><?xml version="1.0" encoding="utf-8"?>
<ds:datastoreItem xmlns:ds="http://schemas.openxmlformats.org/officeDocument/2006/customXml" ds:itemID="{43D0D177-5EFC-4C83-B1C9-1922709974E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2022-11-22T15:01:00Z</dcterms:created>
  <dcterms:modified xsi:type="dcterms:W3CDTF">2022-11-22T15:12:00Z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